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01F1" w:rsidRPr="001F2CAC" w:rsidRDefault="007001F1" w:rsidP="007001F1">
      <w:pPr>
        <w:spacing w:line="276" w:lineRule="auto"/>
        <w:jc w:val="center"/>
        <w:rPr>
          <w:rFonts w:ascii="Garamond" w:hAnsi="Garamond"/>
          <w:b/>
          <w:sz w:val="14"/>
          <w:szCs w:val="24"/>
        </w:rPr>
      </w:pPr>
      <w:bookmarkStart w:id="0" w:name="_Hlk486358050"/>
    </w:p>
    <w:p w:rsidR="007001F1" w:rsidRPr="001F2CAC" w:rsidRDefault="007001F1" w:rsidP="007001F1">
      <w:pPr>
        <w:spacing w:line="276" w:lineRule="auto"/>
        <w:jc w:val="center"/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>EDO</w:t>
      </w:r>
      <w:r w:rsidRPr="001F2CAC">
        <w:rPr>
          <w:rFonts w:ascii="Garamond" w:hAnsi="Garamond"/>
          <w:b/>
          <w:sz w:val="24"/>
          <w:szCs w:val="24"/>
        </w:rPr>
        <w:t xml:space="preserve"> STATE INTERNAL REVENUE SERVICE </w:t>
      </w:r>
    </w:p>
    <w:p w:rsidR="007001F1" w:rsidRPr="001F2CAC" w:rsidRDefault="007001F1" w:rsidP="007001F1">
      <w:pPr>
        <w:spacing w:line="276" w:lineRule="auto"/>
        <w:jc w:val="center"/>
        <w:rPr>
          <w:rFonts w:ascii="Garamond" w:hAnsi="Garamond"/>
          <w:sz w:val="24"/>
          <w:szCs w:val="24"/>
        </w:rPr>
      </w:pPr>
      <w:r w:rsidRPr="001F2CAC">
        <w:rPr>
          <w:rFonts w:ascii="Garamond" w:hAnsi="Garamond"/>
          <w:sz w:val="24"/>
          <w:szCs w:val="24"/>
        </w:rPr>
        <w:t>GOVERNOR’S SUMMARY</w:t>
      </w:r>
    </w:p>
    <w:p w:rsidR="007001F1" w:rsidRPr="001F2CAC" w:rsidRDefault="007001F1" w:rsidP="007001F1">
      <w:pPr>
        <w:spacing w:line="276" w:lineRule="auto"/>
        <w:jc w:val="center"/>
        <w:rPr>
          <w:rFonts w:ascii="Garamond" w:hAnsi="Garamond"/>
          <w:i/>
          <w:sz w:val="2"/>
          <w:szCs w:val="24"/>
        </w:rPr>
      </w:pPr>
    </w:p>
    <w:p w:rsidR="007001F1" w:rsidRPr="001F2CAC" w:rsidRDefault="007001F1" w:rsidP="007001F1">
      <w:pPr>
        <w:rPr>
          <w:rFonts w:ascii="Garamond" w:hAnsi="Garamond" w:cs="Times New Roman"/>
          <w:noProof/>
          <w:sz w:val="2"/>
          <w:szCs w:val="24"/>
        </w:rPr>
      </w:pPr>
      <w:r w:rsidRPr="001F2CAC">
        <w:rPr>
          <w:rFonts w:ascii="Garamond" w:hAnsi="Garamond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395F0EA6" wp14:editId="0EC1C97A">
            <wp:simplePos x="0" y="0"/>
            <wp:positionH relativeFrom="column">
              <wp:posOffset>76200</wp:posOffset>
            </wp:positionH>
            <wp:positionV relativeFrom="page">
              <wp:posOffset>2034540</wp:posOffset>
            </wp:positionV>
            <wp:extent cx="419100" cy="419100"/>
            <wp:effectExtent l="0" t="0" r="0" b="0"/>
            <wp:wrapSquare wrapText="bothSides"/>
            <wp:docPr id="15" name="Graphic 15" descr="Med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ownload?provider=MicrosoftIcon&amp;fileName=Medal.sv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001F1" w:rsidRPr="001F2CAC" w:rsidRDefault="007001F1" w:rsidP="007001F1">
      <w:pPr>
        <w:rPr>
          <w:rFonts w:ascii="Garamond" w:hAnsi="Garamond" w:cs="Times New Roman"/>
          <w:noProof/>
          <w:sz w:val="24"/>
          <w:szCs w:val="24"/>
        </w:rPr>
      </w:pPr>
      <w:r w:rsidRPr="002073EA">
        <w:rPr>
          <w:rFonts w:ascii="Garamond" w:hAnsi="Garamond" w:cs="Times New Roman"/>
          <w:b/>
          <w:noProof/>
          <w:sz w:val="24"/>
          <w:szCs w:val="24"/>
        </w:rPr>
        <w:t>Overall Tax Governance Score</w:t>
      </w:r>
      <w:r w:rsidRPr="001F2CAC">
        <w:rPr>
          <w:rFonts w:ascii="Garamond" w:hAnsi="Garamond" w:cs="Times New Roman"/>
          <w:noProof/>
          <w:sz w:val="24"/>
          <w:szCs w:val="24"/>
        </w:rPr>
        <w:t>:</w:t>
      </w:r>
      <w:r>
        <w:rPr>
          <w:rFonts w:ascii="Garamond" w:hAnsi="Garamond"/>
          <w:sz w:val="24"/>
          <w:szCs w:val="24"/>
        </w:rPr>
        <w:t xml:space="preserve"> 63.23</w:t>
      </w:r>
      <w:r w:rsidRPr="001F2CAC">
        <w:rPr>
          <w:rFonts w:ascii="Garamond" w:hAnsi="Garamond"/>
          <w:sz w:val="24"/>
          <w:szCs w:val="24"/>
        </w:rPr>
        <w:t xml:space="preserve"> percent</w:t>
      </w:r>
    </w:p>
    <w:p w:rsidR="007001F1" w:rsidRPr="001F2CAC" w:rsidRDefault="007001F1" w:rsidP="007001F1">
      <w:pPr>
        <w:rPr>
          <w:rFonts w:ascii="Garamond" w:hAnsi="Garamond" w:cs="Times New Roman"/>
          <w:noProof/>
          <w:sz w:val="24"/>
          <w:szCs w:val="24"/>
        </w:rPr>
      </w:pPr>
      <w:r w:rsidRPr="001F2CAC">
        <w:rPr>
          <w:rFonts w:ascii="Garamond" w:hAnsi="Garamond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3B5B18A0" wp14:editId="30CC7AA8">
            <wp:simplePos x="0" y="0"/>
            <wp:positionH relativeFrom="column">
              <wp:posOffset>106680</wp:posOffset>
            </wp:positionH>
            <wp:positionV relativeFrom="paragraph">
              <wp:posOffset>186055</wp:posOffset>
            </wp:positionV>
            <wp:extent cx="419100" cy="419100"/>
            <wp:effectExtent l="0" t="0" r="0" b="0"/>
            <wp:wrapTight wrapText="bothSides">
              <wp:wrapPolygon edited="0">
                <wp:start x="1964" y="1964"/>
                <wp:lineTo x="0" y="18655"/>
                <wp:lineTo x="9818" y="18655"/>
                <wp:lineTo x="18655" y="16691"/>
                <wp:lineTo x="20618" y="14727"/>
                <wp:lineTo x="20618" y="1964"/>
                <wp:lineTo x="1964" y="1964"/>
              </wp:wrapPolygon>
            </wp:wrapTight>
            <wp:docPr id="16" name="Graphic 16" descr="Teac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ownload?provider=MicrosoftIcon&amp;fileName=Teacher.sv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001F1" w:rsidRPr="002073EA" w:rsidRDefault="007001F1" w:rsidP="007001F1">
      <w:pPr>
        <w:spacing w:line="360" w:lineRule="auto"/>
        <w:jc w:val="both"/>
        <w:rPr>
          <w:rFonts w:ascii="Garamond" w:hAnsi="Garamond"/>
          <w:b/>
          <w:sz w:val="24"/>
          <w:szCs w:val="24"/>
        </w:rPr>
      </w:pPr>
      <w:r w:rsidRPr="002073EA">
        <w:rPr>
          <w:rFonts w:ascii="Garamond" w:hAnsi="Garamond" w:cs="Times New Roman"/>
          <w:b/>
          <w:noProof/>
          <w:sz w:val="24"/>
          <w:szCs w:val="24"/>
        </w:rPr>
        <w:t xml:space="preserve">Key Highlights </w:t>
      </w:r>
    </w:p>
    <w:p w:rsidR="007001F1" w:rsidRDefault="007001F1" w:rsidP="007001F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 w:rsidRPr="001F2CAC">
        <w:rPr>
          <w:rFonts w:ascii="Garamond" w:hAnsi="Garamond"/>
          <w:sz w:val="24"/>
          <w:szCs w:val="24"/>
        </w:rPr>
        <w:t>Commendable practices were recorded in areas</w:t>
      </w:r>
      <w:r>
        <w:rPr>
          <w:rFonts w:ascii="Garamond" w:hAnsi="Garamond"/>
          <w:sz w:val="24"/>
          <w:szCs w:val="24"/>
        </w:rPr>
        <w:t xml:space="preserve"> such as</w:t>
      </w:r>
      <w:r w:rsidRPr="001F2CAC">
        <w:rPr>
          <w:rFonts w:ascii="Garamond" w:hAnsi="Garamond"/>
          <w:sz w:val="24"/>
          <w:szCs w:val="24"/>
        </w:rPr>
        <w:t xml:space="preserve"> </w:t>
      </w:r>
      <w:r>
        <w:rPr>
          <w:rFonts w:ascii="Garamond" w:hAnsi="Garamond"/>
          <w:sz w:val="24"/>
          <w:szCs w:val="24"/>
        </w:rPr>
        <w:t xml:space="preserve">the </w:t>
      </w:r>
      <w:r w:rsidR="00824017">
        <w:rPr>
          <w:rFonts w:ascii="Garamond" w:hAnsi="Garamond"/>
          <w:sz w:val="24"/>
          <w:szCs w:val="24"/>
        </w:rPr>
        <w:t xml:space="preserve">financial and administrative </w:t>
      </w:r>
      <w:r>
        <w:rPr>
          <w:rFonts w:ascii="Garamond" w:hAnsi="Garamond"/>
          <w:sz w:val="24"/>
          <w:szCs w:val="24"/>
        </w:rPr>
        <w:t xml:space="preserve">autonomy of the </w:t>
      </w:r>
      <w:r w:rsidR="00113C36">
        <w:rPr>
          <w:rFonts w:ascii="Garamond" w:hAnsi="Garamond"/>
          <w:sz w:val="24"/>
          <w:szCs w:val="24"/>
        </w:rPr>
        <w:t>Service</w:t>
      </w:r>
      <w:r>
        <w:rPr>
          <w:rFonts w:ascii="Garamond" w:hAnsi="Garamond"/>
          <w:sz w:val="24"/>
          <w:szCs w:val="24"/>
        </w:rPr>
        <w:t xml:space="preserve">, timely release of budgeted funds, full ICT capability in 28 of the State’s 32 field offices, and the presence of a special </w:t>
      </w:r>
      <w:r w:rsidR="00824017">
        <w:rPr>
          <w:rFonts w:ascii="Garamond" w:hAnsi="Garamond"/>
          <w:sz w:val="24"/>
          <w:szCs w:val="24"/>
        </w:rPr>
        <w:t xml:space="preserve">enforcement </w:t>
      </w:r>
      <w:r>
        <w:rPr>
          <w:rFonts w:ascii="Garamond" w:hAnsi="Garamond"/>
          <w:sz w:val="24"/>
          <w:szCs w:val="24"/>
        </w:rPr>
        <w:t xml:space="preserve">unit to </w:t>
      </w:r>
      <w:r w:rsidR="00824017">
        <w:rPr>
          <w:rFonts w:ascii="Garamond" w:hAnsi="Garamond"/>
          <w:sz w:val="24"/>
          <w:szCs w:val="24"/>
        </w:rPr>
        <w:t xml:space="preserve">oversee </w:t>
      </w:r>
      <w:r>
        <w:rPr>
          <w:rFonts w:ascii="Garamond" w:hAnsi="Garamond"/>
          <w:sz w:val="24"/>
          <w:szCs w:val="24"/>
        </w:rPr>
        <w:t>high net worth individuals.</w:t>
      </w:r>
      <w:r w:rsidRPr="001F2CAC">
        <w:rPr>
          <w:rFonts w:ascii="Garamond" w:hAnsi="Garamond"/>
          <w:sz w:val="24"/>
          <w:szCs w:val="24"/>
        </w:rPr>
        <w:t xml:space="preserve"> </w:t>
      </w:r>
    </w:p>
    <w:p w:rsidR="007001F1" w:rsidRDefault="007001F1" w:rsidP="007001F1">
      <w:pPr>
        <w:pStyle w:val="ListParagraph"/>
        <w:numPr>
          <w:ilvl w:val="0"/>
          <w:numId w:val="1"/>
        </w:numPr>
        <w:tabs>
          <w:tab w:val="left" w:pos="4536"/>
        </w:tabs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The </w:t>
      </w:r>
      <w:r w:rsidR="00113C36">
        <w:rPr>
          <w:rFonts w:ascii="Garamond" w:hAnsi="Garamond"/>
          <w:sz w:val="24"/>
          <w:szCs w:val="24"/>
        </w:rPr>
        <w:t>major</w:t>
      </w:r>
      <w:r>
        <w:rPr>
          <w:rFonts w:ascii="Garamond" w:hAnsi="Garamond"/>
          <w:sz w:val="24"/>
          <w:szCs w:val="24"/>
        </w:rPr>
        <w:t xml:space="preserve"> challenge faced by the State</w:t>
      </w:r>
      <w:r w:rsidRPr="001F2CAC">
        <w:rPr>
          <w:rFonts w:ascii="Garamond" w:hAnsi="Garamond"/>
          <w:sz w:val="24"/>
          <w:szCs w:val="24"/>
        </w:rPr>
        <w:t xml:space="preserve"> </w:t>
      </w:r>
      <w:r>
        <w:rPr>
          <w:rFonts w:ascii="Garamond" w:hAnsi="Garamond"/>
          <w:sz w:val="24"/>
          <w:szCs w:val="24"/>
        </w:rPr>
        <w:t>is the absence of a centrally automated platform for tax collection and management of accounting</w:t>
      </w:r>
      <w:r w:rsidRPr="001F2CAC">
        <w:rPr>
          <w:rFonts w:ascii="Garamond" w:hAnsi="Garamond"/>
          <w:sz w:val="24"/>
          <w:szCs w:val="24"/>
        </w:rPr>
        <w:t xml:space="preserve"> </w:t>
      </w:r>
      <w:r>
        <w:rPr>
          <w:rFonts w:ascii="Garamond" w:hAnsi="Garamond"/>
          <w:sz w:val="24"/>
          <w:szCs w:val="24"/>
        </w:rPr>
        <w:t>information</w:t>
      </w:r>
      <w:r w:rsidR="00113C36">
        <w:rPr>
          <w:rFonts w:ascii="Garamond" w:hAnsi="Garamond"/>
          <w:sz w:val="24"/>
          <w:szCs w:val="24"/>
        </w:rPr>
        <w:t xml:space="preserve">. This is </w:t>
      </w:r>
      <w:r w:rsidR="00AB62F9">
        <w:rPr>
          <w:rFonts w:ascii="Garamond" w:hAnsi="Garamond"/>
          <w:sz w:val="24"/>
          <w:szCs w:val="24"/>
        </w:rPr>
        <w:t>critical for blocking leakages</w:t>
      </w:r>
      <w:r w:rsidR="00824017">
        <w:rPr>
          <w:rFonts w:ascii="Garamond" w:hAnsi="Garamond"/>
          <w:sz w:val="24"/>
          <w:szCs w:val="24"/>
        </w:rPr>
        <w:t>, ensuring accountability and identifying areas in need of reform</w:t>
      </w:r>
      <w:r w:rsidR="00113C36">
        <w:rPr>
          <w:rFonts w:ascii="Garamond" w:hAnsi="Garamond"/>
          <w:sz w:val="24"/>
          <w:szCs w:val="24"/>
        </w:rPr>
        <w:t>.</w:t>
      </w:r>
    </w:p>
    <w:p w:rsidR="007001F1" w:rsidRPr="00824017" w:rsidRDefault="007001F1" w:rsidP="007001F1">
      <w:pPr>
        <w:pStyle w:val="ListParagraph"/>
        <w:tabs>
          <w:tab w:val="left" w:pos="4536"/>
        </w:tabs>
        <w:spacing w:line="360" w:lineRule="auto"/>
        <w:jc w:val="both"/>
        <w:rPr>
          <w:rFonts w:ascii="Garamond" w:hAnsi="Garamond"/>
          <w:sz w:val="14"/>
          <w:szCs w:val="24"/>
        </w:rPr>
      </w:pPr>
    </w:p>
    <w:tbl>
      <w:tblPr>
        <w:tblW w:w="9193" w:type="dxa"/>
        <w:jc w:val="center"/>
        <w:tblLook w:val="04A0" w:firstRow="1" w:lastRow="0" w:firstColumn="1" w:lastColumn="0" w:noHBand="0" w:noVBand="1"/>
      </w:tblPr>
      <w:tblGrid>
        <w:gridCol w:w="7015"/>
        <w:gridCol w:w="2178"/>
      </w:tblGrid>
      <w:tr w:rsidR="007001F1" w:rsidRPr="001F2CAC" w:rsidTr="00435A14">
        <w:trPr>
          <w:trHeight w:val="233"/>
          <w:jc w:val="center"/>
        </w:trPr>
        <w:tc>
          <w:tcPr>
            <w:tcW w:w="70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FBFBF" w:themeFill="background1" w:themeFillShade="BF"/>
            <w:noWrap/>
            <w:vAlign w:val="bottom"/>
            <w:hideMark/>
          </w:tcPr>
          <w:p w:rsidR="007001F1" w:rsidRPr="001F2CAC" w:rsidRDefault="007001F1" w:rsidP="00435A14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000000"/>
                <w:sz w:val="24"/>
                <w:szCs w:val="24"/>
              </w:rPr>
              <w:t>ASSESSMENT AREAS</w:t>
            </w:r>
          </w:p>
        </w:tc>
        <w:tc>
          <w:tcPr>
            <w:tcW w:w="2178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BFBFBF" w:themeFill="background1" w:themeFillShade="BF"/>
            <w:noWrap/>
            <w:vAlign w:val="bottom"/>
            <w:hideMark/>
          </w:tcPr>
          <w:p w:rsidR="007001F1" w:rsidRPr="001F2CAC" w:rsidRDefault="007001F1" w:rsidP="00435A14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000000"/>
                <w:sz w:val="24"/>
                <w:szCs w:val="24"/>
              </w:rPr>
              <w:t>Q1, 2017</w:t>
            </w:r>
          </w:p>
        </w:tc>
      </w:tr>
      <w:tr w:rsidR="007001F1" w:rsidRPr="001F2CAC" w:rsidTr="00435A14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Overall Tax Performance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>6</w:t>
            </w:r>
            <w:r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>3.23</w:t>
            </w:r>
          </w:p>
        </w:tc>
      </w:tr>
      <w:tr w:rsidR="007001F1" w:rsidRPr="001F2CAC" w:rsidTr="00F45CE6">
        <w:trPr>
          <w:trHeight w:val="178"/>
          <w:jc w:val="center"/>
        </w:trPr>
        <w:tc>
          <w:tcPr>
            <w:tcW w:w="9193" w:type="dxa"/>
            <w:gridSpan w:val="2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7001F1" w:rsidRPr="001F2CAC" w:rsidRDefault="007001F1" w:rsidP="00435A14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7001F1" w:rsidRPr="001F2CAC" w:rsidTr="00435A14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9933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/>
                <w:bCs/>
                <w:color w:val="993300"/>
                <w:sz w:val="24"/>
                <w:szCs w:val="24"/>
              </w:rPr>
              <w:t>Tax Administration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color w:val="993300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/>
                <w:color w:val="993300"/>
                <w:sz w:val="24"/>
                <w:szCs w:val="24"/>
              </w:rPr>
              <w:t>77.61</w:t>
            </w:r>
          </w:p>
        </w:tc>
      </w:tr>
      <w:tr w:rsidR="007001F1" w:rsidRPr="001F2CAC" w:rsidTr="00435A14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proofErr w:type="spellStart"/>
            <w:r w:rsidRPr="001F2CAC"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Organisational</w:t>
            </w:r>
            <w:proofErr w:type="spellEnd"/>
            <w:r w:rsidRPr="001F2CAC"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 xml:space="preserve"> and institutional arrangements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75.56</w:t>
            </w:r>
          </w:p>
        </w:tc>
      </w:tr>
      <w:tr w:rsidR="007001F1" w:rsidRPr="001F2CAC" w:rsidTr="00435A14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Availability and sufficiency of IRS budget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100.00</w:t>
            </w:r>
          </w:p>
        </w:tc>
      </w:tr>
      <w:tr w:rsidR="007001F1" w:rsidRPr="001F2CAC" w:rsidTr="00435A14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Salary incentives, IRS Staff skills and training levels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74.58</w:t>
            </w:r>
          </w:p>
        </w:tc>
      </w:tr>
      <w:tr w:rsidR="007001F1" w:rsidRPr="001F2CAC" w:rsidTr="00435A14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SBIRS outreach in districts (no. of tax offices)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60.32</w:t>
            </w:r>
          </w:p>
        </w:tc>
      </w:tr>
      <w:tr w:rsidR="007001F1" w:rsidRPr="001F2CAC" w:rsidTr="009F1AF9">
        <w:trPr>
          <w:trHeight w:val="119"/>
          <w:jc w:val="center"/>
        </w:trPr>
        <w:tc>
          <w:tcPr>
            <w:tcW w:w="9193" w:type="dxa"/>
            <w:gridSpan w:val="2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7001F1" w:rsidRPr="001F2CAC" w:rsidRDefault="007001F1" w:rsidP="00435A14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4"/>
                <w:szCs w:val="24"/>
              </w:rPr>
            </w:pPr>
          </w:p>
        </w:tc>
      </w:tr>
      <w:tr w:rsidR="007001F1" w:rsidRPr="001F2CAC" w:rsidTr="00435A14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FF00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/>
                <w:bCs/>
                <w:color w:val="FF0000"/>
                <w:sz w:val="24"/>
                <w:szCs w:val="24"/>
              </w:rPr>
              <w:t>Tax Procedures (registration, filling, assessment and payment)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FF0000"/>
                <w:sz w:val="24"/>
                <w:szCs w:val="24"/>
              </w:rPr>
              <w:t>72.36</w:t>
            </w:r>
          </w:p>
        </w:tc>
      </w:tr>
      <w:tr w:rsidR="007001F1" w:rsidRPr="001F2CAC" w:rsidTr="00435A14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FF0000"/>
                <w:sz w:val="24"/>
                <w:szCs w:val="24"/>
              </w:rPr>
              <w:t>Tax registration using Unified Tax Identification Number (TIN)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FF0000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Cs/>
                <w:color w:val="FF0000"/>
                <w:sz w:val="24"/>
                <w:szCs w:val="24"/>
              </w:rPr>
              <w:t>72.22</w:t>
            </w:r>
          </w:p>
        </w:tc>
      </w:tr>
      <w:tr w:rsidR="007001F1" w:rsidRPr="001F2CAC" w:rsidTr="00435A14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FF0000"/>
                <w:sz w:val="24"/>
                <w:szCs w:val="24"/>
              </w:rPr>
              <w:t>Efficiency of tax collection (best of judgement vs self- assessment)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FF0000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Cs/>
                <w:color w:val="FF0000"/>
                <w:sz w:val="24"/>
                <w:szCs w:val="24"/>
              </w:rPr>
              <w:t>72</w:t>
            </w:r>
            <w:r w:rsidRPr="001F2CAC">
              <w:rPr>
                <w:rFonts w:ascii="Garamond" w:eastAsia="Times New Roman" w:hAnsi="Garamond" w:cs="Times New Roman"/>
                <w:bCs/>
                <w:color w:val="FF0000"/>
                <w:sz w:val="24"/>
                <w:szCs w:val="24"/>
              </w:rPr>
              <w:t>.50</w:t>
            </w:r>
          </w:p>
        </w:tc>
      </w:tr>
      <w:tr w:rsidR="007001F1" w:rsidRPr="001F2CAC" w:rsidTr="00F6018C">
        <w:trPr>
          <w:trHeight w:val="161"/>
          <w:jc w:val="center"/>
        </w:trPr>
        <w:tc>
          <w:tcPr>
            <w:tcW w:w="9193" w:type="dxa"/>
            <w:gridSpan w:val="2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:rsidR="007001F1" w:rsidRPr="001F2CAC" w:rsidRDefault="007001F1" w:rsidP="00435A14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4"/>
                <w:szCs w:val="24"/>
              </w:rPr>
            </w:pPr>
          </w:p>
        </w:tc>
      </w:tr>
      <w:tr w:rsidR="007001F1" w:rsidRPr="001F2CAC" w:rsidTr="00435A14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006666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/>
                <w:bCs/>
                <w:color w:val="006666"/>
                <w:sz w:val="24"/>
                <w:szCs w:val="24"/>
              </w:rPr>
              <w:t>Tax Processing (manual vs automated)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6666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006666"/>
                <w:sz w:val="24"/>
                <w:szCs w:val="24"/>
              </w:rPr>
              <w:t>45.24</w:t>
            </w:r>
          </w:p>
        </w:tc>
      </w:tr>
      <w:tr w:rsidR="007001F1" w:rsidRPr="001F2CAC" w:rsidTr="00435A14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rPr>
                <w:rFonts w:ascii="Garamond" w:eastAsia="Times New Roman" w:hAnsi="Garamond" w:cs="Times New Roman"/>
                <w:color w:val="006666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006666"/>
                <w:sz w:val="24"/>
                <w:szCs w:val="24"/>
              </w:rPr>
              <w:t>Tax payment (cash paid to tax officers versus bank and electronic payment)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006666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Cs/>
                <w:color w:val="006666"/>
                <w:sz w:val="24"/>
                <w:szCs w:val="24"/>
              </w:rPr>
              <w:t>45.24</w:t>
            </w:r>
          </w:p>
        </w:tc>
      </w:tr>
      <w:tr w:rsidR="007001F1" w:rsidRPr="001F2CAC" w:rsidTr="00051180">
        <w:trPr>
          <w:trHeight w:val="178"/>
          <w:jc w:val="center"/>
        </w:trPr>
        <w:tc>
          <w:tcPr>
            <w:tcW w:w="9193" w:type="dxa"/>
            <w:gridSpan w:val="2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7001F1" w:rsidRPr="001F2CAC" w:rsidRDefault="007001F1" w:rsidP="00435A14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7001F1" w:rsidRPr="001F2CAC" w:rsidTr="00435A14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3333CC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/>
                <w:bCs/>
                <w:color w:val="3333CC"/>
                <w:sz w:val="24"/>
                <w:szCs w:val="24"/>
              </w:rPr>
              <w:t>Tax Enforcement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3333CC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3333CC"/>
                <w:sz w:val="24"/>
                <w:szCs w:val="24"/>
              </w:rPr>
              <w:t>57.7</w:t>
            </w:r>
            <w:r w:rsidRPr="001F2CAC">
              <w:rPr>
                <w:rFonts w:ascii="Garamond" w:eastAsia="Times New Roman" w:hAnsi="Garamond" w:cs="Times New Roman"/>
                <w:b/>
                <w:bCs/>
                <w:color w:val="3333CC"/>
                <w:sz w:val="24"/>
                <w:szCs w:val="24"/>
              </w:rPr>
              <w:t>3</w:t>
            </w:r>
          </w:p>
        </w:tc>
      </w:tr>
      <w:tr w:rsidR="007001F1" w:rsidRPr="001F2CAC" w:rsidTr="00435A14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  <w:t>Capacity for taxpayer audits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  <w:t>69.23</w:t>
            </w:r>
          </w:p>
        </w:tc>
      </w:tr>
      <w:tr w:rsidR="007001F1" w:rsidRPr="001F2CAC" w:rsidTr="00435A14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  <w:t>Tax awareness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  <w:t>65.15</w:t>
            </w:r>
          </w:p>
        </w:tc>
      </w:tr>
      <w:tr w:rsidR="007001F1" w:rsidRPr="001F2CAC" w:rsidTr="00435A14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  <w:t>Complaints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  <w:t>46.53</w:t>
            </w:r>
          </w:p>
        </w:tc>
      </w:tr>
      <w:tr w:rsidR="007001F1" w:rsidRPr="001F2CAC" w:rsidTr="00435A14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  <w:t>Double Taxation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  <w:t>5</w:t>
            </w:r>
            <w:r w:rsidRPr="001F2CAC"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  <w:t>0.00</w:t>
            </w:r>
          </w:p>
        </w:tc>
      </w:tr>
    </w:tbl>
    <w:p w:rsidR="007001F1" w:rsidRPr="001F2CAC" w:rsidRDefault="007001F1" w:rsidP="007001F1">
      <w:pPr>
        <w:spacing w:line="480" w:lineRule="auto"/>
        <w:jc w:val="both"/>
        <w:rPr>
          <w:rFonts w:ascii="Garamond" w:hAnsi="Garamond"/>
          <w:sz w:val="24"/>
          <w:szCs w:val="24"/>
        </w:rPr>
      </w:pPr>
    </w:p>
    <w:p w:rsidR="007001F1" w:rsidRDefault="007001F1" w:rsidP="007001F1">
      <w:pPr>
        <w:tabs>
          <w:tab w:val="left" w:pos="3024"/>
        </w:tabs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lastRenderedPageBreak/>
        <w:tab/>
      </w:r>
    </w:p>
    <w:p w:rsidR="007001F1" w:rsidRPr="001F2CAC" w:rsidRDefault="007001F1" w:rsidP="007001F1">
      <w:pPr>
        <w:spacing w:line="360" w:lineRule="auto"/>
        <w:jc w:val="both"/>
        <w:rPr>
          <w:rFonts w:ascii="Garamond" w:hAnsi="Garamond"/>
          <w:sz w:val="24"/>
          <w:szCs w:val="24"/>
        </w:rPr>
      </w:pPr>
      <w:r w:rsidRPr="001F2CAC">
        <w:rPr>
          <w:rFonts w:ascii="Garamond" w:hAnsi="Garamond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0E3D9097" wp14:editId="6AE09E1C">
            <wp:simplePos x="0" y="0"/>
            <wp:positionH relativeFrom="column">
              <wp:posOffset>0</wp:posOffset>
            </wp:positionH>
            <wp:positionV relativeFrom="paragraph">
              <wp:posOffset>210820</wp:posOffset>
            </wp:positionV>
            <wp:extent cx="464820" cy="464820"/>
            <wp:effectExtent l="0" t="0" r="0" b="0"/>
            <wp:wrapSquare wrapText="bothSides"/>
            <wp:docPr id="18" name="Graphic 18" descr="Handshak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ownload?provider=MicrosoftIcon&amp;fileName=Handshake.sv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001F1" w:rsidRPr="002073EA" w:rsidRDefault="007001F1" w:rsidP="007001F1">
      <w:pPr>
        <w:spacing w:line="360" w:lineRule="auto"/>
        <w:jc w:val="both"/>
        <w:rPr>
          <w:rFonts w:ascii="Garamond" w:hAnsi="Garamond"/>
          <w:b/>
          <w:sz w:val="24"/>
          <w:szCs w:val="24"/>
        </w:rPr>
      </w:pPr>
      <w:r w:rsidRPr="002073EA">
        <w:rPr>
          <w:rFonts w:ascii="Garamond" w:hAnsi="Garamond"/>
          <w:b/>
          <w:sz w:val="24"/>
          <w:szCs w:val="24"/>
        </w:rPr>
        <w:t>Recommended actions for the Governor</w:t>
      </w:r>
    </w:p>
    <w:p w:rsidR="007001F1" w:rsidRPr="001F67D6" w:rsidRDefault="00AB62F9" w:rsidP="001F67D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Support the Service in the deployment of an automated platform for tax collection and the management of accounting information.</w:t>
      </w:r>
      <w:r w:rsidR="001F67D6">
        <w:rPr>
          <w:rFonts w:ascii="Garamond" w:hAnsi="Garamond"/>
          <w:sz w:val="24"/>
          <w:szCs w:val="24"/>
        </w:rPr>
        <w:t xml:space="preserve"> This includes </w:t>
      </w:r>
      <w:r w:rsidR="00824017">
        <w:rPr>
          <w:rFonts w:ascii="Garamond" w:hAnsi="Garamond"/>
          <w:sz w:val="24"/>
          <w:szCs w:val="24"/>
        </w:rPr>
        <w:t>gradual</w:t>
      </w:r>
      <w:r w:rsidR="001F67D6" w:rsidRPr="001E2F5F">
        <w:rPr>
          <w:rFonts w:ascii="Garamond" w:hAnsi="Garamond"/>
          <w:sz w:val="24"/>
          <w:szCs w:val="24"/>
        </w:rPr>
        <w:t xml:space="preserve"> implementation of </w:t>
      </w:r>
      <w:r w:rsidR="001F67D6">
        <w:rPr>
          <w:rFonts w:ascii="Garamond" w:hAnsi="Garamond"/>
          <w:sz w:val="24"/>
          <w:szCs w:val="24"/>
        </w:rPr>
        <w:t>e</w:t>
      </w:r>
      <w:r w:rsidR="001F67D6" w:rsidRPr="001E2F5F">
        <w:rPr>
          <w:rFonts w:ascii="Garamond" w:hAnsi="Garamond"/>
          <w:sz w:val="24"/>
          <w:szCs w:val="24"/>
        </w:rPr>
        <w:t xml:space="preserve">-billing </w:t>
      </w:r>
      <w:r w:rsidR="001F67D6">
        <w:rPr>
          <w:rFonts w:ascii="Garamond" w:hAnsi="Garamond"/>
          <w:sz w:val="24"/>
          <w:szCs w:val="24"/>
        </w:rPr>
        <w:t xml:space="preserve">payment systems </w:t>
      </w:r>
      <w:r w:rsidR="001F67D6" w:rsidRPr="001E2F5F">
        <w:rPr>
          <w:rFonts w:ascii="Garamond" w:hAnsi="Garamond"/>
          <w:sz w:val="24"/>
          <w:szCs w:val="24"/>
        </w:rPr>
        <w:t xml:space="preserve">across all MDAs to </w:t>
      </w:r>
      <w:r w:rsidR="001F67D6">
        <w:rPr>
          <w:rFonts w:ascii="Garamond" w:hAnsi="Garamond"/>
          <w:sz w:val="24"/>
          <w:szCs w:val="24"/>
        </w:rPr>
        <w:t>block leakages (c</w:t>
      </w:r>
      <w:r w:rsidR="001F67D6" w:rsidRPr="001E2F5F">
        <w:rPr>
          <w:rFonts w:ascii="Garamond" w:hAnsi="Garamond"/>
          <w:sz w:val="24"/>
          <w:szCs w:val="24"/>
        </w:rPr>
        <w:t>urrently</w:t>
      </w:r>
      <w:r w:rsidR="001F67D6">
        <w:rPr>
          <w:rFonts w:ascii="Garamond" w:hAnsi="Garamond"/>
          <w:sz w:val="24"/>
          <w:szCs w:val="24"/>
        </w:rPr>
        <w:t>,</w:t>
      </w:r>
      <w:r w:rsidR="00824017">
        <w:rPr>
          <w:rFonts w:ascii="Garamond" w:hAnsi="Garamond"/>
          <w:sz w:val="24"/>
          <w:szCs w:val="24"/>
        </w:rPr>
        <w:t xml:space="preserve"> some MDAs</w:t>
      </w:r>
      <w:r w:rsidR="001F67D6" w:rsidRPr="001E2F5F">
        <w:rPr>
          <w:rFonts w:ascii="Garamond" w:hAnsi="Garamond"/>
          <w:sz w:val="24"/>
          <w:szCs w:val="24"/>
        </w:rPr>
        <w:t xml:space="preserve"> collect cash</w:t>
      </w:r>
      <w:r w:rsidR="001F67D6">
        <w:rPr>
          <w:rFonts w:ascii="Garamond" w:hAnsi="Garamond"/>
          <w:sz w:val="24"/>
          <w:szCs w:val="24"/>
        </w:rPr>
        <w:t xml:space="preserve"> payments</w:t>
      </w:r>
      <w:r w:rsidR="001F67D6" w:rsidRPr="001E2F5F">
        <w:rPr>
          <w:rFonts w:ascii="Garamond" w:hAnsi="Garamond"/>
          <w:sz w:val="24"/>
          <w:szCs w:val="24"/>
        </w:rPr>
        <w:t>)</w:t>
      </w:r>
      <w:r w:rsidR="001F67D6">
        <w:rPr>
          <w:rFonts w:ascii="Garamond" w:hAnsi="Garamond"/>
          <w:sz w:val="24"/>
          <w:szCs w:val="24"/>
        </w:rPr>
        <w:t>.</w:t>
      </w:r>
    </w:p>
    <w:p w:rsidR="007001F1" w:rsidRPr="001F2CAC" w:rsidRDefault="007001F1" w:rsidP="007001F1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Facilitate interagency cooperation to strengthen the State’s tax collection mechanism</w:t>
      </w:r>
      <w:r w:rsidR="001F67D6">
        <w:rPr>
          <w:rFonts w:ascii="Garamond" w:hAnsi="Garamond"/>
          <w:sz w:val="24"/>
          <w:szCs w:val="24"/>
        </w:rPr>
        <w:t xml:space="preserve"> and ensure that all revenue</w:t>
      </w:r>
      <w:r w:rsidR="00824017">
        <w:rPr>
          <w:rFonts w:ascii="Garamond" w:hAnsi="Garamond"/>
          <w:sz w:val="24"/>
          <w:szCs w:val="24"/>
        </w:rPr>
        <w:t>s</w:t>
      </w:r>
      <w:r w:rsidR="001F67D6">
        <w:rPr>
          <w:rFonts w:ascii="Garamond" w:hAnsi="Garamond"/>
          <w:sz w:val="24"/>
          <w:szCs w:val="24"/>
        </w:rPr>
        <w:t xml:space="preserve"> collected by MDAs are paid directly into a consolidated revenue account</w:t>
      </w:r>
      <w:r w:rsidR="00AB62F9">
        <w:rPr>
          <w:rFonts w:ascii="Garamond" w:hAnsi="Garamond"/>
          <w:sz w:val="24"/>
          <w:szCs w:val="24"/>
        </w:rPr>
        <w:t>.</w:t>
      </w:r>
    </w:p>
    <w:p w:rsidR="007001F1" w:rsidRPr="001F2CAC" w:rsidRDefault="007001F1" w:rsidP="007001F1">
      <w:pPr>
        <w:spacing w:line="360" w:lineRule="auto"/>
        <w:jc w:val="both"/>
        <w:rPr>
          <w:rFonts w:ascii="Garamond" w:hAnsi="Garamond"/>
          <w:sz w:val="24"/>
          <w:szCs w:val="24"/>
        </w:rPr>
      </w:pPr>
      <w:bookmarkStart w:id="1" w:name="_GoBack"/>
      <w:bookmarkEnd w:id="1"/>
      <w:r w:rsidRPr="001F2CAC">
        <w:rPr>
          <w:rFonts w:ascii="Garamond" w:hAnsi="Garamond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461E8D49" wp14:editId="1D1EFFC4">
            <wp:simplePos x="0" y="0"/>
            <wp:positionH relativeFrom="column">
              <wp:posOffset>0</wp:posOffset>
            </wp:positionH>
            <wp:positionV relativeFrom="paragraph">
              <wp:posOffset>116840</wp:posOffset>
            </wp:positionV>
            <wp:extent cx="548640" cy="548640"/>
            <wp:effectExtent l="0" t="0" r="3810" b="0"/>
            <wp:wrapSquare wrapText="bothSides"/>
            <wp:docPr id="14" name="Graphic 14" descr="Mon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ownload?provider=MicrosoftIcon&amp;fileName=Money.sv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001F1" w:rsidRPr="002073EA" w:rsidRDefault="007001F1" w:rsidP="007001F1">
      <w:pPr>
        <w:spacing w:line="276" w:lineRule="auto"/>
        <w:jc w:val="both"/>
        <w:rPr>
          <w:rFonts w:ascii="Garamond" w:hAnsi="Garamond"/>
          <w:b/>
          <w:sz w:val="24"/>
          <w:szCs w:val="24"/>
        </w:rPr>
      </w:pPr>
      <w:r w:rsidRPr="002073EA">
        <w:rPr>
          <w:rFonts w:ascii="Garamond" w:hAnsi="Garamond"/>
          <w:b/>
          <w:sz w:val="24"/>
          <w:szCs w:val="24"/>
        </w:rPr>
        <w:t>Revenue Profile</w:t>
      </w:r>
    </w:p>
    <w:p w:rsidR="007001F1" w:rsidRDefault="007001F1" w:rsidP="007001F1">
      <w:p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388620</wp:posOffset>
            </wp:positionH>
            <wp:positionV relativeFrom="paragraph">
              <wp:posOffset>8890</wp:posOffset>
            </wp:positionV>
            <wp:extent cx="5654040" cy="2979420"/>
            <wp:effectExtent l="0" t="0" r="3810" b="11430"/>
            <wp:wrapSquare wrapText="bothSides"/>
            <wp:docPr id="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A919CDE-5140-4C9B-915D-6AE70126C61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001F1" w:rsidRPr="002073EA" w:rsidRDefault="007001F1" w:rsidP="007001F1">
      <w:pPr>
        <w:rPr>
          <w:rFonts w:ascii="Garamond" w:hAnsi="Garamond"/>
          <w:sz w:val="24"/>
          <w:szCs w:val="24"/>
        </w:rPr>
      </w:pPr>
    </w:p>
    <w:p w:rsidR="007001F1" w:rsidRPr="002073EA" w:rsidRDefault="007001F1" w:rsidP="007001F1">
      <w:pPr>
        <w:rPr>
          <w:rFonts w:ascii="Garamond" w:hAnsi="Garamond"/>
          <w:sz w:val="24"/>
          <w:szCs w:val="24"/>
        </w:rPr>
      </w:pPr>
    </w:p>
    <w:p w:rsidR="007001F1" w:rsidRPr="002073EA" w:rsidRDefault="007001F1" w:rsidP="007001F1">
      <w:pPr>
        <w:rPr>
          <w:rFonts w:ascii="Garamond" w:hAnsi="Garamond"/>
          <w:sz w:val="24"/>
          <w:szCs w:val="24"/>
        </w:rPr>
      </w:pPr>
    </w:p>
    <w:p w:rsidR="007001F1" w:rsidRPr="002073EA" w:rsidRDefault="007001F1" w:rsidP="007001F1">
      <w:pPr>
        <w:rPr>
          <w:rFonts w:ascii="Garamond" w:hAnsi="Garamond"/>
          <w:sz w:val="24"/>
          <w:szCs w:val="24"/>
        </w:rPr>
      </w:pPr>
    </w:p>
    <w:p w:rsidR="007001F1" w:rsidRPr="002073EA" w:rsidRDefault="007001F1" w:rsidP="007001F1">
      <w:pPr>
        <w:rPr>
          <w:rFonts w:ascii="Garamond" w:hAnsi="Garamond"/>
          <w:sz w:val="24"/>
          <w:szCs w:val="24"/>
        </w:rPr>
      </w:pPr>
    </w:p>
    <w:p w:rsidR="007001F1" w:rsidRPr="002073EA" w:rsidRDefault="007001F1" w:rsidP="007001F1">
      <w:pPr>
        <w:rPr>
          <w:rFonts w:ascii="Garamond" w:hAnsi="Garamond"/>
          <w:sz w:val="24"/>
          <w:szCs w:val="24"/>
        </w:rPr>
      </w:pPr>
    </w:p>
    <w:p w:rsidR="007001F1" w:rsidRPr="002073EA" w:rsidRDefault="007001F1" w:rsidP="007001F1">
      <w:pPr>
        <w:rPr>
          <w:rFonts w:ascii="Garamond" w:hAnsi="Garamond"/>
          <w:sz w:val="24"/>
          <w:szCs w:val="24"/>
        </w:rPr>
      </w:pPr>
    </w:p>
    <w:p w:rsidR="007001F1" w:rsidRPr="002073EA" w:rsidRDefault="007001F1" w:rsidP="007001F1">
      <w:pPr>
        <w:rPr>
          <w:rFonts w:ascii="Garamond" w:hAnsi="Garamond"/>
          <w:sz w:val="24"/>
          <w:szCs w:val="24"/>
        </w:rPr>
      </w:pPr>
    </w:p>
    <w:p w:rsidR="007001F1" w:rsidRPr="002073EA" w:rsidRDefault="007001F1" w:rsidP="007001F1">
      <w:pPr>
        <w:rPr>
          <w:rFonts w:ascii="Garamond" w:hAnsi="Garamond"/>
          <w:sz w:val="24"/>
          <w:szCs w:val="24"/>
        </w:rPr>
      </w:pPr>
    </w:p>
    <w:bookmarkEnd w:id="0"/>
    <w:p w:rsidR="007001F1" w:rsidRPr="002073EA" w:rsidRDefault="007001F1" w:rsidP="007001F1">
      <w:pPr>
        <w:rPr>
          <w:rFonts w:ascii="Garamond" w:hAnsi="Garamond"/>
          <w:sz w:val="24"/>
          <w:szCs w:val="24"/>
        </w:rPr>
      </w:pPr>
    </w:p>
    <w:p w:rsidR="00AB62F9" w:rsidRDefault="00AB62F9"/>
    <w:p w:rsidR="00AB62F9" w:rsidRPr="00AB62F9" w:rsidRDefault="00AB62F9" w:rsidP="00AB62F9"/>
    <w:p w:rsidR="00517675" w:rsidRPr="00AB62F9" w:rsidRDefault="00AB62F9" w:rsidP="00AB62F9">
      <w:pPr>
        <w:tabs>
          <w:tab w:val="left" w:pos="2724"/>
        </w:tabs>
      </w:pPr>
      <w:r>
        <w:tab/>
      </w:r>
    </w:p>
    <w:sectPr w:rsidR="00517675" w:rsidRPr="00AB62F9" w:rsidSect="001F67D6">
      <w:headerReference w:type="default" r:id="rId17"/>
      <w:footerReference w:type="default" r:id="rId18"/>
      <w:headerReference w:type="first" r:id="rId19"/>
      <w:pgSz w:w="12240" w:h="15840"/>
      <w:pgMar w:top="1710" w:right="1440" w:bottom="630" w:left="1440" w:header="540" w:footer="4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B62F9" w:rsidRDefault="00AB62F9" w:rsidP="00AB62F9">
      <w:pPr>
        <w:spacing w:after="0" w:line="240" w:lineRule="auto"/>
      </w:pPr>
      <w:r>
        <w:separator/>
      </w:r>
    </w:p>
  </w:endnote>
  <w:endnote w:type="continuationSeparator" w:id="0">
    <w:p w:rsidR="00AB62F9" w:rsidRDefault="00AB62F9" w:rsidP="00AB62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2C9D" w:rsidRPr="001F67D6" w:rsidRDefault="001F67D6" w:rsidP="001F67D6">
    <w:pPr>
      <w:tabs>
        <w:tab w:val="left" w:pos="5328"/>
      </w:tabs>
      <w:spacing w:after="0" w:line="360" w:lineRule="auto"/>
      <w:rPr>
        <w:rFonts w:ascii="Garamond" w:hAnsi="Garamond"/>
      </w:rPr>
    </w:pPr>
    <w:r w:rsidRPr="001F67D6">
      <w:rPr>
        <w:rFonts w:ascii="Garamond" w:hAnsi="Garamond"/>
        <w:b/>
      </w:rPr>
      <w:t>F</w:t>
    </w:r>
    <w:r w:rsidR="00AB62F9" w:rsidRPr="001F67D6">
      <w:rPr>
        <w:rFonts w:ascii="Garamond" w:hAnsi="Garamond"/>
        <w:b/>
      </w:rPr>
      <w:t>or further information:</w:t>
    </w:r>
    <w:r w:rsidRPr="001F67D6">
      <w:rPr>
        <w:rFonts w:ascii="Garamond" w:hAnsi="Garamond"/>
        <w:b/>
      </w:rPr>
      <w:t xml:space="preserve"> </w:t>
    </w:r>
    <w:r w:rsidR="00AB62F9" w:rsidRPr="001F67D6">
      <w:rPr>
        <w:rFonts w:ascii="Garamond" w:hAnsi="Garamond"/>
        <w:i/>
        <w:color w:val="0D0D0D" w:themeColor="text1" w:themeTint="F2"/>
        <w:lang w:val="en-GB"/>
      </w:rPr>
      <w:t>David Nabena |</w:t>
    </w:r>
    <w:r w:rsidRPr="001F67D6">
      <w:rPr>
        <w:rFonts w:ascii="Garamond" w:hAnsi="Garamond"/>
        <w:i/>
        <w:color w:val="0D0D0D" w:themeColor="text1" w:themeTint="F2"/>
        <w:lang w:val="en-GB"/>
      </w:rPr>
      <w:t xml:space="preserve"> Economist | </w:t>
    </w:r>
    <w:r w:rsidR="00AB62F9" w:rsidRPr="001F67D6">
      <w:rPr>
        <w:rFonts w:ascii="Garamond" w:hAnsi="Garamond"/>
        <w:i/>
        <w:color w:val="0D0D0D" w:themeColor="text1" w:themeTint="F2"/>
        <w:lang w:val="en-GB"/>
      </w:rPr>
      <w:t>Tel:</w:t>
    </w:r>
    <w:r w:rsidRPr="001F67D6">
      <w:rPr>
        <w:rFonts w:ascii="Garamond" w:hAnsi="Garamond"/>
        <w:i/>
        <w:color w:val="0D0D0D" w:themeColor="text1" w:themeTint="F2"/>
        <w:lang w:val="en-GB"/>
      </w:rPr>
      <w:t xml:space="preserve"> </w:t>
    </w:r>
    <w:r w:rsidR="00AB62F9" w:rsidRPr="001F67D6">
      <w:rPr>
        <w:rFonts w:ascii="Garamond" w:hAnsi="Garamond"/>
        <w:i/>
        <w:color w:val="0D0D0D" w:themeColor="text1" w:themeTint="F2"/>
        <w:lang w:val="en-GB"/>
      </w:rPr>
      <w:t>08188719234 | Email:</w:t>
    </w:r>
    <w:r w:rsidRPr="001F67D6">
      <w:rPr>
        <w:rFonts w:ascii="Garamond" w:hAnsi="Garamond"/>
        <w:i/>
        <w:color w:val="0D0D0D" w:themeColor="text1" w:themeTint="F2"/>
        <w:lang w:val="en-GB"/>
      </w:rPr>
      <w:t xml:space="preserve"> </w:t>
    </w:r>
    <w:hyperlink r:id="rId1" w:history="1">
      <w:r w:rsidR="00AB62F9" w:rsidRPr="001F67D6">
        <w:rPr>
          <w:rStyle w:val="Hyperlink"/>
          <w:rFonts w:ascii="Garamond" w:hAnsi="Garamond"/>
          <w:i/>
          <w:lang w:val="en-GB"/>
        </w:rPr>
        <w:t>dnabena@nggovernorsforum.org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B62F9" w:rsidRDefault="00AB62F9" w:rsidP="00AB62F9">
      <w:pPr>
        <w:spacing w:after="0" w:line="240" w:lineRule="auto"/>
      </w:pPr>
      <w:r>
        <w:separator/>
      </w:r>
    </w:p>
  </w:footnote>
  <w:footnote w:type="continuationSeparator" w:id="0">
    <w:p w:rsidR="00AB62F9" w:rsidRDefault="00AB62F9" w:rsidP="00AB62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87E09" w:rsidRDefault="00AB62F9" w:rsidP="00B87E09">
    <w:pPr>
      <w:pStyle w:val="Header"/>
      <w:ind w:left="2520" w:firstLine="4680"/>
    </w:pPr>
    <w:r w:rsidRPr="00B87E09">
      <w:rPr>
        <w:rFonts w:ascii="Calibri" w:eastAsia="Times New Roman" w:hAnsi="Calibri" w:cs="Times New Roman"/>
        <w:noProof/>
        <w:color w:val="000000"/>
      </w:rPr>
      <w:drawing>
        <wp:anchor distT="0" distB="0" distL="114300" distR="114300" simplePos="0" relativeHeight="251659264" behindDoc="0" locked="0" layoutInCell="1" allowOverlap="1" wp14:anchorId="4AE10FCF" wp14:editId="3728593B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125980" cy="708660"/>
          <wp:effectExtent l="0" t="0" r="0" b="0"/>
          <wp:wrapNone/>
          <wp:docPr id="5" name="Picture 5">
            <a:extLst xmlns:a="http://schemas.openxmlformats.org/drawingml/2006/main">
              <a:ext uri="{FF2B5EF4-FFF2-40B4-BE49-F238E27FC236}">
                <a16:creationId xmlns:a16="http://schemas.microsoft.com/office/drawing/2014/main" id="{9AF1EA0B-B025-427A-BFC8-0A233EEEB3C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9AF1EA0B-B025-427A-BFC8-0A233EEEB3CF}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8324" cy="7178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B87E09" w:rsidRDefault="00824017" w:rsidP="00B87E09">
    <w:pPr>
      <w:pStyle w:val="Header"/>
      <w:ind w:left="2520" w:firstLine="4680"/>
    </w:pPr>
  </w:p>
  <w:p w:rsidR="00B87E09" w:rsidRDefault="00824017" w:rsidP="00B87E09">
    <w:pPr>
      <w:pStyle w:val="Header"/>
      <w:ind w:left="2520" w:firstLine="4680"/>
    </w:pPr>
  </w:p>
  <w:p w:rsidR="00B87E09" w:rsidRPr="00B87E09" w:rsidRDefault="00AB62F9" w:rsidP="00B87E09">
    <w:pPr>
      <w:pStyle w:val="Header"/>
      <w:ind w:left="2520"/>
      <w:jc w:val="right"/>
      <w:rPr>
        <w:rFonts w:ascii="Garamond" w:hAnsi="Garamond"/>
        <w:sz w:val="32"/>
        <w:szCs w:val="32"/>
      </w:rPr>
    </w:pPr>
    <w:r>
      <w:rPr>
        <w:rFonts w:ascii="Garamond" w:hAnsi="Garamond"/>
        <w:sz w:val="32"/>
        <w:szCs w:val="32"/>
      </w:rPr>
      <w:t>JU</w:t>
    </w:r>
    <w:r w:rsidR="009D5280">
      <w:rPr>
        <w:rFonts w:ascii="Garamond" w:hAnsi="Garamond"/>
        <w:sz w:val="32"/>
        <w:szCs w:val="32"/>
      </w:rPr>
      <w:t>LY</w:t>
    </w:r>
    <w:r w:rsidRPr="00B87E09">
      <w:rPr>
        <w:rFonts w:ascii="Garamond" w:hAnsi="Garamond"/>
        <w:sz w:val="32"/>
        <w:szCs w:val="32"/>
      </w:rPr>
      <w:t xml:space="preserve"> 2017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2C9D" w:rsidRPr="00F427BA" w:rsidRDefault="00AB62F9" w:rsidP="009C2C9D">
    <w:pPr>
      <w:pStyle w:val="Header"/>
      <w:ind w:left="2520" w:firstLine="4680"/>
      <w:rPr>
        <w:sz w:val="28"/>
        <w:szCs w:val="28"/>
      </w:rPr>
    </w:pPr>
    <w:r w:rsidRPr="00F427BA">
      <w:rPr>
        <w:rFonts w:ascii="Calibri" w:eastAsia="Times New Roman" w:hAnsi="Calibri" w:cs="Times New Roman"/>
        <w:noProof/>
        <w:color w:val="000000"/>
        <w:sz w:val="28"/>
        <w:szCs w:val="28"/>
      </w:rPr>
      <w:drawing>
        <wp:anchor distT="0" distB="0" distL="114300" distR="114300" simplePos="0" relativeHeight="251660288" behindDoc="0" locked="0" layoutInCell="1" allowOverlap="1" wp14:anchorId="21F40EE4" wp14:editId="2AEC0E3B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125980" cy="708660"/>
          <wp:effectExtent l="0" t="0" r="0" b="0"/>
          <wp:wrapNone/>
          <wp:docPr id="6" name="Picture 6">
            <a:extLst xmlns:a="http://schemas.openxmlformats.org/drawingml/2006/main">
              <a:ext uri="{FF2B5EF4-FFF2-40B4-BE49-F238E27FC236}">
                <a16:creationId xmlns:a16="http://schemas.microsoft.com/office/drawing/2014/main" id="{9AF1EA0B-B025-427A-BFC8-0A233EEEB3C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9AF1EA0B-B025-427A-BFC8-0A233EEEB3CF}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8324" cy="7178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C2C9D" w:rsidRPr="00F427BA" w:rsidRDefault="00824017" w:rsidP="009C2C9D">
    <w:pPr>
      <w:pStyle w:val="Header"/>
      <w:ind w:left="2520" w:firstLine="4680"/>
      <w:rPr>
        <w:sz w:val="42"/>
        <w:szCs w:val="28"/>
      </w:rPr>
    </w:pPr>
  </w:p>
  <w:p w:rsidR="009C2C9D" w:rsidRPr="00F427BA" w:rsidRDefault="001F67D6" w:rsidP="009C2C9D">
    <w:pPr>
      <w:pStyle w:val="Header"/>
      <w:ind w:left="2520"/>
      <w:jc w:val="right"/>
      <w:rPr>
        <w:rFonts w:ascii="Garamond" w:hAnsi="Garamond"/>
        <w:color w:val="385623" w:themeColor="accent6" w:themeShade="80"/>
        <w:sz w:val="28"/>
        <w:szCs w:val="28"/>
      </w:rPr>
    </w:pPr>
    <w:r>
      <w:rPr>
        <w:rFonts w:ascii="Garamond" w:hAnsi="Garamond"/>
        <w:color w:val="385623" w:themeColor="accent6" w:themeShade="80"/>
        <w:sz w:val="28"/>
        <w:szCs w:val="28"/>
      </w:rPr>
      <w:t>JULY</w:t>
    </w:r>
    <w:r w:rsidR="00AB62F9">
      <w:rPr>
        <w:rFonts w:ascii="Garamond" w:hAnsi="Garamond"/>
        <w:color w:val="385623" w:themeColor="accent6" w:themeShade="80"/>
        <w:sz w:val="28"/>
        <w:szCs w:val="28"/>
      </w:rPr>
      <w:t xml:space="preserve"> </w:t>
    </w:r>
    <w:r w:rsidR="00AB62F9" w:rsidRPr="00F427BA">
      <w:rPr>
        <w:rFonts w:ascii="Garamond" w:hAnsi="Garamond"/>
        <w:color w:val="385623" w:themeColor="accent6" w:themeShade="80"/>
        <w:sz w:val="28"/>
        <w:szCs w:val="28"/>
      </w:rPr>
      <w:t>2017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962FAE"/>
    <w:multiLevelType w:val="hybridMultilevel"/>
    <w:tmpl w:val="A828B2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6F017FC"/>
    <w:multiLevelType w:val="hybridMultilevel"/>
    <w:tmpl w:val="A38A7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72194A"/>
    <w:multiLevelType w:val="hybridMultilevel"/>
    <w:tmpl w:val="BE7293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01F1"/>
    <w:rsid w:val="00113C36"/>
    <w:rsid w:val="001D2F49"/>
    <w:rsid w:val="001F67D6"/>
    <w:rsid w:val="00453084"/>
    <w:rsid w:val="00517675"/>
    <w:rsid w:val="00604A68"/>
    <w:rsid w:val="007001F1"/>
    <w:rsid w:val="00824017"/>
    <w:rsid w:val="009D5280"/>
    <w:rsid w:val="00AB62F9"/>
    <w:rsid w:val="00D76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72312149"/>
  <w15:chartTrackingRefBased/>
  <w15:docId w15:val="{BC106043-FB3C-44F7-8519-9699A9B65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001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01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01F1"/>
  </w:style>
  <w:style w:type="character" w:styleId="Hyperlink">
    <w:name w:val="Hyperlink"/>
    <w:basedOn w:val="DefaultParagraphFont"/>
    <w:uiPriority w:val="99"/>
    <w:unhideWhenUsed/>
    <w:rsid w:val="007001F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001F1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AB62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62F9"/>
  </w:style>
  <w:style w:type="paragraph" w:styleId="BalloonText">
    <w:name w:val="Balloon Text"/>
    <w:basedOn w:val="Normal"/>
    <w:link w:val="BalloonTextChar"/>
    <w:uiPriority w:val="99"/>
    <w:semiHidden/>
    <w:unhideWhenUsed/>
    <w:rsid w:val="00113C3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3C3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chart" Target="charts/chart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dnabena@nggovernorsforum.or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oleObject" Target="file:///C:\Users\dnabena.NGF\Documents\IGR%20DATA%20DASHBOARD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320" b="1" i="0" u="none" strike="noStrike" kern="1200" spc="0" baseline="0">
                <a:solidFill>
                  <a:schemeClr val="bg2">
                    <a:lumMod val="10000"/>
                  </a:schemeClr>
                </a:solidFill>
                <a:latin typeface="Garamond" panose="02020404030301010803" pitchFamily="18" charset="0"/>
                <a:ea typeface="+mn-ea"/>
                <a:cs typeface="+mn-cs"/>
              </a:defRPr>
            </a:pPr>
            <a:r>
              <a:rPr lang="en-US" b="1"/>
              <a:t>Edo State's Recurrent Revenue, Jan - May, 2017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320" b="1" i="0" u="none" strike="noStrike" kern="1200" spc="0" baseline="0">
              <a:solidFill>
                <a:schemeClr val="bg2">
                  <a:lumMod val="10000"/>
                </a:schemeClr>
              </a:solidFill>
              <a:latin typeface="Garamond" panose="02020404030301010803" pitchFamily="18" charset="0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Sheet1!$B$3</c:f>
              <c:strCache>
                <c:ptCount val="1"/>
                <c:pt idx="0">
                  <c:v>IGR</c:v>
                </c:pt>
              </c:strCache>
            </c:strRef>
          </c:tx>
          <c:spPr>
            <a:pattFill prst="wdUpDiag">
              <a:fgClr>
                <a:schemeClr val="accent6">
                  <a:lumMod val="50000"/>
                </a:schemeClr>
              </a:fgClr>
              <a:bgClr>
                <a:schemeClr val="bg1"/>
              </a:bgClr>
            </a:pattFill>
            <a:ln>
              <a:noFill/>
            </a:ln>
            <a:effectLst/>
          </c:spPr>
          <c:invertIfNegative val="0"/>
          <c:cat>
            <c:strRef>
              <c:f>Sheet1!$C$1:$G$1</c:f>
              <c:strCache>
                <c:ptCount val="5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</c:strCache>
            </c:strRef>
          </c:cat>
          <c:val>
            <c:numRef>
              <c:f>Sheet1!$C$5:$G$5</c:f>
              <c:numCache>
                <c:formatCode>#,##0</c:formatCode>
                <c:ptCount val="5"/>
                <c:pt idx="0">
                  <c:v>1975571681.9200001</c:v>
                </c:pt>
                <c:pt idx="1">
                  <c:v>2360900952.1399999</c:v>
                </c:pt>
                <c:pt idx="2">
                  <c:v>2832204226.1900001</c:v>
                </c:pt>
                <c:pt idx="3">
                  <c:v>1490991660.0699999</c:v>
                </c:pt>
                <c:pt idx="4">
                  <c:v>2188979079.4200001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AEA-49C3-8CD9-067FE378CD3F}"/>
            </c:ext>
          </c:extLst>
        </c:ser>
        <c:ser>
          <c:idx val="1"/>
          <c:order val="1"/>
          <c:tx>
            <c:strRef>
              <c:f>Sheet1!$B$14</c:f>
              <c:strCache>
                <c:ptCount val="1"/>
                <c:pt idx="0">
                  <c:v>Federation Allocation</c:v>
                </c:pt>
              </c:strCache>
            </c:strRef>
          </c:tx>
          <c:spPr>
            <a:solidFill>
              <a:schemeClr val="accent6">
                <a:lumMod val="50000"/>
              </a:schemeClr>
            </a:solidFill>
            <a:ln>
              <a:noFill/>
            </a:ln>
            <a:effectLst/>
          </c:spPr>
          <c:invertIfNegative val="0"/>
          <c:cat>
            <c:strRef>
              <c:f>Sheet1!$C$1:$G$1</c:f>
              <c:strCache>
                <c:ptCount val="5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</c:strCache>
            </c:strRef>
          </c:cat>
          <c:val>
            <c:numRef>
              <c:f>Sheet1!$C$16:$G$16</c:f>
              <c:numCache>
                <c:formatCode>#,##0</c:formatCode>
                <c:ptCount val="5"/>
                <c:pt idx="0">
                  <c:v>3101989444.71</c:v>
                </c:pt>
                <c:pt idx="1">
                  <c:v>3333085446.3600001</c:v>
                </c:pt>
                <c:pt idx="2">
                  <c:v>3035523208.8299999</c:v>
                </c:pt>
                <c:pt idx="3">
                  <c:v>3506540247.3699999</c:v>
                </c:pt>
                <c:pt idx="4">
                  <c:v>3045894334.3600001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AEA-49C3-8CD9-067FE378CD3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95"/>
        <c:overlap val="100"/>
        <c:axId val="379581112"/>
        <c:axId val="379580784"/>
      </c:barChart>
      <c:catAx>
        <c:axId val="37958111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bg2">
                    <a:lumMod val="10000"/>
                  </a:schemeClr>
                </a:solidFill>
                <a:latin typeface="Garamond" panose="02020404030301010803" pitchFamily="18" charset="0"/>
                <a:ea typeface="+mn-ea"/>
                <a:cs typeface="+mn-cs"/>
              </a:defRPr>
            </a:pPr>
            <a:endParaRPr lang="en-US"/>
          </a:p>
        </c:txPr>
        <c:crossAx val="379580784"/>
        <c:crosses val="autoZero"/>
        <c:auto val="1"/>
        <c:lblAlgn val="ctr"/>
        <c:lblOffset val="100"/>
        <c:noMultiLvlLbl val="0"/>
      </c:catAx>
      <c:valAx>
        <c:axId val="3795807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100" b="0" i="0" u="none" strike="noStrike" kern="1200" baseline="0">
                    <a:solidFill>
                      <a:schemeClr val="bg2">
                        <a:lumMod val="10000"/>
                      </a:schemeClr>
                    </a:solidFill>
                    <a:latin typeface="Garamond" panose="02020404030301010803" pitchFamily="18" charset="0"/>
                    <a:ea typeface="+mn-ea"/>
                    <a:cs typeface="+mn-cs"/>
                  </a:defRPr>
                </a:pPr>
                <a:r>
                  <a:rPr lang="en-US"/>
                  <a:t>NGN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100" b="0" i="0" u="none" strike="noStrike" kern="1200" baseline="0">
                  <a:solidFill>
                    <a:schemeClr val="bg2">
                      <a:lumMod val="10000"/>
                    </a:schemeClr>
                  </a:solidFill>
                  <a:latin typeface="Garamond" panose="02020404030301010803" pitchFamily="18" charset="0"/>
                  <a:ea typeface="+mn-ea"/>
                  <a:cs typeface="+mn-cs"/>
                </a:defRPr>
              </a:pPr>
              <a:endParaRPr lang="en-US"/>
            </a:p>
          </c:txPr>
        </c:title>
        <c:numFmt formatCode="#,##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bg2">
                    <a:lumMod val="10000"/>
                  </a:schemeClr>
                </a:solidFill>
                <a:latin typeface="Garamond" panose="02020404030301010803" pitchFamily="18" charset="0"/>
                <a:ea typeface="+mn-ea"/>
                <a:cs typeface="+mn-cs"/>
              </a:defRPr>
            </a:pPr>
            <a:endParaRPr lang="en-US"/>
          </a:p>
        </c:txPr>
        <c:crossAx val="379581112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1100" b="0" i="0" u="none" strike="noStrike" kern="1200" baseline="0">
                <a:solidFill>
                  <a:schemeClr val="bg2">
                    <a:lumMod val="10000"/>
                  </a:schemeClr>
                </a:solidFill>
                <a:latin typeface="Garamond" panose="02020404030301010803" pitchFamily="18" charset="0"/>
                <a:ea typeface="+mn-ea"/>
                <a:cs typeface="+mn-cs"/>
              </a:defRPr>
            </a:pPr>
            <a:endParaRPr lang="en-US"/>
          </a:p>
        </c:txPr>
      </c:dTable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100">
          <a:solidFill>
            <a:schemeClr val="bg2">
              <a:lumMod val="10000"/>
            </a:schemeClr>
          </a:solidFill>
          <a:latin typeface="Garamond" panose="02020404030301010803" pitchFamily="18" charset="0"/>
        </a:defRPr>
      </a:pPr>
      <a:endParaRPr lang="en-US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D81C00-9F2B-417D-BF44-C1945414F4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295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Nabena David</dc:creator>
  <cp:keywords/>
  <dc:description/>
  <cp:lastModifiedBy>Nabena David</cp:lastModifiedBy>
  <cp:revision>6</cp:revision>
  <cp:lastPrinted>2017-07-19T16:58:00Z</cp:lastPrinted>
  <dcterms:created xsi:type="dcterms:W3CDTF">2017-06-28T14:39:00Z</dcterms:created>
  <dcterms:modified xsi:type="dcterms:W3CDTF">2017-07-19T16:58:00Z</dcterms:modified>
</cp:coreProperties>
</file>