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1F1" w:rsidRPr="001F2CAC" w:rsidRDefault="007001F1" w:rsidP="007001F1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  <w:bookmarkStart w:id="0" w:name="_Hlk486358050"/>
    </w:p>
    <w:p w:rsidR="007001F1" w:rsidRPr="001F2CAC" w:rsidRDefault="007001F1" w:rsidP="007001F1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EDO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7001F1" w:rsidRPr="001F2CAC" w:rsidRDefault="007001F1" w:rsidP="007001F1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7001F1" w:rsidRPr="001F2CAC" w:rsidRDefault="007001F1" w:rsidP="007001F1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7001F1" w:rsidRPr="001F2CAC" w:rsidRDefault="007001F1" w:rsidP="007001F1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95F0EA6" wp14:editId="0EC1C97A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01F1" w:rsidRPr="001F2CAC" w:rsidRDefault="007001F1" w:rsidP="007001F1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63.23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7001F1" w:rsidRPr="001F2CAC" w:rsidRDefault="007001F1" w:rsidP="007001F1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B5B18A0" wp14:editId="30CC7AA8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01F1" w:rsidRPr="002073EA" w:rsidRDefault="007001F1" w:rsidP="007001F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7001F1" w:rsidRDefault="007001F1" w:rsidP="007001F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Commendable practices were recorded in areas</w:t>
      </w:r>
      <w:r>
        <w:rPr>
          <w:rFonts w:ascii="Garamond" w:hAnsi="Garamond"/>
          <w:sz w:val="24"/>
          <w:szCs w:val="24"/>
        </w:rPr>
        <w:t xml:space="preserve"> such as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the autonomy of the </w:t>
      </w:r>
      <w:r w:rsidR="00113C36">
        <w:rPr>
          <w:rFonts w:ascii="Garamond" w:hAnsi="Garamond"/>
          <w:sz w:val="24"/>
          <w:szCs w:val="24"/>
        </w:rPr>
        <w:t>Service</w:t>
      </w:r>
      <w:r>
        <w:rPr>
          <w:rFonts w:ascii="Garamond" w:hAnsi="Garamond"/>
          <w:sz w:val="24"/>
          <w:szCs w:val="24"/>
        </w:rPr>
        <w:t xml:space="preserve">, timely release of budgeted funds, full ICT capability in 28 of the State’s 32 field offices, and the presence of a special unit to </w:t>
      </w:r>
      <w:r w:rsidR="00113C36">
        <w:rPr>
          <w:rFonts w:ascii="Garamond" w:hAnsi="Garamond"/>
          <w:sz w:val="24"/>
          <w:szCs w:val="24"/>
        </w:rPr>
        <w:t>manage</w:t>
      </w:r>
      <w:r>
        <w:rPr>
          <w:rFonts w:ascii="Garamond" w:hAnsi="Garamond"/>
          <w:sz w:val="24"/>
          <w:szCs w:val="24"/>
        </w:rPr>
        <w:t xml:space="preserve"> high net worth individuals.</w:t>
      </w:r>
      <w:r w:rsidRPr="001F2CAC">
        <w:rPr>
          <w:rFonts w:ascii="Garamond" w:hAnsi="Garamond"/>
          <w:sz w:val="24"/>
          <w:szCs w:val="24"/>
        </w:rPr>
        <w:t xml:space="preserve"> </w:t>
      </w:r>
    </w:p>
    <w:p w:rsidR="007001F1" w:rsidRDefault="007001F1" w:rsidP="007001F1">
      <w:pPr>
        <w:pStyle w:val="ListParagraph"/>
        <w:numPr>
          <w:ilvl w:val="0"/>
          <w:numId w:val="1"/>
        </w:numPr>
        <w:tabs>
          <w:tab w:val="left" w:pos="4536"/>
        </w:tabs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The </w:t>
      </w:r>
      <w:r w:rsidR="00113C36">
        <w:rPr>
          <w:rFonts w:ascii="Garamond" w:hAnsi="Garamond"/>
          <w:sz w:val="24"/>
          <w:szCs w:val="24"/>
        </w:rPr>
        <w:t>major</w:t>
      </w:r>
      <w:r>
        <w:rPr>
          <w:rFonts w:ascii="Garamond" w:hAnsi="Garamond"/>
          <w:sz w:val="24"/>
          <w:szCs w:val="24"/>
        </w:rPr>
        <w:t xml:space="preserve"> challenge faced by the State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is the absence of a centrally automated platform for tax collection and the management of accounting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information</w:t>
      </w:r>
      <w:r w:rsidR="00113C36">
        <w:rPr>
          <w:rFonts w:ascii="Garamond" w:hAnsi="Garamond"/>
          <w:sz w:val="24"/>
          <w:szCs w:val="24"/>
        </w:rPr>
        <w:t xml:space="preserve">. This is </w:t>
      </w:r>
      <w:r w:rsidR="00AB62F9">
        <w:rPr>
          <w:rFonts w:ascii="Garamond" w:hAnsi="Garamond"/>
          <w:sz w:val="24"/>
          <w:szCs w:val="24"/>
        </w:rPr>
        <w:t xml:space="preserve">a critical strategy for blocking leakages and </w:t>
      </w:r>
      <w:r w:rsidR="00113C36">
        <w:rPr>
          <w:rFonts w:ascii="Garamond" w:hAnsi="Garamond"/>
          <w:sz w:val="24"/>
          <w:szCs w:val="24"/>
        </w:rPr>
        <w:t>monitoring revenue flows.</w:t>
      </w:r>
    </w:p>
    <w:p w:rsidR="007001F1" w:rsidRPr="001F2CAC" w:rsidRDefault="007001F1" w:rsidP="007001F1">
      <w:pPr>
        <w:pStyle w:val="ListParagraph"/>
        <w:tabs>
          <w:tab w:val="left" w:pos="4536"/>
        </w:tabs>
        <w:spacing w:line="360" w:lineRule="auto"/>
        <w:jc w:val="both"/>
        <w:rPr>
          <w:rFonts w:ascii="Garamond" w:hAnsi="Garamond"/>
          <w:sz w:val="24"/>
          <w:szCs w:val="24"/>
        </w:rPr>
      </w:pPr>
    </w:p>
    <w:tbl>
      <w:tblPr>
        <w:tblW w:w="9193" w:type="dxa"/>
        <w:jc w:val="center"/>
        <w:tblLook w:val="04A0" w:firstRow="1" w:lastRow="0" w:firstColumn="1" w:lastColumn="0" w:noHBand="0" w:noVBand="1"/>
      </w:tblPr>
      <w:tblGrid>
        <w:gridCol w:w="7015"/>
        <w:gridCol w:w="2178"/>
      </w:tblGrid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ASSESSMENT AREAS</w:t>
            </w:r>
          </w:p>
        </w:tc>
        <w:tc>
          <w:tcPr>
            <w:tcW w:w="217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Q1, 2017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Overall Tax Performance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6</w:t>
            </w: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3.23</w:t>
            </w:r>
          </w:p>
        </w:tc>
      </w:tr>
      <w:tr w:rsidR="007001F1" w:rsidRPr="001F2CAC" w:rsidTr="00F45CE6">
        <w:trPr>
          <w:trHeight w:val="178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  <w:t>Tax Administration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  <w:t>77.61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proofErr w:type="spellStart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Organisational</w:t>
            </w:r>
            <w:proofErr w:type="spellEnd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 xml:space="preserve"> and institutional arrangements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75.56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Availability and sufficiency of IRS budget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100.00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Salary incentives, IRS Staff skills and training levels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74.58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SBIRS outreach in districts (no. of tax offices)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60.32</w:t>
            </w:r>
          </w:p>
        </w:tc>
      </w:tr>
      <w:tr w:rsidR="007001F1" w:rsidRPr="001F2CAC" w:rsidTr="009F1AF9">
        <w:trPr>
          <w:trHeight w:val="119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Tax Procedures (registration, filling, assessment and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72.36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Tax registration using Unified Tax Identification Number (TIN)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72.22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Efficiency of tax collection (best of judgement vs self- assessment)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72</w:t>
            </w:r>
            <w:r w:rsidRPr="001F2CAC"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.50</w:t>
            </w:r>
          </w:p>
        </w:tc>
      </w:tr>
      <w:tr w:rsidR="007001F1" w:rsidRPr="001F2CAC" w:rsidTr="00F6018C">
        <w:trPr>
          <w:trHeight w:val="161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Tax Processing (manual vs automated)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45.24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  <w:t>Tax payment (cash paid to tax officers versus bank and electronic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  <w:t>45.24</w:t>
            </w:r>
          </w:p>
        </w:tc>
      </w:tr>
      <w:tr w:rsidR="007001F1" w:rsidRPr="001F2CAC" w:rsidTr="00051180">
        <w:trPr>
          <w:trHeight w:val="178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Tax Enforcement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57.7</w:t>
            </w:r>
            <w:r w:rsidRPr="001F2CAC"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3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Capacity for taxpayer audits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69.23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Tax awareness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65.15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Complaints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46.53</w:t>
            </w:r>
          </w:p>
        </w:tc>
      </w:tr>
      <w:tr w:rsidR="007001F1" w:rsidRPr="001F2CAC" w:rsidTr="00435A14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Double Taxation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001F1" w:rsidRPr="001F2CAC" w:rsidRDefault="007001F1" w:rsidP="00435A14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5</w:t>
            </w:r>
            <w:r w:rsidRPr="001F2CAC"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0.00</w:t>
            </w:r>
          </w:p>
        </w:tc>
      </w:tr>
    </w:tbl>
    <w:p w:rsidR="007001F1" w:rsidRPr="001F2CAC" w:rsidRDefault="007001F1" w:rsidP="007001F1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:rsidR="007001F1" w:rsidRDefault="007001F1" w:rsidP="007001F1">
      <w:pPr>
        <w:tabs>
          <w:tab w:val="left" w:pos="3024"/>
        </w:tabs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</w:p>
    <w:p w:rsidR="007001F1" w:rsidRPr="001F2CAC" w:rsidRDefault="007001F1" w:rsidP="007001F1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0E3D9097" wp14:editId="6AE09E1C">
            <wp:simplePos x="0" y="0"/>
            <wp:positionH relativeFrom="column">
              <wp:posOffset>0</wp:posOffset>
            </wp:positionH>
            <wp:positionV relativeFrom="paragraph">
              <wp:posOffset>210820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01F1" w:rsidRPr="002073EA" w:rsidRDefault="007001F1" w:rsidP="007001F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7001F1" w:rsidRDefault="00AB62F9" w:rsidP="007001F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Support the Service in the deployment of an automated platform for tax collection and the management of accounting information.</w:t>
      </w:r>
    </w:p>
    <w:p w:rsidR="007001F1" w:rsidRPr="001F2CAC" w:rsidRDefault="007001F1" w:rsidP="007001F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interagency cooperation to strengthen the State’s tax collection mechanism</w:t>
      </w:r>
      <w:r w:rsidR="00AB62F9">
        <w:rPr>
          <w:rFonts w:ascii="Garamond" w:hAnsi="Garamond"/>
          <w:sz w:val="24"/>
          <w:szCs w:val="24"/>
        </w:rPr>
        <w:t>.</w:t>
      </w:r>
    </w:p>
    <w:p w:rsidR="007001F1" w:rsidRPr="001F2CAC" w:rsidRDefault="007001F1" w:rsidP="007001F1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61E8D49" wp14:editId="1D1EFFC4">
            <wp:simplePos x="0" y="0"/>
            <wp:positionH relativeFrom="column">
              <wp:posOffset>0</wp:posOffset>
            </wp:positionH>
            <wp:positionV relativeFrom="paragraph">
              <wp:posOffset>116840</wp:posOffset>
            </wp:positionV>
            <wp:extent cx="548640" cy="548640"/>
            <wp:effectExtent l="0" t="0" r="3810" b="0"/>
            <wp:wrapSquare wrapText="bothSides"/>
            <wp:docPr id="14" name="Graphic 14" descr="Mo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?provider=MicrosoftIcon&amp;fileName=Money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01F1" w:rsidRPr="002073EA" w:rsidRDefault="007001F1" w:rsidP="007001F1">
      <w:pPr>
        <w:spacing w:line="276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Revenue Profile</w:t>
      </w:r>
    </w:p>
    <w:p w:rsidR="007001F1" w:rsidRDefault="007001F1" w:rsidP="007001F1">
      <w:p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388620</wp:posOffset>
            </wp:positionH>
            <wp:positionV relativeFrom="paragraph">
              <wp:posOffset>8890</wp:posOffset>
            </wp:positionV>
            <wp:extent cx="5654040" cy="2979420"/>
            <wp:effectExtent l="0" t="0" r="3810" b="11430"/>
            <wp:wrapSquare wrapText="bothSides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919CDE-5140-4C9B-915D-6AE70126C6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bookmarkEnd w:id="0"/>
    <w:p w:rsidR="007001F1" w:rsidRPr="002073EA" w:rsidRDefault="007001F1" w:rsidP="007001F1">
      <w:pPr>
        <w:rPr>
          <w:rFonts w:ascii="Garamond" w:hAnsi="Garamond"/>
          <w:sz w:val="24"/>
          <w:szCs w:val="24"/>
        </w:rPr>
      </w:pPr>
    </w:p>
    <w:p w:rsidR="00AB62F9" w:rsidRDefault="00AB62F9"/>
    <w:p w:rsidR="00AB62F9" w:rsidRPr="00AB62F9" w:rsidRDefault="00AB62F9" w:rsidP="00AB62F9">
      <w:bookmarkStart w:id="1" w:name="_GoBack"/>
      <w:bookmarkEnd w:id="1"/>
    </w:p>
    <w:p w:rsidR="00AB62F9" w:rsidRPr="00AB62F9" w:rsidRDefault="00AB62F9" w:rsidP="00AB62F9"/>
    <w:p w:rsidR="00AB62F9" w:rsidRPr="00AB62F9" w:rsidRDefault="00AB62F9" w:rsidP="00AB62F9"/>
    <w:p w:rsidR="00AB62F9" w:rsidRPr="00AB62F9" w:rsidRDefault="00AB62F9" w:rsidP="00AB62F9"/>
    <w:p w:rsidR="00AB62F9" w:rsidRPr="00AB62F9" w:rsidRDefault="00AB62F9" w:rsidP="00AB62F9"/>
    <w:p w:rsidR="00AB62F9" w:rsidRPr="00AB62F9" w:rsidRDefault="00AB62F9" w:rsidP="00AB62F9"/>
    <w:p w:rsidR="00AB62F9" w:rsidRPr="00AB62F9" w:rsidRDefault="00AB62F9" w:rsidP="00AB62F9"/>
    <w:p w:rsidR="00517675" w:rsidRPr="00AB62F9" w:rsidRDefault="00AB62F9" w:rsidP="00AB62F9">
      <w:pPr>
        <w:tabs>
          <w:tab w:val="left" w:pos="2724"/>
        </w:tabs>
      </w:pPr>
      <w:r>
        <w:tab/>
      </w:r>
    </w:p>
    <w:sectPr w:rsidR="00517675" w:rsidRPr="00AB62F9" w:rsidSect="00AB62F9">
      <w:headerReference w:type="default" r:id="rId16"/>
      <w:footerReference w:type="default" r:id="rId17"/>
      <w:headerReference w:type="first" r:id="rId18"/>
      <w:pgSz w:w="12240" w:h="15840"/>
      <w:pgMar w:top="1710" w:right="1440" w:bottom="630" w:left="1440" w:header="540" w:footer="4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62F9" w:rsidRDefault="00AB62F9" w:rsidP="00AB62F9">
      <w:pPr>
        <w:spacing w:after="0" w:line="240" w:lineRule="auto"/>
      </w:pPr>
      <w:r>
        <w:separator/>
      </w:r>
    </w:p>
  </w:endnote>
  <w:endnote w:type="continuationSeparator" w:id="0">
    <w:p w:rsidR="00AB62F9" w:rsidRDefault="00AB62F9" w:rsidP="00AB6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885DAE" w:rsidRDefault="00AB62F9" w:rsidP="009C2C9D">
    <w:pPr>
      <w:tabs>
        <w:tab w:val="left" w:pos="5328"/>
      </w:tabs>
      <w:spacing w:after="0" w:line="360" w:lineRule="auto"/>
      <w:rPr>
        <w:rFonts w:ascii="Garamond" w:hAnsi="Garamond"/>
        <w:b/>
        <w:sz w:val="24"/>
        <w:szCs w:val="24"/>
      </w:rPr>
    </w:pPr>
    <w:r w:rsidRPr="00885DAE">
      <w:rPr>
        <w:rFonts w:ascii="Garamond" w:hAnsi="Garamond"/>
        <w:b/>
        <w:sz w:val="24"/>
        <w:szCs w:val="24"/>
      </w:rPr>
      <w:t>Contact for further information:</w:t>
    </w:r>
  </w:p>
  <w:p w:rsidR="009C2C9D" w:rsidRPr="00B76193" w:rsidRDefault="00AB62F9" w:rsidP="009C2C9D">
    <w:pPr>
      <w:spacing w:after="0" w:line="276" w:lineRule="auto"/>
      <w:rPr>
        <w:rFonts w:ascii="Garamond" w:hAnsi="Garamond"/>
      </w:rPr>
    </w:pPr>
    <w:r w:rsidRPr="00B76193">
      <w:rPr>
        <w:rFonts w:ascii="Garamond" w:hAnsi="Garamond"/>
        <w:i/>
        <w:color w:val="0D0D0D" w:themeColor="text1" w:themeTint="F2"/>
        <w:lang w:val="en-GB"/>
      </w:rPr>
      <w:t>David Nabena |</w:t>
    </w:r>
    <w:r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62F9" w:rsidRDefault="00AB62F9" w:rsidP="00AB62F9">
      <w:pPr>
        <w:spacing w:after="0" w:line="240" w:lineRule="auto"/>
      </w:pPr>
      <w:r>
        <w:separator/>
      </w:r>
    </w:p>
  </w:footnote>
  <w:footnote w:type="continuationSeparator" w:id="0">
    <w:p w:rsidR="00AB62F9" w:rsidRDefault="00AB62F9" w:rsidP="00AB62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Default="00AB62F9" w:rsidP="00B87E09">
    <w:pPr>
      <w:pStyle w:val="Header"/>
      <w:ind w:left="2520" w:firstLine="4680"/>
    </w:pPr>
    <w:r w:rsidRPr="00B87E09">
      <w:rPr>
        <w:rFonts w:ascii="Calibri" w:eastAsia="Times New Roman" w:hAnsi="Calibri" w:cs="Times New Roman"/>
        <w:noProof/>
        <w:color w:val="000000"/>
      </w:rPr>
      <w:drawing>
        <wp:anchor distT="0" distB="0" distL="114300" distR="114300" simplePos="0" relativeHeight="251659264" behindDoc="0" locked="0" layoutInCell="1" allowOverlap="1" wp14:anchorId="4AE10FCF" wp14:editId="3728593B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5" name="Picture 5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Default="00113C36" w:rsidP="00B87E09">
    <w:pPr>
      <w:pStyle w:val="Header"/>
      <w:ind w:left="2520" w:firstLine="4680"/>
    </w:pPr>
  </w:p>
  <w:p w:rsidR="00B87E09" w:rsidRDefault="00113C36" w:rsidP="00B87E09">
    <w:pPr>
      <w:pStyle w:val="Header"/>
      <w:ind w:left="2520" w:firstLine="4680"/>
    </w:pPr>
  </w:p>
  <w:p w:rsidR="00B87E09" w:rsidRPr="00B87E09" w:rsidRDefault="00AB62F9" w:rsidP="00B87E09">
    <w:pPr>
      <w:pStyle w:val="Header"/>
      <w:ind w:left="2520"/>
      <w:jc w:val="right"/>
      <w:rPr>
        <w:rFonts w:ascii="Garamond" w:hAnsi="Garamond"/>
        <w:sz w:val="32"/>
        <w:szCs w:val="32"/>
      </w:rPr>
    </w:pPr>
    <w:r>
      <w:rPr>
        <w:rFonts w:ascii="Garamond" w:hAnsi="Garamond"/>
        <w:sz w:val="32"/>
        <w:szCs w:val="32"/>
      </w:rPr>
      <w:t>JUNE</w:t>
    </w:r>
    <w:r w:rsidRPr="00B87E09">
      <w:rPr>
        <w:rFonts w:ascii="Garamond" w:hAnsi="Garamond"/>
        <w:sz w:val="32"/>
        <w:szCs w:val="32"/>
      </w:rPr>
      <w:t xml:space="preserve">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AB62F9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21F40EE4" wp14:editId="2AEC0E3B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6" name="Picture 6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113C36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AB62F9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 xml:space="preserve">JUNE </w:t>
    </w:r>
    <w:r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1F1"/>
    <w:rsid w:val="00113C36"/>
    <w:rsid w:val="001D2F49"/>
    <w:rsid w:val="00453084"/>
    <w:rsid w:val="00517675"/>
    <w:rsid w:val="00604A68"/>
    <w:rsid w:val="007001F1"/>
    <w:rsid w:val="00AB62F9"/>
    <w:rsid w:val="00D7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EC69F57"/>
  <w15:chartTrackingRefBased/>
  <w15:docId w15:val="{BC106043-FB3C-44F7-8519-9699A9B6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01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0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01F1"/>
  </w:style>
  <w:style w:type="character" w:styleId="Hyperlink">
    <w:name w:val="Hyperlink"/>
    <w:basedOn w:val="DefaultParagraphFont"/>
    <w:uiPriority w:val="99"/>
    <w:unhideWhenUsed/>
    <w:rsid w:val="007001F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01F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B6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2F9"/>
  </w:style>
  <w:style w:type="paragraph" w:styleId="BalloonText">
    <w:name w:val="Balloon Text"/>
    <w:basedOn w:val="Normal"/>
    <w:link w:val="BalloonTextChar"/>
    <w:uiPriority w:val="99"/>
    <w:semiHidden/>
    <w:unhideWhenUsed/>
    <w:rsid w:val="00113C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C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hart" Target="charts/chart1.xml"/><Relationship Id="rId10" Type="http://schemas.openxmlformats.org/officeDocument/2006/relationships/image" Target="media/image4.sv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dnabena.NGF\Documents\IGR%20DATA%20DASHBOARD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0" i="0" u="none" strike="noStrike" kern="1200" spc="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r>
              <a:rPr lang="en-US"/>
              <a:t>Edo State's Recurrent Revenue, Jan - May, 2017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0" i="0" u="none" strike="noStrike" kern="1200" spc="0" baseline="0">
              <a:solidFill>
                <a:schemeClr val="bg2">
                  <a:lumMod val="10000"/>
                </a:schemeClr>
              </a:solidFill>
              <a:latin typeface="Garamond" panose="02020404030301010803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IGR</c:v>
                </c:pt>
              </c:strCache>
            </c:strRef>
          </c:tx>
          <c:spPr>
            <a:pattFill prst="wdUpDiag">
              <a:fgClr>
                <a:schemeClr val="accent6">
                  <a:lumMod val="50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Sheet1!$C$1:$G$1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Sheet1!$C$5:$G$5</c:f>
              <c:numCache>
                <c:formatCode>#,##0</c:formatCode>
                <c:ptCount val="5"/>
                <c:pt idx="0">
                  <c:v>1975571681.9200001</c:v>
                </c:pt>
                <c:pt idx="1">
                  <c:v>2360900952.1399999</c:v>
                </c:pt>
                <c:pt idx="2">
                  <c:v>2832204226.1900001</c:v>
                </c:pt>
                <c:pt idx="3">
                  <c:v>1490991660.0699999</c:v>
                </c:pt>
                <c:pt idx="4">
                  <c:v>2188979079.4200001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AEA-49C3-8CD9-067FE378CD3F}"/>
            </c:ext>
          </c:extLst>
        </c:ser>
        <c:ser>
          <c:idx val="1"/>
          <c:order val="1"/>
          <c:tx>
            <c:strRef>
              <c:f>Sheet1!$B$14</c:f>
              <c:strCache>
                <c:ptCount val="1"/>
                <c:pt idx="0">
                  <c:v>Federation Allocation</c:v>
                </c:pt>
              </c:strCache>
            </c:strRef>
          </c:tx>
          <c:spPr>
            <a:solidFill>
              <a:schemeClr val="accent6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Sheet1!$C$1:$G$1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Sheet1!$C$16:$G$16</c:f>
              <c:numCache>
                <c:formatCode>#,##0</c:formatCode>
                <c:ptCount val="5"/>
                <c:pt idx="0">
                  <c:v>3101989444.71</c:v>
                </c:pt>
                <c:pt idx="1">
                  <c:v>3333085446.3600001</c:v>
                </c:pt>
                <c:pt idx="2">
                  <c:v>3035523208.8299999</c:v>
                </c:pt>
                <c:pt idx="3">
                  <c:v>3506540247.3699999</c:v>
                </c:pt>
                <c:pt idx="4">
                  <c:v>3045894334.3600001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AEA-49C3-8CD9-067FE378CD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95"/>
        <c:overlap val="100"/>
        <c:axId val="379581112"/>
        <c:axId val="379580784"/>
      </c:barChart>
      <c:catAx>
        <c:axId val="379581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0784"/>
        <c:crosses val="autoZero"/>
        <c:auto val="1"/>
        <c:lblAlgn val="ctr"/>
        <c:lblOffset val="100"/>
        <c:noMultiLvlLbl val="0"/>
      </c:catAx>
      <c:valAx>
        <c:axId val="379580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Garamond" panose="02020404030301010803" pitchFamily="18" charset="0"/>
                    <a:ea typeface="+mn-ea"/>
                    <a:cs typeface="+mn-cs"/>
                  </a:defRPr>
                </a:pPr>
                <a:r>
                  <a:rPr lang="en-US"/>
                  <a:t>NGN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Garamond" panose="020204040303010108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1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solidFill>
            <a:schemeClr val="bg2">
              <a:lumMod val="10000"/>
            </a:schemeClr>
          </a:solidFill>
          <a:latin typeface="Garamond" panose="02020404030301010803" pitchFamily="18" charset="0"/>
        </a:defRPr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3</cp:revision>
  <cp:lastPrinted>2017-06-28T18:46:00Z</cp:lastPrinted>
  <dcterms:created xsi:type="dcterms:W3CDTF">2017-06-28T14:39:00Z</dcterms:created>
  <dcterms:modified xsi:type="dcterms:W3CDTF">2017-06-28T18:47:00Z</dcterms:modified>
</cp:coreProperties>
</file>