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7121" w:rsidRPr="001F2CAC" w:rsidRDefault="00667121" w:rsidP="00667121">
      <w:pPr>
        <w:spacing w:line="276" w:lineRule="auto"/>
        <w:jc w:val="center"/>
        <w:rPr>
          <w:rFonts w:ascii="Garamond" w:hAnsi="Garamond"/>
          <w:b/>
          <w:sz w:val="14"/>
          <w:szCs w:val="24"/>
        </w:rPr>
      </w:pPr>
      <w:bookmarkStart w:id="0" w:name="_Hlk486358050"/>
    </w:p>
    <w:p w:rsidR="00667121" w:rsidRPr="001F2CAC" w:rsidRDefault="00667121" w:rsidP="00667121">
      <w:pPr>
        <w:spacing w:line="276" w:lineRule="auto"/>
        <w:jc w:val="center"/>
        <w:rPr>
          <w:rFonts w:ascii="Garamond" w:hAnsi="Garamond"/>
          <w:b/>
          <w:sz w:val="24"/>
          <w:szCs w:val="24"/>
        </w:rPr>
      </w:pPr>
      <w:r>
        <w:rPr>
          <w:rFonts w:ascii="Garamond" w:hAnsi="Garamond"/>
          <w:b/>
          <w:sz w:val="24"/>
          <w:szCs w:val="24"/>
        </w:rPr>
        <w:t>GOMBE</w:t>
      </w:r>
      <w:r w:rsidRPr="001F2CAC">
        <w:rPr>
          <w:rFonts w:ascii="Garamond" w:hAnsi="Garamond"/>
          <w:b/>
          <w:sz w:val="24"/>
          <w:szCs w:val="24"/>
        </w:rPr>
        <w:t xml:space="preserve"> STATE INTERNAL REVENUE SERVICE </w:t>
      </w:r>
    </w:p>
    <w:p w:rsidR="00667121" w:rsidRPr="001F2CAC" w:rsidRDefault="00667121" w:rsidP="00667121">
      <w:pPr>
        <w:spacing w:line="276" w:lineRule="auto"/>
        <w:jc w:val="center"/>
        <w:rPr>
          <w:rFonts w:ascii="Garamond" w:hAnsi="Garamond"/>
          <w:sz w:val="24"/>
          <w:szCs w:val="24"/>
        </w:rPr>
      </w:pPr>
      <w:r w:rsidRPr="001F2CAC">
        <w:rPr>
          <w:rFonts w:ascii="Garamond" w:hAnsi="Garamond"/>
          <w:sz w:val="24"/>
          <w:szCs w:val="24"/>
        </w:rPr>
        <w:t>GOVERNOR’S SUMMARY</w:t>
      </w:r>
    </w:p>
    <w:p w:rsidR="00667121" w:rsidRPr="001F2CAC" w:rsidRDefault="00667121" w:rsidP="00667121">
      <w:pPr>
        <w:spacing w:line="276" w:lineRule="auto"/>
        <w:jc w:val="center"/>
        <w:rPr>
          <w:rFonts w:ascii="Garamond" w:hAnsi="Garamond"/>
          <w:i/>
          <w:sz w:val="2"/>
          <w:szCs w:val="24"/>
        </w:rPr>
      </w:pPr>
    </w:p>
    <w:p w:rsidR="00667121" w:rsidRPr="001F2CAC" w:rsidRDefault="00667121" w:rsidP="00667121">
      <w:pPr>
        <w:rPr>
          <w:rFonts w:ascii="Garamond" w:hAnsi="Garamond" w:cs="Times New Roman"/>
          <w:noProof/>
          <w:sz w:val="2"/>
          <w:szCs w:val="24"/>
        </w:rPr>
      </w:pPr>
      <w:r w:rsidRPr="001F2CAC">
        <w:rPr>
          <w:rFonts w:ascii="Garamond" w:hAnsi="Garamond"/>
          <w:noProof/>
          <w:sz w:val="24"/>
          <w:szCs w:val="24"/>
        </w:rPr>
        <w:drawing>
          <wp:anchor distT="0" distB="0" distL="114300" distR="114300" simplePos="0" relativeHeight="251661312" behindDoc="0" locked="0" layoutInCell="1" allowOverlap="1" wp14:anchorId="6AB47102" wp14:editId="2760385D">
            <wp:simplePos x="0" y="0"/>
            <wp:positionH relativeFrom="column">
              <wp:posOffset>76200</wp:posOffset>
            </wp:positionH>
            <wp:positionV relativeFrom="page">
              <wp:posOffset>2034540</wp:posOffset>
            </wp:positionV>
            <wp:extent cx="419100" cy="419100"/>
            <wp:effectExtent l="0" t="0" r="0" b="0"/>
            <wp:wrapSquare wrapText="bothSides"/>
            <wp:docPr id="15" name="Graphic 15" descr="Me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ownload?provider=MicrosoftIcon&amp;fileName=Medal.sv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419100" cy="419100"/>
                    </a:xfrm>
                    <a:prstGeom prst="rect">
                      <a:avLst/>
                    </a:prstGeom>
                  </pic:spPr>
                </pic:pic>
              </a:graphicData>
            </a:graphic>
            <wp14:sizeRelH relativeFrom="page">
              <wp14:pctWidth>0</wp14:pctWidth>
            </wp14:sizeRelH>
            <wp14:sizeRelV relativeFrom="page">
              <wp14:pctHeight>0</wp14:pctHeight>
            </wp14:sizeRelV>
          </wp:anchor>
        </w:drawing>
      </w:r>
    </w:p>
    <w:p w:rsidR="00667121" w:rsidRPr="001F2CAC" w:rsidRDefault="00667121" w:rsidP="00667121">
      <w:pPr>
        <w:rPr>
          <w:rFonts w:ascii="Garamond" w:hAnsi="Garamond" w:cs="Times New Roman"/>
          <w:noProof/>
          <w:sz w:val="24"/>
          <w:szCs w:val="24"/>
        </w:rPr>
      </w:pPr>
      <w:r w:rsidRPr="002073EA">
        <w:rPr>
          <w:rFonts w:ascii="Garamond" w:hAnsi="Garamond" w:cs="Times New Roman"/>
          <w:b/>
          <w:noProof/>
          <w:sz w:val="24"/>
          <w:szCs w:val="24"/>
        </w:rPr>
        <w:t>Overall Tax Governance Score</w:t>
      </w:r>
      <w:r w:rsidRPr="001F2CAC">
        <w:rPr>
          <w:rFonts w:ascii="Garamond" w:hAnsi="Garamond" w:cs="Times New Roman"/>
          <w:noProof/>
          <w:sz w:val="24"/>
          <w:szCs w:val="24"/>
        </w:rPr>
        <w:t>:</w:t>
      </w:r>
      <w:r>
        <w:rPr>
          <w:rFonts w:ascii="Garamond" w:hAnsi="Garamond"/>
          <w:sz w:val="24"/>
          <w:szCs w:val="24"/>
        </w:rPr>
        <w:t xml:space="preserve"> 64</w:t>
      </w:r>
      <w:r w:rsidRPr="001F2CAC">
        <w:rPr>
          <w:rFonts w:ascii="Garamond" w:hAnsi="Garamond"/>
          <w:sz w:val="24"/>
          <w:szCs w:val="24"/>
        </w:rPr>
        <w:t>.</w:t>
      </w:r>
      <w:r>
        <w:rPr>
          <w:rFonts w:ascii="Garamond" w:hAnsi="Garamond"/>
          <w:sz w:val="24"/>
          <w:szCs w:val="24"/>
        </w:rPr>
        <w:t>47</w:t>
      </w:r>
      <w:r w:rsidRPr="001F2CAC">
        <w:rPr>
          <w:rFonts w:ascii="Garamond" w:hAnsi="Garamond"/>
          <w:sz w:val="24"/>
          <w:szCs w:val="24"/>
        </w:rPr>
        <w:t xml:space="preserve"> percent</w:t>
      </w:r>
    </w:p>
    <w:p w:rsidR="00667121" w:rsidRPr="001F2CAC" w:rsidRDefault="00667121" w:rsidP="00667121">
      <w:pPr>
        <w:rPr>
          <w:rFonts w:ascii="Garamond" w:hAnsi="Garamond" w:cs="Times New Roman"/>
          <w:noProof/>
          <w:sz w:val="24"/>
          <w:szCs w:val="24"/>
        </w:rPr>
      </w:pPr>
      <w:r w:rsidRPr="001F2CAC">
        <w:rPr>
          <w:rFonts w:ascii="Garamond" w:hAnsi="Garamond" w:cs="Times New Roman"/>
          <w:noProof/>
          <w:sz w:val="24"/>
          <w:szCs w:val="24"/>
        </w:rPr>
        <w:drawing>
          <wp:anchor distT="0" distB="0" distL="114300" distR="114300" simplePos="0" relativeHeight="251659264" behindDoc="1" locked="0" layoutInCell="1" allowOverlap="1" wp14:anchorId="315F0B12" wp14:editId="26388FBA">
            <wp:simplePos x="0" y="0"/>
            <wp:positionH relativeFrom="column">
              <wp:posOffset>106680</wp:posOffset>
            </wp:positionH>
            <wp:positionV relativeFrom="paragraph">
              <wp:posOffset>186055</wp:posOffset>
            </wp:positionV>
            <wp:extent cx="419100" cy="419100"/>
            <wp:effectExtent l="0" t="0" r="0" b="0"/>
            <wp:wrapTight wrapText="bothSides">
              <wp:wrapPolygon edited="0">
                <wp:start x="1964" y="1964"/>
                <wp:lineTo x="0" y="18655"/>
                <wp:lineTo x="9818" y="18655"/>
                <wp:lineTo x="18655" y="16691"/>
                <wp:lineTo x="20618" y="14727"/>
                <wp:lineTo x="20618" y="1964"/>
                <wp:lineTo x="1964" y="1964"/>
              </wp:wrapPolygon>
            </wp:wrapTight>
            <wp:docPr id="16" name="Graphic 16" descr="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wnload?provider=MicrosoftIcon&amp;fileName=Teacher.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19100" cy="419100"/>
                    </a:xfrm>
                    <a:prstGeom prst="rect">
                      <a:avLst/>
                    </a:prstGeom>
                  </pic:spPr>
                </pic:pic>
              </a:graphicData>
            </a:graphic>
            <wp14:sizeRelH relativeFrom="page">
              <wp14:pctWidth>0</wp14:pctWidth>
            </wp14:sizeRelH>
            <wp14:sizeRelV relativeFrom="page">
              <wp14:pctHeight>0</wp14:pctHeight>
            </wp14:sizeRelV>
          </wp:anchor>
        </w:drawing>
      </w:r>
    </w:p>
    <w:p w:rsidR="00667121" w:rsidRPr="002073EA" w:rsidRDefault="00667121" w:rsidP="00667121">
      <w:pPr>
        <w:spacing w:line="360" w:lineRule="auto"/>
        <w:jc w:val="both"/>
        <w:rPr>
          <w:rFonts w:ascii="Garamond" w:hAnsi="Garamond"/>
          <w:b/>
          <w:sz w:val="24"/>
          <w:szCs w:val="24"/>
        </w:rPr>
      </w:pPr>
      <w:r w:rsidRPr="002073EA">
        <w:rPr>
          <w:rFonts w:ascii="Garamond" w:hAnsi="Garamond" w:cs="Times New Roman"/>
          <w:b/>
          <w:noProof/>
          <w:sz w:val="24"/>
          <w:szCs w:val="24"/>
        </w:rPr>
        <w:t xml:space="preserve">Key Highlights </w:t>
      </w:r>
    </w:p>
    <w:p w:rsidR="00667121" w:rsidRDefault="00667121" w:rsidP="00D2167F">
      <w:pPr>
        <w:pStyle w:val="ListParagraph"/>
        <w:numPr>
          <w:ilvl w:val="0"/>
          <w:numId w:val="1"/>
        </w:numPr>
        <w:spacing w:line="360" w:lineRule="auto"/>
        <w:jc w:val="both"/>
        <w:rPr>
          <w:rFonts w:ascii="Garamond" w:hAnsi="Garamond"/>
          <w:sz w:val="24"/>
          <w:szCs w:val="24"/>
        </w:rPr>
      </w:pPr>
      <w:r w:rsidRPr="001F2CAC">
        <w:rPr>
          <w:rFonts w:ascii="Garamond" w:hAnsi="Garamond"/>
          <w:sz w:val="24"/>
          <w:szCs w:val="24"/>
        </w:rPr>
        <w:t>Commendable practices were recorded in areas</w:t>
      </w:r>
      <w:r>
        <w:rPr>
          <w:rFonts w:ascii="Garamond" w:hAnsi="Garamond"/>
          <w:sz w:val="24"/>
          <w:szCs w:val="24"/>
        </w:rPr>
        <w:t xml:space="preserve"> such as the</w:t>
      </w:r>
      <w:r w:rsidRPr="001F2CAC">
        <w:rPr>
          <w:rFonts w:ascii="Garamond" w:hAnsi="Garamond"/>
          <w:sz w:val="24"/>
          <w:szCs w:val="24"/>
        </w:rPr>
        <w:t xml:space="preserve"> </w:t>
      </w:r>
      <w:r>
        <w:rPr>
          <w:rFonts w:ascii="Garamond" w:hAnsi="Garamond"/>
          <w:sz w:val="24"/>
          <w:szCs w:val="24"/>
        </w:rPr>
        <w:t>adoption of a centrally automated platform</w:t>
      </w:r>
      <w:r w:rsidRPr="001F2CAC">
        <w:rPr>
          <w:rFonts w:ascii="Garamond" w:hAnsi="Garamond"/>
          <w:sz w:val="24"/>
          <w:szCs w:val="24"/>
        </w:rPr>
        <w:t xml:space="preserve"> </w:t>
      </w:r>
      <w:r>
        <w:rPr>
          <w:rFonts w:ascii="Garamond" w:hAnsi="Garamond"/>
          <w:sz w:val="24"/>
          <w:szCs w:val="24"/>
        </w:rPr>
        <w:t>for</w:t>
      </w:r>
      <w:r w:rsidRPr="001F2CAC">
        <w:rPr>
          <w:rFonts w:ascii="Garamond" w:hAnsi="Garamond"/>
          <w:sz w:val="24"/>
          <w:szCs w:val="24"/>
        </w:rPr>
        <w:t xml:space="preserve"> tax collection</w:t>
      </w:r>
      <w:r w:rsidR="00D2167F">
        <w:rPr>
          <w:rFonts w:ascii="Garamond" w:hAnsi="Garamond"/>
          <w:sz w:val="24"/>
          <w:szCs w:val="24"/>
        </w:rPr>
        <w:t>,</w:t>
      </w:r>
      <w:r>
        <w:rPr>
          <w:rFonts w:ascii="Garamond" w:hAnsi="Garamond"/>
          <w:sz w:val="24"/>
          <w:szCs w:val="24"/>
        </w:rPr>
        <w:t xml:space="preserve"> and the </w:t>
      </w:r>
      <w:r w:rsidR="00D2167F" w:rsidRPr="00D2167F">
        <w:rPr>
          <w:rFonts w:ascii="Garamond" w:hAnsi="Garamond"/>
          <w:sz w:val="24"/>
          <w:szCs w:val="24"/>
        </w:rPr>
        <w:t xml:space="preserve">deployment of enumeration tablets </w:t>
      </w:r>
      <w:r w:rsidR="00D2167F">
        <w:rPr>
          <w:rFonts w:ascii="Garamond" w:hAnsi="Garamond"/>
          <w:sz w:val="24"/>
          <w:szCs w:val="24"/>
        </w:rPr>
        <w:t xml:space="preserve">to register </w:t>
      </w:r>
      <w:r w:rsidR="00D2167F" w:rsidRPr="00D2167F">
        <w:rPr>
          <w:rFonts w:ascii="Garamond" w:hAnsi="Garamond"/>
          <w:sz w:val="24"/>
          <w:szCs w:val="24"/>
        </w:rPr>
        <w:t>tax</w:t>
      </w:r>
      <w:r w:rsidR="00D2167F">
        <w:rPr>
          <w:rFonts w:ascii="Garamond" w:hAnsi="Garamond"/>
          <w:sz w:val="24"/>
          <w:szCs w:val="24"/>
        </w:rPr>
        <w:t>payers during tax sensitization activities.</w:t>
      </w:r>
    </w:p>
    <w:p w:rsidR="00D2167F" w:rsidRDefault="00667121" w:rsidP="00667121">
      <w:pPr>
        <w:pStyle w:val="ListParagraph"/>
        <w:numPr>
          <w:ilvl w:val="0"/>
          <w:numId w:val="1"/>
        </w:numPr>
        <w:spacing w:line="360" w:lineRule="auto"/>
        <w:jc w:val="both"/>
        <w:rPr>
          <w:rFonts w:ascii="Garamond" w:hAnsi="Garamond"/>
          <w:sz w:val="24"/>
          <w:szCs w:val="24"/>
        </w:rPr>
      </w:pPr>
      <w:r w:rsidRPr="002A5DAC">
        <w:rPr>
          <w:rFonts w:ascii="Garamond" w:hAnsi="Garamond"/>
          <w:sz w:val="24"/>
          <w:szCs w:val="24"/>
        </w:rPr>
        <w:t xml:space="preserve">Challenges were identified in the untimely release of budgeted funds to cover essential services, including </w:t>
      </w:r>
      <w:r w:rsidR="00D2167F">
        <w:rPr>
          <w:rFonts w:ascii="Garamond" w:hAnsi="Garamond"/>
          <w:sz w:val="24"/>
          <w:szCs w:val="24"/>
        </w:rPr>
        <w:t>staff salaries, training and the adoption of modern technology</w:t>
      </w:r>
      <w:r w:rsidRPr="002A5DAC">
        <w:rPr>
          <w:rFonts w:ascii="Garamond" w:hAnsi="Garamond"/>
          <w:sz w:val="24"/>
          <w:szCs w:val="24"/>
        </w:rPr>
        <w:t xml:space="preserve">. </w:t>
      </w:r>
    </w:p>
    <w:p w:rsidR="00667121" w:rsidRDefault="00D2167F" w:rsidP="00667121">
      <w:pPr>
        <w:pStyle w:val="ListParagraph"/>
        <w:numPr>
          <w:ilvl w:val="0"/>
          <w:numId w:val="1"/>
        </w:numPr>
        <w:spacing w:line="360" w:lineRule="auto"/>
        <w:jc w:val="both"/>
        <w:rPr>
          <w:rFonts w:ascii="Garamond" w:hAnsi="Garamond"/>
          <w:sz w:val="24"/>
          <w:szCs w:val="24"/>
        </w:rPr>
      </w:pPr>
      <w:r>
        <w:rPr>
          <w:rFonts w:ascii="Garamond" w:hAnsi="Garamond"/>
          <w:sz w:val="24"/>
          <w:szCs w:val="24"/>
        </w:rPr>
        <w:t>There is also p</w:t>
      </w:r>
      <w:r w:rsidR="00667121" w:rsidRPr="002A5DAC">
        <w:rPr>
          <w:rFonts w:ascii="Garamond" w:hAnsi="Garamond"/>
          <w:sz w:val="24"/>
          <w:szCs w:val="24"/>
        </w:rPr>
        <w:t xml:space="preserve">oor ICT capability </w:t>
      </w:r>
      <w:r>
        <w:rPr>
          <w:rFonts w:ascii="Garamond" w:hAnsi="Garamond"/>
          <w:sz w:val="24"/>
          <w:szCs w:val="24"/>
        </w:rPr>
        <w:t>in 6 of the State’s 9 field offices.</w:t>
      </w:r>
      <w:r w:rsidR="00667121" w:rsidRPr="002A5DAC">
        <w:rPr>
          <w:rFonts w:ascii="Garamond" w:hAnsi="Garamond"/>
          <w:sz w:val="24"/>
          <w:szCs w:val="24"/>
        </w:rPr>
        <w:t xml:space="preserve">  </w:t>
      </w:r>
    </w:p>
    <w:p w:rsidR="00D40384" w:rsidRPr="002A5DAC" w:rsidRDefault="00D40384" w:rsidP="00667121">
      <w:pPr>
        <w:pStyle w:val="ListParagraph"/>
        <w:numPr>
          <w:ilvl w:val="0"/>
          <w:numId w:val="1"/>
        </w:numPr>
        <w:spacing w:line="360" w:lineRule="auto"/>
        <w:jc w:val="both"/>
        <w:rPr>
          <w:rFonts w:ascii="Garamond" w:hAnsi="Garamond"/>
          <w:sz w:val="24"/>
          <w:szCs w:val="24"/>
        </w:rPr>
      </w:pPr>
      <w:r>
        <w:rPr>
          <w:rFonts w:ascii="Garamond" w:hAnsi="Garamond"/>
          <w:sz w:val="24"/>
          <w:szCs w:val="24"/>
        </w:rPr>
        <w:t>The Service’s semi-autonomous status has also posed a significant challenge on overall tax administration (see table below)</w:t>
      </w:r>
    </w:p>
    <w:tbl>
      <w:tblPr>
        <w:tblW w:w="9013" w:type="dxa"/>
        <w:jc w:val="center"/>
        <w:tblLook w:val="04A0" w:firstRow="1" w:lastRow="0" w:firstColumn="1" w:lastColumn="0" w:noHBand="0" w:noVBand="1"/>
      </w:tblPr>
      <w:tblGrid>
        <w:gridCol w:w="6835"/>
        <w:gridCol w:w="2178"/>
      </w:tblGrid>
      <w:tr w:rsidR="00667121" w:rsidRPr="001F2CAC" w:rsidTr="00D2167F">
        <w:trPr>
          <w:trHeight w:val="233"/>
          <w:jc w:val="center"/>
        </w:trPr>
        <w:tc>
          <w:tcPr>
            <w:tcW w:w="6835" w:type="dxa"/>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bottom"/>
            <w:hideMark/>
          </w:tcPr>
          <w:p w:rsidR="00667121" w:rsidRPr="001F2CAC" w:rsidRDefault="00667121" w:rsidP="000D1180">
            <w:pPr>
              <w:spacing w:after="0" w:line="240" w:lineRule="auto"/>
              <w:rPr>
                <w:rFonts w:ascii="Garamond" w:eastAsia="Times New Roman" w:hAnsi="Garamond" w:cs="Times New Roman"/>
                <w:color w:val="000000"/>
                <w:sz w:val="24"/>
                <w:szCs w:val="24"/>
              </w:rPr>
            </w:pPr>
            <w:r w:rsidRPr="001F2CAC">
              <w:rPr>
                <w:rFonts w:ascii="Garamond" w:eastAsia="Times New Roman" w:hAnsi="Garamond" w:cs="Times New Roman"/>
                <w:color w:val="000000"/>
                <w:sz w:val="24"/>
                <w:szCs w:val="24"/>
              </w:rPr>
              <w:t>ASSESSMENT AREAS</w:t>
            </w:r>
          </w:p>
        </w:tc>
        <w:tc>
          <w:tcPr>
            <w:tcW w:w="2178" w:type="dxa"/>
            <w:tcBorders>
              <w:top w:val="single" w:sz="4" w:space="0" w:color="808080"/>
              <w:left w:val="nil"/>
              <w:bottom w:val="single" w:sz="4" w:space="0" w:color="808080"/>
              <w:right w:val="single" w:sz="4" w:space="0" w:color="808080"/>
            </w:tcBorders>
            <w:shd w:val="clear" w:color="auto" w:fill="BFBFBF" w:themeFill="background1" w:themeFillShade="BF"/>
            <w:noWrap/>
            <w:vAlign w:val="bottom"/>
            <w:hideMark/>
          </w:tcPr>
          <w:p w:rsidR="00667121" w:rsidRPr="001F2CAC" w:rsidRDefault="00667121" w:rsidP="000D1180">
            <w:pPr>
              <w:spacing w:after="0" w:line="240" w:lineRule="auto"/>
              <w:jc w:val="center"/>
              <w:rPr>
                <w:rFonts w:ascii="Garamond" w:eastAsia="Times New Roman" w:hAnsi="Garamond" w:cs="Times New Roman"/>
                <w:color w:val="000000"/>
                <w:sz w:val="24"/>
                <w:szCs w:val="24"/>
              </w:rPr>
            </w:pPr>
            <w:r w:rsidRPr="001F2CAC">
              <w:rPr>
                <w:rFonts w:ascii="Garamond" w:eastAsia="Times New Roman" w:hAnsi="Garamond" w:cs="Times New Roman"/>
                <w:color w:val="000000"/>
                <w:sz w:val="24"/>
                <w:szCs w:val="24"/>
              </w:rPr>
              <w:t>Q1, 2017</w:t>
            </w:r>
          </w:p>
        </w:tc>
      </w:tr>
      <w:tr w:rsidR="00667121" w:rsidRPr="001F2CAC" w:rsidTr="00D2167F">
        <w:trPr>
          <w:trHeight w:val="233"/>
          <w:jc w:val="center"/>
        </w:trPr>
        <w:tc>
          <w:tcPr>
            <w:tcW w:w="6835" w:type="dxa"/>
            <w:tcBorders>
              <w:top w:val="nil"/>
              <w:left w:val="single" w:sz="4" w:space="0" w:color="808080"/>
              <w:bottom w:val="single" w:sz="4" w:space="0" w:color="808080"/>
              <w:right w:val="single" w:sz="4" w:space="0" w:color="808080"/>
            </w:tcBorders>
            <w:shd w:val="clear" w:color="000000" w:fill="F2F2F2"/>
            <w:vAlign w:val="center"/>
            <w:hideMark/>
          </w:tcPr>
          <w:p w:rsidR="00667121" w:rsidRPr="001F2CAC" w:rsidRDefault="00667121" w:rsidP="000D1180">
            <w:pPr>
              <w:spacing w:after="0" w:line="240" w:lineRule="auto"/>
              <w:rPr>
                <w:rFonts w:ascii="Garamond" w:eastAsia="Times New Roman" w:hAnsi="Garamond" w:cs="Times New Roman"/>
                <w:b/>
                <w:bCs/>
                <w:sz w:val="24"/>
                <w:szCs w:val="24"/>
              </w:rPr>
            </w:pPr>
            <w:r w:rsidRPr="001F2CAC">
              <w:rPr>
                <w:rFonts w:ascii="Garamond" w:eastAsia="Times New Roman" w:hAnsi="Garamond" w:cs="Times New Roman"/>
                <w:b/>
                <w:bCs/>
                <w:sz w:val="24"/>
                <w:szCs w:val="24"/>
              </w:rPr>
              <w:t>Overall Tax Performance</w:t>
            </w:r>
          </w:p>
        </w:tc>
        <w:tc>
          <w:tcPr>
            <w:tcW w:w="2178" w:type="dxa"/>
            <w:tcBorders>
              <w:top w:val="nil"/>
              <w:left w:val="nil"/>
              <w:bottom w:val="single" w:sz="4" w:space="0" w:color="808080"/>
              <w:right w:val="single" w:sz="4" w:space="0" w:color="808080"/>
            </w:tcBorders>
            <w:shd w:val="clear" w:color="000000" w:fill="F2F2F2"/>
            <w:vAlign w:val="center"/>
            <w:hideMark/>
          </w:tcPr>
          <w:p w:rsidR="00667121" w:rsidRPr="001F2CAC" w:rsidRDefault="00667121" w:rsidP="000D1180">
            <w:pPr>
              <w:spacing w:after="0" w:line="240" w:lineRule="auto"/>
              <w:jc w:val="center"/>
              <w:rPr>
                <w:rFonts w:ascii="Garamond" w:eastAsia="Times New Roman" w:hAnsi="Garamond" w:cs="Times New Roman"/>
                <w:b/>
                <w:bCs/>
                <w:color w:val="000000"/>
                <w:sz w:val="24"/>
                <w:szCs w:val="24"/>
              </w:rPr>
            </w:pPr>
            <w:r>
              <w:rPr>
                <w:rFonts w:ascii="Garamond" w:eastAsia="Times New Roman" w:hAnsi="Garamond" w:cs="Times New Roman"/>
                <w:b/>
                <w:bCs/>
                <w:color w:val="000000"/>
                <w:sz w:val="24"/>
                <w:szCs w:val="24"/>
              </w:rPr>
              <w:t>64.47</w:t>
            </w:r>
          </w:p>
        </w:tc>
      </w:tr>
      <w:tr w:rsidR="00667121" w:rsidRPr="001F2CAC" w:rsidTr="00D2167F">
        <w:trPr>
          <w:trHeight w:val="178"/>
          <w:jc w:val="center"/>
        </w:trPr>
        <w:tc>
          <w:tcPr>
            <w:tcW w:w="6835" w:type="dxa"/>
            <w:tcBorders>
              <w:top w:val="nil"/>
              <w:left w:val="single" w:sz="4" w:space="0" w:color="808080"/>
              <w:bottom w:val="single" w:sz="4" w:space="0" w:color="808080"/>
              <w:right w:val="single" w:sz="4" w:space="0" w:color="808080"/>
            </w:tcBorders>
            <w:shd w:val="clear" w:color="000000" w:fill="FFFFFF"/>
            <w:vAlign w:val="center"/>
          </w:tcPr>
          <w:p w:rsidR="00667121" w:rsidRPr="001F2CAC" w:rsidRDefault="00667121" w:rsidP="000D1180">
            <w:pPr>
              <w:spacing w:after="0" w:line="240" w:lineRule="auto"/>
              <w:rPr>
                <w:rFonts w:ascii="Garamond" w:eastAsia="Times New Roman" w:hAnsi="Garamond" w:cs="Times New Roman"/>
                <w:b/>
                <w:bCs/>
                <w:color w:val="993300"/>
                <w:sz w:val="24"/>
                <w:szCs w:val="24"/>
              </w:rPr>
            </w:pPr>
          </w:p>
        </w:tc>
        <w:tc>
          <w:tcPr>
            <w:tcW w:w="2178" w:type="dxa"/>
            <w:tcBorders>
              <w:top w:val="nil"/>
              <w:left w:val="nil"/>
              <w:bottom w:val="single" w:sz="4" w:space="0" w:color="808080"/>
              <w:right w:val="single" w:sz="4" w:space="0" w:color="808080"/>
            </w:tcBorders>
            <w:shd w:val="clear" w:color="000000" w:fill="FFFFFF"/>
            <w:vAlign w:val="center"/>
          </w:tcPr>
          <w:p w:rsidR="00667121" w:rsidRPr="001F2CAC" w:rsidRDefault="00667121" w:rsidP="000D1180">
            <w:pPr>
              <w:spacing w:after="0" w:line="240" w:lineRule="auto"/>
              <w:jc w:val="center"/>
              <w:rPr>
                <w:rFonts w:ascii="Garamond" w:eastAsia="Times New Roman" w:hAnsi="Garamond" w:cs="Times New Roman"/>
                <w:b/>
                <w:bCs/>
                <w:color w:val="000000"/>
                <w:sz w:val="24"/>
                <w:szCs w:val="24"/>
              </w:rPr>
            </w:pPr>
          </w:p>
        </w:tc>
      </w:tr>
      <w:tr w:rsidR="00667121" w:rsidRPr="001F2CAC" w:rsidTr="00D2167F">
        <w:trPr>
          <w:trHeight w:val="233"/>
          <w:jc w:val="center"/>
        </w:trPr>
        <w:tc>
          <w:tcPr>
            <w:tcW w:w="6835" w:type="dxa"/>
            <w:tcBorders>
              <w:top w:val="nil"/>
              <w:left w:val="single" w:sz="4" w:space="0" w:color="808080"/>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rPr>
                <w:rFonts w:ascii="Garamond" w:eastAsia="Times New Roman" w:hAnsi="Garamond" w:cs="Times New Roman"/>
                <w:b/>
                <w:bCs/>
                <w:color w:val="993300"/>
                <w:sz w:val="24"/>
                <w:szCs w:val="24"/>
              </w:rPr>
            </w:pPr>
            <w:r w:rsidRPr="001F2CAC">
              <w:rPr>
                <w:rFonts w:ascii="Garamond" w:eastAsia="Times New Roman" w:hAnsi="Garamond" w:cs="Times New Roman"/>
                <w:b/>
                <w:bCs/>
                <w:color w:val="993300"/>
                <w:sz w:val="24"/>
                <w:szCs w:val="24"/>
              </w:rPr>
              <w:t>Tax Administration</w:t>
            </w:r>
          </w:p>
        </w:tc>
        <w:tc>
          <w:tcPr>
            <w:tcW w:w="2178" w:type="dxa"/>
            <w:tcBorders>
              <w:top w:val="nil"/>
              <w:left w:val="nil"/>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jc w:val="center"/>
              <w:rPr>
                <w:rFonts w:ascii="Garamond" w:eastAsia="Times New Roman" w:hAnsi="Garamond" w:cs="Times New Roman"/>
                <w:b/>
                <w:color w:val="993300"/>
                <w:sz w:val="24"/>
                <w:szCs w:val="24"/>
              </w:rPr>
            </w:pPr>
            <w:r>
              <w:rPr>
                <w:rFonts w:ascii="Garamond" w:eastAsia="Times New Roman" w:hAnsi="Garamond" w:cs="Times New Roman"/>
                <w:b/>
                <w:color w:val="993300"/>
                <w:sz w:val="24"/>
                <w:szCs w:val="24"/>
              </w:rPr>
              <w:t>39.12</w:t>
            </w:r>
          </w:p>
        </w:tc>
      </w:tr>
      <w:tr w:rsidR="00667121" w:rsidRPr="001F2CAC" w:rsidTr="00D2167F">
        <w:trPr>
          <w:trHeight w:val="233"/>
          <w:jc w:val="center"/>
        </w:trPr>
        <w:tc>
          <w:tcPr>
            <w:tcW w:w="6835" w:type="dxa"/>
            <w:tcBorders>
              <w:top w:val="nil"/>
              <w:left w:val="single" w:sz="4" w:space="0" w:color="808080"/>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rPr>
                <w:rFonts w:ascii="Garamond" w:eastAsia="Times New Roman" w:hAnsi="Garamond" w:cs="Times New Roman"/>
                <w:color w:val="993300"/>
                <w:sz w:val="24"/>
                <w:szCs w:val="24"/>
              </w:rPr>
            </w:pPr>
            <w:proofErr w:type="spellStart"/>
            <w:r w:rsidRPr="001F2CAC">
              <w:rPr>
                <w:rFonts w:ascii="Garamond" w:eastAsia="Times New Roman" w:hAnsi="Garamond" w:cs="Times New Roman"/>
                <w:color w:val="993300"/>
                <w:sz w:val="24"/>
                <w:szCs w:val="24"/>
              </w:rPr>
              <w:t>Organisational</w:t>
            </w:r>
            <w:proofErr w:type="spellEnd"/>
            <w:r w:rsidRPr="001F2CAC">
              <w:rPr>
                <w:rFonts w:ascii="Garamond" w:eastAsia="Times New Roman" w:hAnsi="Garamond" w:cs="Times New Roman"/>
                <w:color w:val="993300"/>
                <w:sz w:val="24"/>
                <w:szCs w:val="24"/>
              </w:rPr>
              <w:t xml:space="preserve"> and institutional arrangements</w:t>
            </w:r>
          </w:p>
        </w:tc>
        <w:tc>
          <w:tcPr>
            <w:tcW w:w="2178" w:type="dxa"/>
            <w:tcBorders>
              <w:top w:val="nil"/>
              <w:left w:val="nil"/>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jc w:val="center"/>
              <w:rPr>
                <w:rFonts w:ascii="Garamond" w:eastAsia="Times New Roman" w:hAnsi="Garamond" w:cs="Times New Roman"/>
                <w:color w:val="993300"/>
                <w:sz w:val="24"/>
                <w:szCs w:val="24"/>
              </w:rPr>
            </w:pPr>
            <w:r>
              <w:rPr>
                <w:rFonts w:ascii="Garamond" w:eastAsia="Times New Roman" w:hAnsi="Garamond" w:cs="Times New Roman"/>
                <w:color w:val="993300"/>
                <w:sz w:val="24"/>
                <w:szCs w:val="24"/>
              </w:rPr>
              <w:t>16.67</w:t>
            </w:r>
          </w:p>
        </w:tc>
      </w:tr>
      <w:tr w:rsidR="00667121" w:rsidRPr="001F2CAC" w:rsidTr="00D2167F">
        <w:trPr>
          <w:trHeight w:val="233"/>
          <w:jc w:val="center"/>
        </w:trPr>
        <w:tc>
          <w:tcPr>
            <w:tcW w:w="6835" w:type="dxa"/>
            <w:tcBorders>
              <w:top w:val="nil"/>
              <w:left w:val="single" w:sz="4" w:space="0" w:color="808080"/>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rPr>
                <w:rFonts w:ascii="Garamond" w:eastAsia="Times New Roman" w:hAnsi="Garamond" w:cs="Times New Roman"/>
                <w:color w:val="993300"/>
                <w:sz w:val="24"/>
                <w:szCs w:val="24"/>
              </w:rPr>
            </w:pPr>
            <w:r w:rsidRPr="001F2CAC">
              <w:rPr>
                <w:rFonts w:ascii="Garamond" w:eastAsia="Times New Roman" w:hAnsi="Garamond" w:cs="Times New Roman"/>
                <w:color w:val="993300"/>
                <w:sz w:val="24"/>
                <w:szCs w:val="24"/>
              </w:rPr>
              <w:t>Availability and sufficiency of IRS budget</w:t>
            </w:r>
          </w:p>
        </w:tc>
        <w:tc>
          <w:tcPr>
            <w:tcW w:w="2178" w:type="dxa"/>
            <w:tcBorders>
              <w:top w:val="nil"/>
              <w:left w:val="nil"/>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jc w:val="center"/>
              <w:rPr>
                <w:rFonts w:ascii="Garamond" w:eastAsia="Times New Roman" w:hAnsi="Garamond" w:cs="Times New Roman"/>
                <w:color w:val="993300"/>
                <w:sz w:val="24"/>
                <w:szCs w:val="24"/>
              </w:rPr>
            </w:pPr>
            <w:r>
              <w:rPr>
                <w:rFonts w:ascii="Garamond" w:eastAsia="Times New Roman" w:hAnsi="Garamond" w:cs="Times New Roman"/>
                <w:color w:val="993300"/>
                <w:sz w:val="24"/>
                <w:szCs w:val="24"/>
              </w:rPr>
              <w:t>65.92</w:t>
            </w:r>
          </w:p>
        </w:tc>
      </w:tr>
      <w:tr w:rsidR="00667121" w:rsidRPr="001F2CAC" w:rsidTr="00D2167F">
        <w:trPr>
          <w:trHeight w:val="233"/>
          <w:jc w:val="center"/>
        </w:trPr>
        <w:tc>
          <w:tcPr>
            <w:tcW w:w="6835" w:type="dxa"/>
            <w:tcBorders>
              <w:top w:val="nil"/>
              <w:left w:val="single" w:sz="4" w:space="0" w:color="808080"/>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rPr>
                <w:rFonts w:ascii="Garamond" w:eastAsia="Times New Roman" w:hAnsi="Garamond" w:cs="Times New Roman"/>
                <w:color w:val="993300"/>
                <w:sz w:val="24"/>
                <w:szCs w:val="24"/>
              </w:rPr>
            </w:pPr>
            <w:r w:rsidRPr="001F2CAC">
              <w:rPr>
                <w:rFonts w:ascii="Garamond" w:eastAsia="Times New Roman" w:hAnsi="Garamond" w:cs="Times New Roman"/>
                <w:color w:val="993300"/>
                <w:sz w:val="24"/>
                <w:szCs w:val="24"/>
              </w:rPr>
              <w:t>Salary incentives, IRS Staff skills and training levels</w:t>
            </w:r>
          </w:p>
        </w:tc>
        <w:tc>
          <w:tcPr>
            <w:tcW w:w="2178" w:type="dxa"/>
            <w:tcBorders>
              <w:top w:val="nil"/>
              <w:left w:val="nil"/>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jc w:val="center"/>
              <w:rPr>
                <w:rFonts w:ascii="Garamond" w:eastAsia="Times New Roman" w:hAnsi="Garamond" w:cs="Times New Roman"/>
                <w:color w:val="993300"/>
                <w:sz w:val="24"/>
                <w:szCs w:val="24"/>
              </w:rPr>
            </w:pPr>
            <w:r>
              <w:rPr>
                <w:rFonts w:ascii="Garamond" w:eastAsia="Times New Roman" w:hAnsi="Garamond" w:cs="Times New Roman"/>
                <w:color w:val="993300"/>
                <w:sz w:val="24"/>
                <w:szCs w:val="24"/>
              </w:rPr>
              <w:t>21.53</w:t>
            </w:r>
          </w:p>
        </w:tc>
      </w:tr>
      <w:tr w:rsidR="00667121" w:rsidRPr="001F2CAC" w:rsidTr="00D2167F">
        <w:trPr>
          <w:trHeight w:val="233"/>
          <w:jc w:val="center"/>
        </w:trPr>
        <w:tc>
          <w:tcPr>
            <w:tcW w:w="6835" w:type="dxa"/>
            <w:tcBorders>
              <w:top w:val="nil"/>
              <w:left w:val="single" w:sz="4" w:space="0" w:color="808080"/>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rPr>
                <w:rFonts w:ascii="Garamond" w:eastAsia="Times New Roman" w:hAnsi="Garamond" w:cs="Times New Roman"/>
                <w:color w:val="993300"/>
                <w:sz w:val="24"/>
                <w:szCs w:val="24"/>
              </w:rPr>
            </w:pPr>
            <w:r w:rsidRPr="001F2CAC">
              <w:rPr>
                <w:rFonts w:ascii="Garamond" w:eastAsia="Times New Roman" w:hAnsi="Garamond" w:cs="Times New Roman"/>
                <w:color w:val="993300"/>
                <w:sz w:val="24"/>
                <w:szCs w:val="24"/>
              </w:rPr>
              <w:t>SBIRS outreach in districts (no. of tax offices)</w:t>
            </w:r>
          </w:p>
        </w:tc>
        <w:tc>
          <w:tcPr>
            <w:tcW w:w="2178" w:type="dxa"/>
            <w:tcBorders>
              <w:top w:val="nil"/>
              <w:left w:val="nil"/>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jc w:val="center"/>
              <w:rPr>
                <w:rFonts w:ascii="Garamond" w:eastAsia="Times New Roman" w:hAnsi="Garamond" w:cs="Times New Roman"/>
                <w:color w:val="993300"/>
                <w:sz w:val="24"/>
                <w:szCs w:val="24"/>
              </w:rPr>
            </w:pPr>
            <w:r>
              <w:rPr>
                <w:rFonts w:ascii="Garamond" w:eastAsia="Times New Roman" w:hAnsi="Garamond" w:cs="Times New Roman"/>
                <w:color w:val="993300"/>
                <w:sz w:val="24"/>
                <w:szCs w:val="24"/>
              </w:rPr>
              <w:t>52.38</w:t>
            </w:r>
          </w:p>
        </w:tc>
      </w:tr>
      <w:tr w:rsidR="00667121" w:rsidRPr="001F2CAC" w:rsidTr="00D2167F">
        <w:trPr>
          <w:trHeight w:val="119"/>
          <w:jc w:val="center"/>
        </w:trPr>
        <w:tc>
          <w:tcPr>
            <w:tcW w:w="6835" w:type="dxa"/>
            <w:tcBorders>
              <w:top w:val="nil"/>
              <w:left w:val="single" w:sz="4" w:space="0" w:color="808080"/>
              <w:bottom w:val="single" w:sz="4" w:space="0" w:color="808080"/>
              <w:right w:val="single" w:sz="4" w:space="0" w:color="808080"/>
            </w:tcBorders>
            <w:shd w:val="clear" w:color="000000" w:fill="FFFFFF"/>
            <w:vAlign w:val="center"/>
          </w:tcPr>
          <w:p w:rsidR="00667121" w:rsidRPr="001F2CAC" w:rsidRDefault="00667121" w:rsidP="000D1180">
            <w:pPr>
              <w:spacing w:after="0" w:line="240" w:lineRule="auto"/>
              <w:rPr>
                <w:rFonts w:ascii="Garamond" w:eastAsia="Times New Roman" w:hAnsi="Garamond" w:cs="Times New Roman"/>
                <w:color w:val="993300"/>
                <w:sz w:val="24"/>
                <w:szCs w:val="24"/>
              </w:rPr>
            </w:pPr>
          </w:p>
        </w:tc>
        <w:tc>
          <w:tcPr>
            <w:tcW w:w="2178" w:type="dxa"/>
            <w:tcBorders>
              <w:top w:val="nil"/>
              <w:left w:val="nil"/>
              <w:bottom w:val="single" w:sz="4" w:space="0" w:color="808080"/>
              <w:right w:val="single" w:sz="4" w:space="0" w:color="808080"/>
            </w:tcBorders>
            <w:shd w:val="clear" w:color="000000" w:fill="FFFFFF"/>
            <w:vAlign w:val="center"/>
          </w:tcPr>
          <w:p w:rsidR="00667121" w:rsidRPr="001F2CAC" w:rsidRDefault="00667121" w:rsidP="000D1180">
            <w:pPr>
              <w:spacing w:after="0" w:line="240" w:lineRule="auto"/>
              <w:jc w:val="center"/>
              <w:rPr>
                <w:rFonts w:ascii="Garamond" w:eastAsia="Times New Roman" w:hAnsi="Garamond" w:cs="Times New Roman"/>
                <w:color w:val="000000"/>
                <w:sz w:val="24"/>
                <w:szCs w:val="24"/>
              </w:rPr>
            </w:pPr>
          </w:p>
        </w:tc>
      </w:tr>
      <w:tr w:rsidR="00667121" w:rsidRPr="001F2CAC" w:rsidTr="00D2167F">
        <w:trPr>
          <w:trHeight w:val="233"/>
          <w:jc w:val="center"/>
        </w:trPr>
        <w:tc>
          <w:tcPr>
            <w:tcW w:w="6835" w:type="dxa"/>
            <w:tcBorders>
              <w:top w:val="nil"/>
              <w:left w:val="single" w:sz="4" w:space="0" w:color="808080"/>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rPr>
                <w:rFonts w:ascii="Garamond" w:eastAsia="Times New Roman" w:hAnsi="Garamond" w:cs="Times New Roman"/>
                <w:b/>
                <w:bCs/>
                <w:color w:val="FF0000"/>
                <w:sz w:val="24"/>
                <w:szCs w:val="24"/>
              </w:rPr>
            </w:pPr>
            <w:r w:rsidRPr="001F2CAC">
              <w:rPr>
                <w:rFonts w:ascii="Garamond" w:eastAsia="Times New Roman" w:hAnsi="Garamond" w:cs="Times New Roman"/>
                <w:b/>
                <w:bCs/>
                <w:color w:val="FF0000"/>
                <w:sz w:val="24"/>
                <w:szCs w:val="24"/>
              </w:rPr>
              <w:t>Tax Procedures (registration, filling, assessment and payment)</w:t>
            </w:r>
          </w:p>
        </w:tc>
        <w:tc>
          <w:tcPr>
            <w:tcW w:w="2178" w:type="dxa"/>
            <w:tcBorders>
              <w:top w:val="nil"/>
              <w:left w:val="nil"/>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jc w:val="center"/>
              <w:rPr>
                <w:rFonts w:ascii="Garamond" w:eastAsia="Times New Roman" w:hAnsi="Garamond" w:cs="Times New Roman"/>
                <w:b/>
                <w:bCs/>
                <w:color w:val="FF0000"/>
                <w:sz w:val="24"/>
                <w:szCs w:val="24"/>
              </w:rPr>
            </w:pPr>
            <w:r>
              <w:rPr>
                <w:rFonts w:ascii="Garamond" w:eastAsia="Times New Roman" w:hAnsi="Garamond" w:cs="Times New Roman"/>
                <w:b/>
                <w:bCs/>
                <w:color w:val="FF0000"/>
                <w:sz w:val="24"/>
                <w:szCs w:val="24"/>
              </w:rPr>
              <w:t>63.53</w:t>
            </w:r>
          </w:p>
        </w:tc>
      </w:tr>
      <w:tr w:rsidR="00667121" w:rsidRPr="001F2CAC" w:rsidTr="00D2167F">
        <w:trPr>
          <w:trHeight w:val="233"/>
          <w:jc w:val="center"/>
        </w:trPr>
        <w:tc>
          <w:tcPr>
            <w:tcW w:w="6835" w:type="dxa"/>
            <w:tcBorders>
              <w:top w:val="nil"/>
              <w:left w:val="single" w:sz="4" w:space="0" w:color="808080"/>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rPr>
                <w:rFonts w:ascii="Garamond" w:eastAsia="Times New Roman" w:hAnsi="Garamond" w:cs="Times New Roman"/>
                <w:color w:val="FF0000"/>
                <w:sz w:val="24"/>
                <w:szCs w:val="24"/>
              </w:rPr>
            </w:pPr>
            <w:r w:rsidRPr="001F2CAC">
              <w:rPr>
                <w:rFonts w:ascii="Garamond" w:eastAsia="Times New Roman" w:hAnsi="Garamond" w:cs="Times New Roman"/>
                <w:color w:val="FF0000"/>
                <w:sz w:val="24"/>
                <w:szCs w:val="24"/>
              </w:rPr>
              <w:t>Tax registration using Unified Tax Identification Number (TIN)</w:t>
            </w:r>
          </w:p>
        </w:tc>
        <w:tc>
          <w:tcPr>
            <w:tcW w:w="2178" w:type="dxa"/>
            <w:tcBorders>
              <w:top w:val="nil"/>
              <w:left w:val="nil"/>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jc w:val="center"/>
              <w:rPr>
                <w:rFonts w:ascii="Garamond" w:eastAsia="Times New Roman" w:hAnsi="Garamond" w:cs="Times New Roman"/>
                <w:bCs/>
                <w:color w:val="FF0000"/>
                <w:sz w:val="24"/>
                <w:szCs w:val="24"/>
              </w:rPr>
            </w:pPr>
            <w:r>
              <w:rPr>
                <w:rFonts w:ascii="Garamond" w:eastAsia="Times New Roman" w:hAnsi="Garamond" w:cs="Times New Roman"/>
                <w:bCs/>
                <w:color w:val="FF0000"/>
                <w:sz w:val="24"/>
                <w:szCs w:val="24"/>
              </w:rPr>
              <w:t>75.40</w:t>
            </w:r>
          </w:p>
        </w:tc>
      </w:tr>
      <w:tr w:rsidR="00667121" w:rsidRPr="001F2CAC" w:rsidTr="00D2167F">
        <w:trPr>
          <w:trHeight w:val="233"/>
          <w:jc w:val="center"/>
        </w:trPr>
        <w:tc>
          <w:tcPr>
            <w:tcW w:w="6835" w:type="dxa"/>
            <w:tcBorders>
              <w:top w:val="nil"/>
              <w:left w:val="single" w:sz="4" w:space="0" w:color="808080"/>
              <w:bottom w:val="single" w:sz="4" w:space="0" w:color="808080"/>
              <w:right w:val="single" w:sz="4" w:space="0" w:color="808080"/>
            </w:tcBorders>
            <w:shd w:val="clear" w:color="auto" w:fill="auto"/>
            <w:vAlign w:val="center"/>
            <w:hideMark/>
          </w:tcPr>
          <w:p w:rsidR="00667121" w:rsidRPr="001F2CAC" w:rsidRDefault="00667121" w:rsidP="000D1180">
            <w:pPr>
              <w:spacing w:after="0" w:line="240" w:lineRule="auto"/>
              <w:rPr>
                <w:rFonts w:ascii="Garamond" w:eastAsia="Times New Roman" w:hAnsi="Garamond" w:cs="Times New Roman"/>
                <w:color w:val="FF0000"/>
                <w:sz w:val="24"/>
                <w:szCs w:val="24"/>
              </w:rPr>
            </w:pPr>
            <w:r w:rsidRPr="001F2CAC">
              <w:rPr>
                <w:rFonts w:ascii="Garamond" w:eastAsia="Times New Roman" w:hAnsi="Garamond" w:cs="Times New Roman"/>
                <w:color w:val="FF0000"/>
                <w:sz w:val="24"/>
                <w:szCs w:val="24"/>
              </w:rPr>
              <w:t>Efficiency of tax collection (best of judgement vs self- assessment)</w:t>
            </w:r>
          </w:p>
        </w:tc>
        <w:tc>
          <w:tcPr>
            <w:tcW w:w="2178" w:type="dxa"/>
            <w:tcBorders>
              <w:top w:val="nil"/>
              <w:left w:val="nil"/>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jc w:val="center"/>
              <w:rPr>
                <w:rFonts w:ascii="Garamond" w:eastAsia="Times New Roman" w:hAnsi="Garamond" w:cs="Times New Roman"/>
                <w:bCs/>
                <w:color w:val="FF0000"/>
                <w:sz w:val="24"/>
                <w:szCs w:val="24"/>
              </w:rPr>
            </w:pPr>
            <w:r>
              <w:rPr>
                <w:rFonts w:ascii="Garamond" w:eastAsia="Times New Roman" w:hAnsi="Garamond" w:cs="Times New Roman"/>
                <w:bCs/>
                <w:color w:val="FF0000"/>
                <w:sz w:val="24"/>
                <w:szCs w:val="24"/>
              </w:rPr>
              <w:t>51.67</w:t>
            </w:r>
          </w:p>
        </w:tc>
      </w:tr>
      <w:tr w:rsidR="00667121" w:rsidRPr="001F2CAC" w:rsidTr="00D2167F">
        <w:trPr>
          <w:trHeight w:val="161"/>
          <w:jc w:val="center"/>
        </w:trPr>
        <w:tc>
          <w:tcPr>
            <w:tcW w:w="6835" w:type="dxa"/>
            <w:tcBorders>
              <w:top w:val="nil"/>
              <w:left w:val="single" w:sz="4" w:space="0" w:color="808080"/>
              <w:bottom w:val="single" w:sz="4" w:space="0" w:color="808080"/>
              <w:right w:val="single" w:sz="4" w:space="0" w:color="808080"/>
            </w:tcBorders>
            <w:shd w:val="clear" w:color="auto" w:fill="auto"/>
            <w:vAlign w:val="center"/>
          </w:tcPr>
          <w:p w:rsidR="00667121" w:rsidRPr="001F2CAC" w:rsidRDefault="00667121" w:rsidP="000D1180">
            <w:pPr>
              <w:spacing w:after="0" w:line="240" w:lineRule="auto"/>
              <w:rPr>
                <w:rFonts w:ascii="Garamond" w:eastAsia="Times New Roman" w:hAnsi="Garamond" w:cs="Times New Roman"/>
                <w:color w:val="FF0000"/>
                <w:sz w:val="24"/>
                <w:szCs w:val="24"/>
              </w:rPr>
            </w:pPr>
          </w:p>
        </w:tc>
        <w:tc>
          <w:tcPr>
            <w:tcW w:w="2178" w:type="dxa"/>
            <w:tcBorders>
              <w:top w:val="nil"/>
              <w:left w:val="nil"/>
              <w:bottom w:val="single" w:sz="4" w:space="0" w:color="808080"/>
              <w:right w:val="single" w:sz="4" w:space="0" w:color="808080"/>
            </w:tcBorders>
            <w:shd w:val="clear" w:color="000000" w:fill="FFFFFF"/>
            <w:vAlign w:val="center"/>
          </w:tcPr>
          <w:p w:rsidR="00667121" w:rsidRPr="001F2CAC" w:rsidRDefault="00667121" w:rsidP="000D1180">
            <w:pPr>
              <w:spacing w:after="0" w:line="240" w:lineRule="auto"/>
              <w:jc w:val="center"/>
              <w:rPr>
                <w:rFonts w:ascii="Garamond" w:eastAsia="Times New Roman" w:hAnsi="Garamond" w:cs="Times New Roman"/>
                <w:color w:val="000000"/>
                <w:sz w:val="24"/>
                <w:szCs w:val="24"/>
              </w:rPr>
            </w:pPr>
          </w:p>
        </w:tc>
      </w:tr>
      <w:tr w:rsidR="00667121" w:rsidRPr="001F2CAC" w:rsidTr="00D2167F">
        <w:trPr>
          <w:trHeight w:val="233"/>
          <w:jc w:val="center"/>
        </w:trPr>
        <w:tc>
          <w:tcPr>
            <w:tcW w:w="6835" w:type="dxa"/>
            <w:tcBorders>
              <w:top w:val="nil"/>
              <w:left w:val="single" w:sz="4" w:space="0" w:color="808080"/>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rPr>
                <w:rFonts w:ascii="Garamond" w:eastAsia="Times New Roman" w:hAnsi="Garamond" w:cs="Times New Roman"/>
                <w:b/>
                <w:bCs/>
                <w:color w:val="006666"/>
                <w:sz w:val="24"/>
                <w:szCs w:val="24"/>
              </w:rPr>
            </w:pPr>
            <w:r w:rsidRPr="001F2CAC">
              <w:rPr>
                <w:rFonts w:ascii="Garamond" w:eastAsia="Times New Roman" w:hAnsi="Garamond" w:cs="Times New Roman"/>
                <w:b/>
                <w:bCs/>
                <w:color w:val="006666"/>
                <w:sz w:val="24"/>
                <w:szCs w:val="24"/>
              </w:rPr>
              <w:t>Tax Processing (manual vs automated)</w:t>
            </w:r>
          </w:p>
        </w:tc>
        <w:tc>
          <w:tcPr>
            <w:tcW w:w="2178" w:type="dxa"/>
            <w:tcBorders>
              <w:top w:val="nil"/>
              <w:left w:val="nil"/>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jc w:val="center"/>
              <w:rPr>
                <w:rFonts w:ascii="Garamond" w:eastAsia="Times New Roman" w:hAnsi="Garamond" w:cs="Times New Roman"/>
                <w:b/>
                <w:bCs/>
                <w:color w:val="006666"/>
                <w:sz w:val="24"/>
                <w:szCs w:val="24"/>
              </w:rPr>
            </w:pPr>
            <w:r>
              <w:rPr>
                <w:rFonts w:ascii="Garamond" w:eastAsia="Times New Roman" w:hAnsi="Garamond" w:cs="Times New Roman"/>
                <w:b/>
                <w:bCs/>
                <w:color w:val="006666"/>
                <w:sz w:val="24"/>
                <w:szCs w:val="24"/>
              </w:rPr>
              <w:t>88.02</w:t>
            </w:r>
          </w:p>
        </w:tc>
      </w:tr>
      <w:tr w:rsidR="00667121" w:rsidRPr="001F2CAC" w:rsidTr="00D2167F">
        <w:trPr>
          <w:trHeight w:val="233"/>
          <w:jc w:val="center"/>
        </w:trPr>
        <w:tc>
          <w:tcPr>
            <w:tcW w:w="6835" w:type="dxa"/>
            <w:tcBorders>
              <w:top w:val="nil"/>
              <w:left w:val="single" w:sz="4" w:space="0" w:color="808080"/>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rPr>
                <w:rFonts w:ascii="Garamond" w:eastAsia="Times New Roman" w:hAnsi="Garamond" w:cs="Times New Roman"/>
                <w:color w:val="006666"/>
                <w:sz w:val="24"/>
                <w:szCs w:val="24"/>
              </w:rPr>
            </w:pPr>
            <w:r w:rsidRPr="001F2CAC">
              <w:rPr>
                <w:rFonts w:ascii="Garamond" w:eastAsia="Times New Roman" w:hAnsi="Garamond" w:cs="Times New Roman"/>
                <w:color w:val="006666"/>
                <w:sz w:val="24"/>
                <w:szCs w:val="24"/>
              </w:rPr>
              <w:t>Tax payment (cash paid to tax officers versus bank and electronic payment)</w:t>
            </w:r>
          </w:p>
        </w:tc>
        <w:tc>
          <w:tcPr>
            <w:tcW w:w="2178" w:type="dxa"/>
            <w:tcBorders>
              <w:top w:val="nil"/>
              <w:left w:val="nil"/>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jc w:val="center"/>
              <w:rPr>
                <w:rFonts w:ascii="Garamond" w:eastAsia="Times New Roman" w:hAnsi="Garamond" w:cs="Times New Roman"/>
                <w:bCs/>
                <w:color w:val="006666"/>
                <w:sz w:val="24"/>
                <w:szCs w:val="24"/>
              </w:rPr>
            </w:pPr>
            <w:r>
              <w:rPr>
                <w:rFonts w:ascii="Garamond" w:eastAsia="Times New Roman" w:hAnsi="Garamond" w:cs="Times New Roman"/>
                <w:bCs/>
                <w:color w:val="006666"/>
                <w:sz w:val="24"/>
                <w:szCs w:val="24"/>
              </w:rPr>
              <w:t>88.02</w:t>
            </w:r>
          </w:p>
        </w:tc>
      </w:tr>
      <w:tr w:rsidR="00667121" w:rsidRPr="001F2CAC" w:rsidTr="00D2167F">
        <w:trPr>
          <w:trHeight w:val="178"/>
          <w:jc w:val="center"/>
        </w:trPr>
        <w:tc>
          <w:tcPr>
            <w:tcW w:w="6835" w:type="dxa"/>
            <w:tcBorders>
              <w:top w:val="nil"/>
              <w:left w:val="single" w:sz="4" w:space="0" w:color="808080"/>
              <w:bottom w:val="single" w:sz="4" w:space="0" w:color="808080"/>
              <w:right w:val="single" w:sz="4" w:space="0" w:color="808080"/>
            </w:tcBorders>
            <w:shd w:val="clear" w:color="000000" w:fill="FFFFFF"/>
            <w:vAlign w:val="center"/>
          </w:tcPr>
          <w:p w:rsidR="00667121" w:rsidRPr="001F2CAC" w:rsidRDefault="00667121" w:rsidP="000D1180">
            <w:pPr>
              <w:spacing w:after="0" w:line="240" w:lineRule="auto"/>
              <w:rPr>
                <w:rFonts w:ascii="Garamond" w:eastAsia="Times New Roman" w:hAnsi="Garamond" w:cs="Times New Roman"/>
                <w:color w:val="006666"/>
                <w:sz w:val="24"/>
                <w:szCs w:val="24"/>
              </w:rPr>
            </w:pPr>
          </w:p>
        </w:tc>
        <w:tc>
          <w:tcPr>
            <w:tcW w:w="2178" w:type="dxa"/>
            <w:tcBorders>
              <w:top w:val="nil"/>
              <w:left w:val="nil"/>
              <w:bottom w:val="single" w:sz="4" w:space="0" w:color="808080"/>
              <w:right w:val="single" w:sz="4" w:space="0" w:color="808080"/>
            </w:tcBorders>
            <w:shd w:val="clear" w:color="000000" w:fill="FFFFFF"/>
            <w:vAlign w:val="center"/>
          </w:tcPr>
          <w:p w:rsidR="00667121" w:rsidRPr="001F2CAC" w:rsidRDefault="00667121" w:rsidP="000D1180">
            <w:pPr>
              <w:spacing w:after="0" w:line="240" w:lineRule="auto"/>
              <w:jc w:val="center"/>
              <w:rPr>
                <w:rFonts w:ascii="Garamond" w:eastAsia="Times New Roman" w:hAnsi="Garamond" w:cs="Times New Roman"/>
                <w:b/>
                <w:bCs/>
                <w:color w:val="000000"/>
                <w:sz w:val="24"/>
                <w:szCs w:val="24"/>
              </w:rPr>
            </w:pPr>
          </w:p>
        </w:tc>
      </w:tr>
      <w:tr w:rsidR="00667121" w:rsidRPr="001F2CAC" w:rsidTr="00D2167F">
        <w:trPr>
          <w:trHeight w:val="233"/>
          <w:jc w:val="center"/>
        </w:trPr>
        <w:tc>
          <w:tcPr>
            <w:tcW w:w="6835" w:type="dxa"/>
            <w:tcBorders>
              <w:top w:val="nil"/>
              <w:left w:val="single" w:sz="4" w:space="0" w:color="808080"/>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rPr>
                <w:rFonts w:ascii="Garamond" w:eastAsia="Times New Roman" w:hAnsi="Garamond" w:cs="Times New Roman"/>
                <w:b/>
                <w:bCs/>
                <w:color w:val="3333CC"/>
                <w:sz w:val="24"/>
                <w:szCs w:val="24"/>
              </w:rPr>
            </w:pPr>
            <w:r w:rsidRPr="001F2CAC">
              <w:rPr>
                <w:rFonts w:ascii="Garamond" w:eastAsia="Times New Roman" w:hAnsi="Garamond" w:cs="Times New Roman"/>
                <w:b/>
                <w:bCs/>
                <w:color w:val="3333CC"/>
                <w:sz w:val="24"/>
                <w:szCs w:val="24"/>
              </w:rPr>
              <w:t>Tax Enforcement</w:t>
            </w:r>
          </w:p>
        </w:tc>
        <w:tc>
          <w:tcPr>
            <w:tcW w:w="2178" w:type="dxa"/>
            <w:tcBorders>
              <w:top w:val="nil"/>
              <w:left w:val="nil"/>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jc w:val="center"/>
              <w:rPr>
                <w:rFonts w:ascii="Garamond" w:eastAsia="Times New Roman" w:hAnsi="Garamond" w:cs="Times New Roman"/>
                <w:b/>
                <w:bCs/>
                <w:color w:val="3333CC"/>
                <w:sz w:val="24"/>
                <w:szCs w:val="24"/>
              </w:rPr>
            </w:pPr>
            <w:r>
              <w:rPr>
                <w:rFonts w:ascii="Garamond" w:eastAsia="Times New Roman" w:hAnsi="Garamond" w:cs="Times New Roman"/>
                <w:b/>
                <w:bCs/>
                <w:color w:val="3333CC"/>
                <w:sz w:val="24"/>
                <w:szCs w:val="24"/>
              </w:rPr>
              <w:t>67.19</w:t>
            </w:r>
          </w:p>
        </w:tc>
      </w:tr>
      <w:tr w:rsidR="00667121" w:rsidRPr="001F2CAC" w:rsidTr="00D2167F">
        <w:trPr>
          <w:trHeight w:val="233"/>
          <w:jc w:val="center"/>
        </w:trPr>
        <w:tc>
          <w:tcPr>
            <w:tcW w:w="6835" w:type="dxa"/>
            <w:tcBorders>
              <w:top w:val="nil"/>
              <w:left w:val="single" w:sz="4" w:space="0" w:color="808080"/>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rPr>
                <w:rFonts w:ascii="Garamond" w:eastAsia="Times New Roman" w:hAnsi="Garamond" w:cs="Times New Roman"/>
                <w:color w:val="3333CC"/>
                <w:sz w:val="24"/>
                <w:szCs w:val="24"/>
              </w:rPr>
            </w:pPr>
            <w:r w:rsidRPr="001F2CAC">
              <w:rPr>
                <w:rFonts w:ascii="Garamond" w:eastAsia="Times New Roman" w:hAnsi="Garamond" w:cs="Times New Roman"/>
                <w:color w:val="3333CC"/>
                <w:sz w:val="24"/>
                <w:szCs w:val="24"/>
              </w:rPr>
              <w:t>Capacity for taxpayer audits</w:t>
            </w:r>
          </w:p>
        </w:tc>
        <w:tc>
          <w:tcPr>
            <w:tcW w:w="2178" w:type="dxa"/>
            <w:tcBorders>
              <w:top w:val="nil"/>
              <w:left w:val="nil"/>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jc w:val="center"/>
              <w:rPr>
                <w:rFonts w:ascii="Garamond" w:eastAsia="Times New Roman" w:hAnsi="Garamond" w:cs="Times New Roman"/>
                <w:bCs/>
                <w:color w:val="3333CC"/>
                <w:sz w:val="24"/>
                <w:szCs w:val="24"/>
              </w:rPr>
            </w:pPr>
            <w:r>
              <w:rPr>
                <w:rFonts w:ascii="Garamond" w:eastAsia="Times New Roman" w:hAnsi="Garamond" w:cs="Times New Roman"/>
                <w:bCs/>
                <w:color w:val="3333CC"/>
                <w:sz w:val="24"/>
                <w:szCs w:val="24"/>
              </w:rPr>
              <w:t>47.44</w:t>
            </w:r>
          </w:p>
        </w:tc>
      </w:tr>
      <w:tr w:rsidR="00667121" w:rsidRPr="001F2CAC" w:rsidTr="00D2167F">
        <w:trPr>
          <w:trHeight w:val="233"/>
          <w:jc w:val="center"/>
        </w:trPr>
        <w:tc>
          <w:tcPr>
            <w:tcW w:w="6835" w:type="dxa"/>
            <w:tcBorders>
              <w:top w:val="nil"/>
              <w:left w:val="single" w:sz="4" w:space="0" w:color="808080"/>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rPr>
                <w:rFonts w:ascii="Garamond" w:eastAsia="Times New Roman" w:hAnsi="Garamond" w:cs="Times New Roman"/>
                <w:color w:val="3333CC"/>
                <w:sz w:val="24"/>
                <w:szCs w:val="24"/>
              </w:rPr>
            </w:pPr>
            <w:r w:rsidRPr="001F2CAC">
              <w:rPr>
                <w:rFonts w:ascii="Garamond" w:eastAsia="Times New Roman" w:hAnsi="Garamond" w:cs="Times New Roman"/>
                <w:color w:val="3333CC"/>
                <w:sz w:val="24"/>
                <w:szCs w:val="24"/>
              </w:rPr>
              <w:t>Tax awareness</w:t>
            </w:r>
          </w:p>
        </w:tc>
        <w:tc>
          <w:tcPr>
            <w:tcW w:w="2178" w:type="dxa"/>
            <w:tcBorders>
              <w:top w:val="nil"/>
              <w:left w:val="nil"/>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jc w:val="center"/>
              <w:rPr>
                <w:rFonts w:ascii="Garamond" w:eastAsia="Times New Roman" w:hAnsi="Garamond" w:cs="Times New Roman"/>
                <w:bCs/>
                <w:color w:val="3333CC"/>
                <w:sz w:val="24"/>
                <w:szCs w:val="24"/>
              </w:rPr>
            </w:pPr>
            <w:r>
              <w:rPr>
                <w:rFonts w:ascii="Garamond" w:eastAsia="Times New Roman" w:hAnsi="Garamond" w:cs="Times New Roman"/>
                <w:bCs/>
                <w:color w:val="3333CC"/>
                <w:sz w:val="24"/>
                <w:szCs w:val="24"/>
              </w:rPr>
              <w:t>56.06</w:t>
            </w:r>
          </w:p>
        </w:tc>
      </w:tr>
      <w:tr w:rsidR="00667121" w:rsidRPr="001F2CAC" w:rsidTr="00D2167F">
        <w:trPr>
          <w:trHeight w:val="233"/>
          <w:jc w:val="center"/>
        </w:trPr>
        <w:tc>
          <w:tcPr>
            <w:tcW w:w="6835" w:type="dxa"/>
            <w:tcBorders>
              <w:top w:val="nil"/>
              <w:left w:val="single" w:sz="4" w:space="0" w:color="808080"/>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rPr>
                <w:rFonts w:ascii="Garamond" w:eastAsia="Times New Roman" w:hAnsi="Garamond" w:cs="Times New Roman"/>
                <w:color w:val="3333CC"/>
                <w:sz w:val="24"/>
                <w:szCs w:val="24"/>
              </w:rPr>
            </w:pPr>
            <w:r w:rsidRPr="001F2CAC">
              <w:rPr>
                <w:rFonts w:ascii="Garamond" w:eastAsia="Times New Roman" w:hAnsi="Garamond" w:cs="Times New Roman"/>
                <w:color w:val="3333CC"/>
                <w:sz w:val="24"/>
                <w:szCs w:val="24"/>
              </w:rPr>
              <w:t>Complaints</w:t>
            </w:r>
          </w:p>
        </w:tc>
        <w:tc>
          <w:tcPr>
            <w:tcW w:w="2178" w:type="dxa"/>
            <w:tcBorders>
              <w:top w:val="nil"/>
              <w:left w:val="nil"/>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jc w:val="center"/>
              <w:rPr>
                <w:rFonts w:ascii="Garamond" w:eastAsia="Times New Roman" w:hAnsi="Garamond" w:cs="Times New Roman"/>
                <w:bCs/>
                <w:color w:val="3333CC"/>
                <w:sz w:val="24"/>
                <w:szCs w:val="24"/>
              </w:rPr>
            </w:pPr>
            <w:r>
              <w:rPr>
                <w:rFonts w:ascii="Garamond" w:eastAsia="Times New Roman" w:hAnsi="Garamond" w:cs="Times New Roman"/>
                <w:bCs/>
                <w:color w:val="3333CC"/>
                <w:sz w:val="24"/>
                <w:szCs w:val="24"/>
              </w:rPr>
              <w:t>77.78</w:t>
            </w:r>
          </w:p>
        </w:tc>
      </w:tr>
      <w:tr w:rsidR="00667121" w:rsidRPr="001F2CAC" w:rsidTr="00D2167F">
        <w:trPr>
          <w:trHeight w:val="233"/>
          <w:jc w:val="center"/>
        </w:trPr>
        <w:tc>
          <w:tcPr>
            <w:tcW w:w="6835" w:type="dxa"/>
            <w:tcBorders>
              <w:top w:val="nil"/>
              <w:left w:val="single" w:sz="4" w:space="0" w:color="808080"/>
              <w:bottom w:val="single" w:sz="4" w:space="0" w:color="808080"/>
              <w:right w:val="single" w:sz="4" w:space="0" w:color="808080"/>
            </w:tcBorders>
            <w:shd w:val="clear" w:color="000000" w:fill="FFFFFF"/>
            <w:vAlign w:val="center"/>
            <w:hideMark/>
          </w:tcPr>
          <w:p w:rsidR="00667121" w:rsidRPr="00D2167F" w:rsidRDefault="00667121" w:rsidP="00D2167F">
            <w:pPr>
              <w:spacing w:after="0" w:line="240" w:lineRule="auto"/>
              <w:rPr>
                <w:rFonts w:ascii="Garamond" w:eastAsia="Times New Roman" w:hAnsi="Garamond" w:cs="Times New Roman"/>
                <w:color w:val="3333CC"/>
                <w:sz w:val="24"/>
                <w:szCs w:val="24"/>
              </w:rPr>
            </w:pPr>
            <w:r w:rsidRPr="001F2CAC">
              <w:rPr>
                <w:rFonts w:ascii="Garamond" w:eastAsia="Times New Roman" w:hAnsi="Garamond" w:cs="Times New Roman"/>
                <w:color w:val="3333CC"/>
                <w:sz w:val="24"/>
                <w:szCs w:val="24"/>
              </w:rPr>
              <w:t>Double Taxation</w:t>
            </w:r>
          </w:p>
        </w:tc>
        <w:tc>
          <w:tcPr>
            <w:tcW w:w="2178" w:type="dxa"/>
            <w:tcBorders>
              <w:top w:val="nil"/>
              <w:left w:val="nil"/>
              <w:bottom w:val="single" w:sz="4" w:space="0" w:color="808080"/>
              <w:right w:val="single" w:sz="4" w:space="0" w:color="808080"/>
            </w:tcBorders>
            <w:shd w:val="clear" w:color="000000" w:fill="FFFFFF"/>
            <w:vAlign w:val="center"/>
            <w:hideMark/>
          </w:tcPr>
          <w:p w:rsidR="00667121" w:rsidRPr="001F2CAC" w:rsidRDefault="00667121" w:rsidP="000D1180">
            <w:pPr>
              <w:spacing w:after="0" w:line="240" w:lineRule="auto"/>
              <w:jc w:val="center"/>
              <w:rPr>
                <w:rFonts w:ascii="Garamond" w:eastAsia="Times New Roman" w:hAnsi="Garamond" w:cs="Times New Roman"/>
                <w:bCs/>
                <w:color w:val="3333CC"/>
                <w:sz w:val="24"/>
                <w:szCs w:val="24"/>
              </w:rPr>
            </w:pPr>
            <w:r>
              <w:rPr>
                <w:rFonts w:ascii="Garamond" w:eastAsia="Times New Roman" w:hAnsi="Garamond" w:cs="Times New Roman"/>
                <w:bCs/>
                <w:color w:val="3333CC"/>
                <w:sz w:val="24"/>
                <w:szCs w:val="24"/>
              </w:rPr>
              <w:t>87.50</w:t>
            </w:r>
          </w:p>
        </w:tc>
      </w:tr>
    </w:tbl>
    <w:p w:rsidR="00D2167F" w:rsidRDefault="00D2167F" w:rsidP="00667121">
      <w:pPr>
        <w:spacing w:line="360" w:lineRule="auto"/>
        <w:jc w:val="both"/>
        <w:rPr>
          <w:rFonts w:ascii="Garamond" w:hAnsi="Garamond"/>
          <w:sz w:val="24"/>
          <w:szCs w:val="24"/>
        </w:rPr>
      </w:pPr>
    </w:p>
    <w:p w:rsidR="00F66588" w:rsidRPr="00F66588" w:rsidRDefault="00F66588" w:rsidP="00F66588">
      <w:pPr>
        <w:spacing w:line="360" w:lineRule="auto"/>
        <w:jc w:val="both"/>
        <w:rPr>
          <w:rFonts w:ascii="Times New Roman" w:hAnsi="Times New Roman" w:cs="Times New Roman"/>
          <w:noProof/>
          <w:color w:val="0D0D0D" w:themeColor="text1" w:themeTint="F2"/>
          <w:sz w:val="2"/>
          <w:szCs w:val="20"/>
        </w:rPr>
      </w:pPr>
    </w:p>
    <w:p w:rsidR="00F66588" w:rsidRPr="00F66588" w:rsidRDefault="00F66588" w:rsidP="00F66588">
      <w:pPr>
        <w:spacing w:line="360" w:lineRule="auto"/>
        <w:jc w:val="both"/>
        <w:rPr>
          <w:rFonts w:ascii="Garamond" w:hAnsi="Garamond"/>
          <w:b/>
          <w:sz w:val="2"/>
          <w:szCs w:val="24"/>
        </w:rPr>
      </w:pPr>
      <w:r w:rsidRPr="00565733">
        <w:rPr>
          <w:rFonts w:ascii="Times New Roman" w:hAnsi="Times New Roman" w:cs="Times New Roman"/>
          <w:noProof/>
          <w:color w:val="0D0D0D" w:themeColor="text1" w:themeTint="F2"/>
          <w:sz w:val="20"/>
          <w:szCs w:val="20"/>
        </w:rPr>
        <w:lastRenderedPageBreak/>
        <w:drawing>
          <wp:anchor distT="0" distB="0" distL="114300" distR="114300" simplePos="0" relativeHeight="251662336" behindDoc="0" locked="0" layoutInCell="1" allowOverlap="1" wp14:anchorId="62EE9268" wp14:editId="757396B1">
            <wp:simplePos x="0" y="0"/>
            <wp:positionH relativeFrom="column">
              <wp:posOffset>91440</wp:posOffset>
            </wp:positionH>
            <wp:positionV relativeFrom="paragraph">
              <wp:posOffset>0</wp:posOffset>
            </wp:positionV>
            <wp:extent cx="434340" cy="434340"/>
            <wp:effectExtent l="0" t="0" r="0" b="3810"/>
            <wp:wrapSquare wrapText="bothSides"/>
            <wp:docPr id="2" name="Graphic 2" descr="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rovider=MicrosoftIcon&amp;fileName=Checklist_LTR.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34340" cy="434340"/>
                    </a:xfrm>
                    <a:prstGeom prst="rect">
                      <a:avLst/>
                    </a:prstGeom>
                  </pic:spPr>
                </pic:pic>
              </a:graphicData>
            </a:graphic>
            <wp14:sizeRelH relativeFrom="page">
              <wp14:pctWidth>0</wp14:pctWidth>
            </wp14:sizeRelH>
            <wp14:sizeRelV relativeFrom="page">
              <wp14:pctHeight>0</wp14:pctHeight>
            </wp14:sizeRelV>
          </wp:anchor>
        </w:drawing>
      </w:r>
    </w:p>
    <w:p w:rsidR="00667121" w:rsidRPr="00F66588" w:rsidRDefault="00667121" w:rsidP="00F66588">
      <w:pPr>
        <w:spacing w:line="360" w:lineRule="auto"/>
        <w:jc w:val="both"/>
        <w:rPr>
          <w:rFonts w:ascii="Garamond" w:hAnsi="Garamond"/>
          <w:b/>
          <w:sz w:val="24"/>
          <w:szCs w:val="24"/>
        </w:rPr>
      </w:pPr>
      <w:r w:rsidRPr="002073EA">
        <w:rPr>
          <w:rFonts w:ascii="Garamond" w:hAnsi="Garamond"/>
          <w:b/>
          <w:sz w:val="24"/>
          <w:szCs w:val="24"/>
        </w:rPr>
        <w:t>Other Highlights</w:t>
      </w:r>
    </w:p>
    <w:p w:rsidR="00667121" w:rsidRDefault="00F66588" w:rsidP="00667121">
      <w:pPr>
        <w:spacing w:line="360" w:lineRule="auto"/>
        <w:jc w:val="both"/>
        <w:rPr>
          <w:rFonts w:ascii="Garamond" w:hAnsi="Garamond"/>
          <w:sz w:val="24"/>
          <w:szCs w:val="24"/>
        </w:rPr>
      </w:pPr>
      <w:r w:rsidRPr="001F2CAC">
        <w:rPr>
          <w:rFonts w:ascii="Garamond" w:hAnsi="Garamond" w:cs="Times New Roman"/>
          <w:noProof/>
          <w:sz w:val="24"/>
          <w:szCs w:val="24"/>
        </w:rPr>
        <w:drawing>
          <wp:anchor distT="0" distB="0" distL="114300" distR="114300" simplePos="0" relativeHeight="251664384" behindDoc="1" locked="0" layoutInCell="1" allowOverlap="1" wp14:anchorId="7EA8E099" wp14:editId="2FBD55CE">
            <wp:simplePos x="0" y="0"/>
            <wp:positionH relativeFrom="column">
              <wp:posOffset>0</wp:posOffset>
            </wp:positionH>
            <wp:positionV relativeFrom="paragraph">
              <wp:posOffset>1525270</wp:posOffset>
            </wp:positionV>
            <wp:extent cx="480060" cy="480060"/>
            <wp:effectExtent l="0" t="0" r="0" b="0"/>
            <wp:wrapTight wrapText="bothSides">
              <wp:wrapPolygon edited="0">
                <wp:start x="12000" y="857"/>
                <wp:lineTo x="1714" y="6857"/>
                <wp:lineTo x="0" y="8571"/>
                <wp:lineTo x="0" y="18857"/>
                <wp:lineTo x="20571" y="18857"/>
                <wp:lineTo x="20571" y="7714"/>
                <wp:lineTo x="17143" y="857"/>
                <wp:lineTo x="12000" y="857"/>
              </wp:wrapPolygon>
            </wp:wrapTight>
            <wp:docPr id="14" name="Graphic 14" descr="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ownload?provider=MicrosoftIcon&amp;fileName=Money.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480060" cy="480060"/>
                    </a:xfrm>
                    <a:prstGeom prst="rect">
                      <a:avLst/>
                    </a:prstGeom>
                  </pic:spPr>
                </pic:pic>
              </a:graphicData>
            </a:graphic>
            <wp14:sizeRelH relativeFrom="margin">
              <wp14:pctWidth>0</wp14:pctWidth>
            </wp14:sizeRelH>
            <wp14:sizeRelV relativeFrom="margin">
              <wp14:pctHeight>0</wp14:pctHeight>
            </wp14:sizeRelV>
          </wp:anchor>
        </w:drawing>
      </w:r>
      <w:r w:rsidR="00D2167F" w:rsidRPr="00D2167F">
        <w:rPr>
          <w:rFonts w:ascii="Garamond" w:hAnsi="Garamond"/>
          <w:sz w:val="24"/>
          <w:szCs w:val="24"/>
        </w:rPr>
        <w:t>The NGF HelpDesk visited the Gombe State IRS from 7</w:t>
      </w:r>
      <w:r w:rsidR="00D2167F" w:rsidRPr="00D2167F">
        <w:rPr>
          <w:rFonts w:ascii="Garamond" w:hAnsi="Garamond"/>
          <w:sz w:val="24"/>
          <w:szCs w:val="24"/>
          <w:vertAlign w:val="superscript"/>
        </w:rPr>
        <w:t>th</w:t>
      </w:r>
      <w:r w:rsidR="00D2167F" w:rsidRPr="00D2167F">
        <w:rPr>
          <w:rFonts w:ascii="Garamond" w:hAnsi="Garamond"/>
          <w:sz w:val="24"/>
          <w:szCs w:val="24"/>
        </w:rPr>
        <w:t xml:space="preserve"> to 8</w:t>
      </w:r>
      <w:r w:rsidR="00D2167F" w:rsidRPr="00D2167F">
        <w:rPr>
          <w:rFonts w:ascii="Garamond" w:hAnsi="Garamond"/>
          <w:sz w:val="24"/>
          <w:szCs w:val="24"/>
          <w:vertAlign w:val="superscript"/>
        </w:rPr>
        <w:t>th</w:t>
      </w:r>
      <w:r w:rsidR="00D2167F" w:rsidRPr="00D2167F">
        <w:rPr>
          <w:rFonts w:ascii="Garamond" w:hAnsi="Garamond"/>
          <w:sz w:val="24"/>
          <w:szCs w:val="24"/>
        </w:rPr>
        <w:t xml:space="preserve"> August 2017 to conduct a diagnostic study and training visit. </w:t>
      </w:r>
      <w:r w:rsidR="00D2167F">
        <w:rPr>
          <w:rFonts w:ascii="Garamond" w:hAnsi="Garamond"/>
          <w:sz w:val="24"/>
          <w:szCs w:val="24"/>
        </w:rPr>
        <w:t>P</w:t>
      </w:r>
      <w:r w:rsidR="00D2167F" w:rsidRPr="00D2167F">
        <w:rPr>
          <w:rFonts w:ascii="Garamond" w:hAnsi="Garamond"/>
          <w:sz w:val="24"/>
          <w:szCs w:val="24"/>
        </w:rPr>
        <w:t xml:space="preserve">articipants were provided training on workflow and data management, innovative strategies for engaging the informal sector and standardized processes for key operations in tax administration including debt recovery, direct assessment and managing contracted out collection. </w:t>
      </w:r>
      <w:r w:rsidR="00D2167F">
        <w:rPr>
          <w:rFonts w:ascii="Garamond" w:hAnsi="Garamond"/>
          <w:sz w:val="24"/>
          <w:szCs w:val="24"/>
        </w:rPr>
        <w:t xml:space="preserve">The training was facilitated by the Executive Chairman and attended by </w:t>
      </w:r>
      <w:r w:rsidR="00F01572">
        <w:rPr>
          <w:rFonts w:ascii="Garamond" w:hAnsi="Garamond"/>
          <w:sz w:val="24"/>
          <w:szCs w:val="24"/>
        </w:rPr>
        <w:t>20</w:t>
      </w:r>
      <w:r w:rsidR="00D2167F">
        <w:rPr>
          <w:rFonts w:ascii="Garamond" w:hAnsi="Garamond"/>
          <w:sz w:val="24"/>
          <w:szCs w:val="24"/>
        </w:rPr>
        <w:t xml:space="preserve"> staff of the Service.</w:t>
      </w:r>
      <w:bookmarkStart w:id="1" w:name="_GoBack"/>
      <w:bookmarkEnd w:id="1"/>
    </w:p>
    <w:p w:rsidR="00F66588" w:rsidRPr="00F66588" w:rsidRDefault="00F66588" w:rsidP="00667121">
      <w:pPr>
        <w:spacing w:line="360" w:lineRule="auto"/>
        <w:jc w:val="both"/>
        <w:rPr>
          <w:rFonts w:ascii="Garamond" w:hAnsi="Garamond"/>
          <w:b/>
          <w:sz w:val="24"/>
          <w:szCs w:val="24"/>
        </w:rPr>
      </w:pPr>
      <w:r w:rsidRPr="00F66588">
        <w:rPr>
          <w:rFonts w:ascii="Garamond" w:hAnsi="Garamond"/>
          <w:b/>
          <w:sz w:val="24"/>
          <w:szCs w:val="24"/>
        </w:rPr>
        <w:t>Revenue Profile</w:t>
      </w:r>
    </w:p>
    <w:p w:rsidR="00F66588" w:rsidRDefault="00F66588" w:rsidP="00667121">
      <w:pPr>
        <w:spacing w:line="360" w:lineRule="auto"/>
        <w:jc w:val="both"/>
        <w:rPr>
          <w:rFonts w:ascii="Garamond" w:hAnsi="Garamond"/>
          <w:sz w:val="24"/>
          <w:szCs w:val="24"/>
        </w:rPr>
      </w:pPr>
      <w:r w:rsidRPr="001F2CAC">
        <w:rPr>
          <w:rFonts w:ascii="Garamond" w:hAnsi="Garamond" w:cs="Times New Roman"/>
          <w:noProof/>
          <w:sz w:val="24"/>
          <w:szCs w:val="24"/>
        </w:rPr>
        <w:drawing>
          <wp:anchor distT="0" distB="0" distL="114300" distR="114300" simplePos="0" relativeHeight="251660288" behindDoc="0" locked="0" layoutInCell="1" allowOverlap="1" wp14:anchorId="6E68E841" wp14:editId="49A2EB71">
            <wp:simplePos x="0" y="0"/>
            <wp:positionH relativeFrom="column">
              <wp:posOffset>-3175</wp:posOffset>
            </wp:positionH>
            <wp:positionV relativeFrom="paragraph">
              <wp:posOffset>2588895</wp:posOffset>
            </wp:positionV>
            <wp:extent cx="464820" cy="464820"/>
            <wp:effectExtent l="0" t="0" r="0" b="0"/>
            <wp:wrapSquare wrapText="bothSides"/>
            <wp:docPr id="18" name="Graphic 18" descr="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wnload?provider=MicrosoftIcon&amp;fileName=Handshake.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64820" cy="46482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F03E8D3" wp14:editId="520BE596">
            <wp:extent cx="6499860" cy="2537460"/>
            <wp:effectExtent l="0" t="0" r="15240" b="15240"/>
            <wp:docPr id="1" name="Chart 1">
              <a:extLst xmlns:a="http://schemas.openxmlformats.org/drawingml/2006/main">
                <a:ext uri="{FF2B5EF4-FFF2-40B4-BE49-F238E27FC236}">
                  <a16:creationId xmlns:a16="http://schemas.microsoft.com/office/drawing/2014/main" id="{1A919CDE-5140-4C9B-915D-6AE70126C6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667121" w:rsidRPr="002073EA" w:rsidRDefault="00667121" w:rsidP="00667121">
      <w:pPr>
        <w:spacing w:line="360" w:lineRule="auto"/>
        <w:jc w:val="both"/>
        <w:rPr>
          <w:rFonts w:ascii="Garamond" w:hAnsi="Garamond"/>
          <w:b/>
          <w:sz w:val="24"/>
          <w:szCs w:val="24"/>
        </w:rPr>
      </w:pPr>
      <w:r w:rsidRPr="002073EA">
        <w:rPr>
          <w:rFonts w:ascii="Garamond" w:hAnsi="Garamond"/>
          <w:b/>
          <w:sz w:val="24"/>
          <w:szCs w:val="24"/>
        </w:rPr>
        <w:t>Recommended actions for the Governor</w:t>
      </w:r>
    </w:p>
    <w:p w:rsidR="00D40384" w:rsidRDefault="00D40384" w:rsidP="00D40384">
      <w:pPr>
        <w:pStyle w:val="ListParagraph"/>
        <w:numPr>
          <w:ilvl w:val="0"/>
          <w:numId w:val="2"/>
        </w:numPr>
        <w:spacing w:line="360" w:lineRule="auto"/>
        <w:jc w:val="both"/>
        <w:rPr>
          <w:rFonts w:ascii="Garamond" w:hAnsi="Garamond"/>
          <w:sz w:val="24"/>
          <w:szCs w:val="24"/>
        </w:rPr>
      </w:pPr>
      <w:r>
        <w:rPr>
          <w:rFonts w:ascii="Garamond" w:hAnsi="Garamond"/>
          <w:sz w:val="24"/>
          <w:szCs w:val="24"/>
        </w:rPr>
        <w:t>Provide a platform to receive regular updates from the Chairman of the Board of Internal Revenue</w:t>
      </w:r>
    </w:p>
    <w:p w:rsidR="00D40384" w:rsidRPr="00D2167F" w:rsidRDefault="00D40384" w:rsidP="00D40384">
      <w:pPr>
        <w:pStyle w:val="ListParagraph"/>
        <w:numPr>
          <w:ilvl w:val="0"/>
          <w:numId w:val="2"/>
        </w:numPr>
        <w:spacing w:line="360" w:lineRule="auto"/>
        <w:jc w:val="both"/>
        <w:rPr>
          <w:rFonts w:ascii="Garamond" w:hAnsi="Garamond"/>
          <w:sz w:val="24"/>
          <w:szCs w:val="24"/>
        </w:rPr>
      </w:pPr>
      <w:r>
        <w:rPr>
          <w:rFonts w:ascii="Garamond" w:hAnsi="Garamond"/>
          <w:sz w:val="24"/>
          <w:szCs w:val="24"/>
        </w:rPr>
        <w:t>G</w:t>
      </w:r>
      <w:r w:rsidRPr="00D2167F">
        <w:rPr>
          <w:rFonts w:ascii="Garamond" w:hAnsi="Garamond"/>
          <w:sz w:val="24"/>
          <w:szCs w:val="24"/>
        </w:rPr>
        <w:t xml:space="preserve">rant both administrative and financial autonomy to the Service to ensure </w:t>
      </w:r>
      <w:r>
        <w:rPr>
          <w:rFonts w:ascii="Garamond" w:hAnsi="Garamond"/>
          <w:sz w:val="24"/>
          <w:szCs w:val="24"/>
        </w:rPr>
        <w:t xml:space="preserve">its </w:t>
      </w:r>
      <w:r w:rsidRPr="00D2167F">
        <w:rPr>
          <w:rFonts w:ascii="Garamond" w:hAnsi="Garamond"/>
          <w:sz w:val="24"/>
          <w:szCs w:val="24"/>
        </w:rPr>
        <w:t xml:space="preserve">effective </w:t>
      </w:r>
      <w:r>
        <w:rPr>
          <w:rFonts w:ascii="Garamond" w:hAnsi="Garamond"/>
          <w:sz w:val="24"/>
          <w:szCs w:val="24"/>
        </w:rPr>
        <w:t>operation.</w:t>
      </w:r>
    </w:p>
    <w:p w:rsidR="00D2167F" w:rsidRPr="00D2167F" w:rsidRDefault="00D2167F" w:rsidP="00D2167F">
      <w:pPr>
        <w:pStyle w:val="ListParagraph"/>
        <w:numPr>
          <w:ilvl w:val="0"/>
          <w:numId w:val="2"/>
        </w:numPr>
        <w:spacing w:line="360" w:lineRule="auto"/>
        <w:jc w:val="both"/>
        <w:rPr>
          <w:rFonts w:ascii="Garamond" w:hAnsi="Garamond"/>
          <w:sz w:val="24"/>
          <w:szCs w:val="24"/>
        </w:rPr>
      </w:pPr>
      <w:r w:rsidRPr="00D2167F">
        <w:rPr>
          <w:rFonts w:ascii="Garamond" w:hAnsi="Garamond"/>
          <w:sz w:val="24"/>
          <w:szCs w:val="24"/>
        </w:rPr>
        <w:t>Approve the execution of strategic recruitment of professionals to spear head various departments and operations instituted under the proposed reorganization.</w:t>
      </w:r>
    </w:p>
    <w:p w:rsidR="00D2167F" w:rsidRPr="00D2167F" w:rsidRDefault="00D2167F" w:rsidP="00D2167F">
      <w:pPr>
        <w:pStyle w:val="ListParagraph"/>
        <w:numPr>
          <w:ilvl w:val="0"/>
          <w:numId w:val="2"/>
        </w:numPr>
        <w:spacing w:line="360" w:lineRule="auto"/>
        <w:jc w:val="both"/>
        <w:rPr>
          <w:rFonts w:ascii="Garamond" w:hAnsi="Garamond"/>
          <w:sz w:val="24"/>
          <w:szCs w:val="24"/>
        </w:rPr>
      </w:pPr>
      <w:r w:rsidRPr="00D2167F">
        <w:rPr>
          <w:rFonts w:ascii="Garamond" w:hAnsi="Garamond"/>
          <w:sz w:val="24"/>
          <w:szCs w:val="24"/>
        </w:rPr>
        <w:t>Approve the proposed reorganization of the Service and the institution of a new remuneration scale to drive performance.</w:t>
      </w:r>
    </w:p>
    <w:p w:rsidR="00667121" w:rsidRPr="00516689" w:rsidRDefault="00667121" w:rsidP="00667121">
      <w:pPr>
        <w:pStyle w:val="ListParagraph"/>
        <w:numPr>
          <w:ilvl w:val="0"/>
          <w:numId w:val="2"/>
        </w:numPr>
        <w:spacing w:line="360" w:lineRule="auto"/>
        <w:jc w:val="both"/>
        <w:rPr>
          <w:rFonts w:ascii="Garamond" w:hAnsi="Garamond"/>
          <w:sz w:val="24"/>
          <w:szCs w:val="24"/>
        </w:rPr>
      </w:pPr>
      <w:r w:rsidRPr="00516689">
        <w:rPr>
          <w:rFonts w:ascii="Garamond" w:hAnsi="Garamond"/>
          <w:sz w:val="24"/>
          <w:szCs w:val="24"/>
        </w:rPr>
        <w:t xml:space="preserve">Facilitate the reconstitution of </w:t>
      </w:r>
      <w:r w:rsidR="00D2167F">
        <w:rPr>
          <w:rFonts w:ascii="Garamond" w:hAnsi="Garamond"/>
          <w:sz w:val="24"/>
          <w:szCs w:val="24"/>
        </w:rPr>
        <w:t xml:space="preserve">revenue courts and </w:t>
      </w:r>
      <w:r w:rsidRPr="00516689">
        <w:rPr>
          <w:rFonts w:ascii="Garamond" w:hAnsi="Garamond"/>
          <w:sz w:val="24"/>
          <w:szCs w:val="24"/>
        </w:rPr>
        <w:t>Tax Appeal Tribunals</w:t>
      </w:r>
      <w:r w:rsidR="00D2167F">
        <w:rPr>
          <w:rFonts w:ascii="Garamond" w:hAnsi="Garamond"/>
          <w:sz w:val="24"/>
          <w:szCs w:val="24"/>
        </w:rPr>
        <w:t>,</w:t>
      </w:r>
      <w:r w:rsidRPr="00516689">
        <w:rPr>
          <w:rFonts w:ascii="Garamond" w:hAnsi="Garamond"/>
          <w:sz w:val="24"/>
          <w:szCs w:val="24"/>
        </w:rPr>
        <w:t xml:space="preserve"> as their absence has held up several cases and the inflow of revenues.</w:t>
      </w:r>
    </w:p>
    <w:p w:rsidR="00667121" w:rsidRDefault="00D2167F" w:rsidP="00667121">
      <w:pPr>
        <w:pStyle w:val="ListParagraph"/>
        <w:numPr>
          <w:ilvl w:val="0"/>
          <w:numId w:val="2"/>
        </w:numPr>
        <w:spacing w:line="360" w:lineRule="auto"/>
        <w:jc w:val="both"/>
        <w:rPr>
          <w:rFonts w:ascii="Garamond" w:hAnsi="Garamond"/>
          <w:sz w:val="24"/>
          <w:szCs w:val="24"/>
        </w:rPr>
      </w:pPr>
      <w:bookmarkStart w:id="2" w:name="_Hlk486419636"/>
      <w:r>
        <w:rPr>
          <w:rFonts w:ascii="Garamond" w:hAnsi="Garamond"/>
          <w:sz w:val="24"/>
          <w:szCs w:val="24"/>
        </w:rPr>
        <w:t>S</w:t>
      </w:r>
      <w:r w:rsidR="00667121">
        <w:rPr>
          <w:rFonts w:ascii="Garamond" w:hAnsi="Garamond"/>
          <w:sz w:val="24"/>
          <w:szCs w:val="24"/>
        </w:rPr>
        <w:t>upport the Service to expand the number of field offices to at least one in each local government</w:t>
      </w:r>
      <w:r>
        <w:rPr>
          <w:rFonts w:ascii="Garamond" w:hAnsi="Garamond"/>
          <w:sz w:val="24"/>
          <w:szCs w:val="24"/>
        </w:rPr>
        <w:t>. The State currently has only 9</w:t>
      </w:r>
      <w:r w:rsidR="00667121">
        <w:rPr>
          <w:rFonts w:ascii="Garamond" w:hAnsi="Garamond"/>
          <w:sz w:val="24"/>
          <w:szCs w:val="24"/>
        </w:rPr>
        <w:t xml:space="preserve"> field offices servicing </w:t>
      </w:r>
      <w:r>
        <w:rPr>
          <w:rFonts w:ascii="Garamond" w:hAnsi="Garamond"/>
          <w:sz w:val="24"/>
          <w:szCs w:val="24"/>
        </w:rPr>
        <w:t xml:space="preserve">the 11 </w:t>
      </w:r>
      <w:r w:rsidR="00667121">
        <w:rPr>
          <w:rFonts w:ascii="Garamond" w:hAnsi="Garamond"/>
          <w:sz w:val="24"/>
          <w:szCs w:val="24"/>
        </w:rPr>
        <w:t>LGAs</w:t>
      </w:r>
      <w:r>
        <w:rPr>
          <w:rFonts w:ascii="Garamond" w:hAnsi="Garamond"/>
          <w:sz w:val="24"/>
          <w:szCs w:val="24"/>
        </w:rPr>
        <w:t xml:space="preserve"> in the State</w:t>
      </w:r>
      <w:r w:rsidR="00667121">
        <w:rPr>
          <w:rFonts w:ascii="Garamond" w:hAnsi="Garamond"/>
          <w:sz w:val="24"/>
          <w:szCs w:val="24"/>
        </w:rPr>
        <w:t>.</w:t>
      </w:r>
    </w:p>
    <w:bookmarkEnd w:id="2"/>
    <w:bookmarkEnd w:id="0"/>
    <w:sectPr w:rsidR="00667121" w:rsidSect="00CA345B">
      <w:headerReference w:type="default" r:id="rId18"/>
      <w:footerReference w:type="default" r:id="rId19"/>
      <w:headerReference w:type="first" r:id="rId20"/>
      <w:pgSz w:w="12240" w:h="15840"/>
      <w:pgMar w:top="1710" w:right="1440" w:bottom="630" w:left="1440" w:header="540" w:footer="3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70AA" w:rsidRDefault="00D2167F">
      <w:pPr>
        <w:spacing w:after="0" w:line="240" w:lineRule="auto"/>
      </w:pPr>
      <w:r>
        <w:separator/>
      </w:r>
    </w:p>
  </w:endnote>
  <w:endnote w:type="continuationSeparator" w:id="0">
    <w:p w:rsidR="003870AA" w:rsidRDefault="00D21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2C9D" w:rsidRPr="00B76193" w:rsidRDefault="00667121" w:rsidP="00B7778F">
    <w:pPr>
      <w:tabs>
        <w:tab w:val="left" w:pos="5328"/>
      </w:tabs>
      <w:spacing w:after="0" w:line="360" w:lineRule="auto"/>
      <w:rPr>
        <w:rFonts w:ascii="Garamond" w:hAnsi="Garamond"/>
      </w:rPr>
    </w:pPr>
    <w:r>
      <w:rPr>
        <w:rFonts w:ascii="Garamond" w:hAnsi="Garamond"/>
        <w:b/>
        <w:sz w:val="24"/>
        <w:szCs w:val="24"/>
      </w:rPr>
      <w:t>F</w:t>
    </w:r>
    <w:r w:rsidRPr="00885DAE">
      <w:rPr>
        <w:rFonts w:ascii="Garamond" w:hAnsi="Garamond"/>
        <w:b/>
        <w:sz w:val="24"/>
        <w:szCs w:val="24"/>
      </w:rPr>
      <w:t>or further information:</w:t>
    </w:r>
    <w:r>
      <w:rPr>
        <w:rFonts w:ascii="Garamond" w:hAnsi="Garamond"/>
        <w:b/>
        <w:sz w:val="24"/>
        <w:szCs w:val="24"/>
      </w:rPr>
      <w:t xml:space="preserve"> </w:t>
    </w:r>
    <w:r w:rsidRPr="00B76193">
      <w:rPr>
        <w:rFonts w:ascii="Garamond" w:hAnsi="Garamond"/>
        <w:i/>
        <w:color w:val="0D0D0D" w:themeColor="text1" w:themeTint="F2"/>
        <w:lang w:val="en-GB"/>
      </w:rPr>
      <w:t>David Nabena |</w:t>
    </w:r>
    <w:r>
      <w:rPr>
        <w:rFonts w:ascii="Garamond" w:hAnsi="Garamond"/>
        <w:i/>
        <w:color w:val="0D0D0D" w:themeColor="text1" w:themeTint="F2"/>
        <w:lang w:val="en-GB"/>
      </w:rPr>
      <w:t xml:space="preserve"> Economist </w:t>
    </w:r>
    <w:r w:rsidRPr="00B76193">
      <w:rPr>
        <w:rFonts w:ascii="Garamond" w:hAnsi="Garamond"/>
        <w:i/>
        <w:color w:val="0D0D0D" w:themeColor="text1" w:themeTint="F2"/>
        <w:lang w:val="en-GB"/>
      </w:rPr>
      <w:t>|</w:t>
    </w:r>
    <w:r>
      <w:rPr>
        <w:rFonts w:ascii="Garamond" w:hAnsi="Garamond"/>
        <w:i/>
        <w:color w:val="0D0D0D" w:themeColor="text1" w:themeTint="F2"/>
        <w:lang w:val="en-GB"/>
      </w:rPr>
      <w:t xml:space="preserve">Tel: 08188719234 </w:t>
    </w:r>
    <w:r w:rsidRPr="00B76193">
      <w:rPr>
        <w:rFonts w:ascii="Garamond" w:hAnsi="Garamond"/>
        <w:i/>
        <w:color w:val="0D0D0D" w:themeColor="text1" w:themeTint="F2"/>
        <w:lang w:val="en-GB"/>
      </w:rPr>
      <w:t xml:space="preserve">| Email: </w:t>
    </w:r>
    <w:hyperlink r:id="rId1" w:history="1">
      <w:r w:rsidRPr="00B76193">
        <w:rPr>
          <w:rStyle w:val="Hyperlink"/>
          <w:rFonts w:ascii="Garamond" w:hAnsi="Garamond"/>
          <w:i/>
          <w:lang w:val="en-GB"/>
        </w:rPr>
        <w:t>dnabena@nggovernorsforum.org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70AA" w:rsidRDefault="00D2167F">
      <w:pPr>
        <w:spacing w:after="0" w:line="240" w:lineRule="auto"/>
      </w:pPr>
      <w:r>
        <w:separator/>
      </w:r>
    </w:p>
  </w:footnote>
  <w:footnote w:type="continuationSeparator" w:id="0">
    <w:p w:rsidR="003870AA" w:rsidRDefault="00D216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7E09" w:rsidRPr="00BB47F1" w:rsidRDefault="00667121" w:rsidP="00B87E09">
    <w:pPr>
      <w:pStyle w:val="Header"/>
      <w:ind w:left="2520" w:firstLine="4680"/>
      <w:rPr>
        <w:sz w:val="28"/>
        <w:szCs w:val="28"/>
      </w:rPr>
    </w:pPr>
    <w:r w:rsidRPr="00BB47F1">
      <w:rPr>
        <w:rFonts w:ascii="Calibri" w:eastAsia="Times New Roman" w:hAnsi="Calibri" w:cs="Times New Roman"/>
        <w:noProof/>
        <w:color w:val="000000"/>
        <w:sz w:val="28"/>
        <w:szCs w:val="28"/>
      </w:rPr>
      <w:drawing>
        <wp:anchor distT="0" distB="0" distL="114300" distR="114300" simplePos="0" relativeHeight="251659264" behindDoc="0" locked="0" layoutInCell="1" allowOverlap="1" wp14:anchorId="5C87EBBC" wp14:editId="656B85E1">
          <wp:simplePos x="0" y="0"/>
          <wp:positionH relativeFrom="column">
            <wp:posOffset>0</wp:posOffset>
          </wp:positionH>
          <wp:positionV relativeFrom="paragraph">
            <wp:posOffset>0</wp:posOffset>
          </wp:positionV>
          <wp:extent cx="2125980" cy="708660"/>
          <wp:effectExtent l="0" t="0" r="0" b="0"/>
          <wp:wrapNone/>
          <wp:docPr id="23" name="Picture 23">
            <a:extLst xmlns:a="http://schemas.openxmlformats.org/drawingml/2006/main">
              <a:ext uri="{FF2B5EF4-FFF2-40B4-BE49-F238E27FC236}">
                <a16:creationId xmlns:a16="http://schemas.microsoft.com/office/drawing/2014/main" id="{9AF1EA0B-B025-427A-BFC8-0A233EEEB3CF}"/>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AF1EA0B-B025-427A-BFC8-0A233EEEB3CF}"/>
                      </a:ext>
                    </a:extLst>
                  </pic:cNvPr>
                  <pic:cNvPicPr/>
                </pic:nvPicPr>
                <pic:blipFill>
                  <a:blip r:embed="rId1"/>
                  <a:stretch>
                    <a:fillRect/>
                  </a:stretch>
                </pic:blipFill>
                <pic:spPr>
                  <a:xfrm>
                    <a:off x="0" y="0"/>
                    <a:ext cx="2128324" cy="717843"/>
                  </a:xfrm>
                  <a:prstGeom prst="rect">
                    <a:avLst/>
                  </a:prstGeom>
                </pic:spPr>
              </pic:pic>
            </a:graphicData>
          </a:graphic>
          <wp14:sizeRelH relativeFrom="page">
            <wp14:pctWidth>0</wp14:pctWidth>
          </wp14:sizeRelH>
          <wp14:sizeRelV relativeFrom="page">
            <wp14:pctHeight>0</wp14:pctHeight>
          </wp14:sizeRelV>
        </wp:anchor>
      </w:drawing>
    </w:r>
  </w:p>
  <w:p w:rsidR="00B87E09" w:rsidRPr="00BB47F1" w:rsidRDefault="00F66588" w:rsidP="00B87E09">
    <w:pPr>
      <w:pStyle w:val="Header"/>
      <w:ind w:left="2520" w:firstLine="4680"/>
      <w:rPr>
        <w:sz w:val="28"/>
        <w:szCs w:val="28"/>
      </w:rPr>
    </w:pPr>
  </w:p>
  <w:p w:rsidR="00B87E09" w:rsidRPr="00BB47F1" w:rsidRDefault="00F66588" w:rsidP="00B87E09">
    <w:pPr>
      <w:pStyle w:val="Header"/>
      <w:ind w:left="2520" w:firstLine="4680"/>
      <w:rPr>
        <w:sz w:val="28"/>
        <w:szCs w:val="28"/>
      </w:rPr>
    </w:pPr>
  </w:p>
  <w:p w:rsidR="00B87E09" w:rsidRPr="00BB47F1" w:rsidRDefault="00D2167F" w:rsidP="00B87E09">
    <w:pPr>
      <w:pStyle w:val="Header"/>
      <w:ind w:left="2520"/>
      <w:jc w:val="right"/>
      <w:rPr>
        <w:rFonts w:ascii="Garamond" w:hAnsi="Garamond"/>
        <w:sz w:val="28"/>
        <w:szCs w:val="28"/>
      </w:rPr>
    </w:pPr>
    <w:r>
      <w:rPr>
        <w:rFonts w:ascii="Garamond" w:hAnsi="Garamond"/>
        <w:sz w:val="28"/>
        <w:szCs w:val="28"/>
      </w:rPr>
      <w:t>AUGUST</w:t>
    </w:r>
    <w:r w:rsidR="00667121" w:rsidRPr="00BB47F1">
      <w:rPr>
        <w:rFonts w:ascii="Garamond" w:hAnsi="Garamond"/>
        <w:sz w:val="28"/>
        <w:szCs w:val="28"/>
      </w:rPr>
      <w:t xml:space="preserve"> 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2C9D" w:rsidRPr="00F427BA" w:rsidRDefault="00667121" w:rsidP="009C2C9D">
    <w:pPr>
      <w:pStyle w:val="Header"/>
      <w:ind w:left="2520" w:firstLine="4680"/>
      <w:rPr>
        <w:sz w:val="28"/>
        <w:szCs w:val="28"/>
      </w:rPr>
    </w:pPr>
    <w:r w:rsidRPr="00F427BA">
      <w:rPr>
        <w:rFonts w:ascii="Calibri" w:eastAsia="Times New Roman" w:hAnsi="Calibri" w:cs="Times New Roman"/>
        <w:noProof/>
        <w:color w:val="000000"/>
        <w:sz w:val="28"/>
        <w:szCs w:val="28"/>
      </w:rPr>
      <w:drawing>
        <wp:anchor distT="0" distB="0" distL="114300" distR="114300" simplePos="0" relativeHeight="251660288" behindDoc="0" locked="0" layoutInCell="1" allowOverlap="1" wp14:anchorId="68FBE8DE" wp14:editId="23218E94">
          <wp:simplePos x="0" y="0"/>
          <wp:positionH relativeFrom="column">
            <wp:posOffset>0</wp:posOffset>
          </wp:positionH>
          <wp:positionV relativeFrom="paragraph">
            <wp:posOffset>0</wp:posOffset>
          </wp:positionV>
          <wp:extent cx="2125980" cy="708660"/>
          <wp:effectExtent l="0" t="0" r="0" b="0"/>
          <wp:wrapNone/>
          <wp:docPr id="24" name="Picture 24">
            <a:extLst xmlns:a="http://schemas.openxmlformats.org/drawingml/2006/main">
              <a:ext uri="{FF2B5EF4-FFF2-40B4-BE49-F238E27FC236}">
                <a16:creationId xmlns:a16="http://schemas.microsoft.com/office/drawing/2014/main" id="{9AF1EA0B-B025-427A-BFC8-0A233EEEB3CF}"/>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AF1EA0B-B025-427A-BFC8-0A233EEEB3CF}"/>
                      </a:ext>
                    </a:extLst>
                  </pic:cNvPr>
                  <pic:cNvPicPr/>
                </pic:nvPicPr>
                <pic:blipFill>
                  <a:blip r:embed="rId1"/>
                  <a:stretch>
                    <a:fillRect/>
                  </a:stretch>
                </pic:blipFill>
                <pic:spPr>
                  <a:xfrm>
                    <a:off x="0" y="0"/>
                    <a:ext cx="2128324" cy="717843"/>
                  </a:xfrm>
                  <a:prstGeom prst="rect">
                    <a:avLst/>
                  </a:prstGeom>
                </pic:spPr>
              </pic:pic>
            </a:graphicData>
          </a:graphic>
          <wp14:sizeRelH relativeFrom="page">
            <wp14:pctWidth>0</wp14:pctWidth>
          </wp14:sizeRelH>
          <wp14:sizeRelV relativeFrom="page">
            <wp14:pctHeight>0</wp14:pctHeight>
          </wp14:sizeRelV>
        </wp:anchor>
      </w:drawing>
    </w:r>
  </w:p>
  <w:p w:rsidR="009C2C9D" w:rsidRPr="00F427BA" w:rsidRDefault="00F66588" w:rsidP="009C2C9D">
    <w:pPr>
      <w:pStyle w:val="Header"/>
      <w:ind w:left="2520" w:firstLine="4680"/>
      <w:rPr>
        <w:sz w:val="42"/>
        <w:szCs w:val="28"/>
      </w:rPr>
    </w:pPr>
  </w:p>
  <w:p w:rsidR="009C2C9D" w:rsidRPr="00F427BA" w:rsidRDefault="00D2167F" w:rsidP="009C2C9D">
    <w:pPr>
      <w:pStyle w:val="Header"/>
      <w:ind w:left="2520"/>
      <w:jc w:val="right"/>
      <w:rPr>
        <w:rFonts w:ascii="Garamond" w:hAnsi="Garamond"/>
        <w:color w:val="385623" w:themeColor="accent6" w:themeShade="80"/>
        <w:sz w:val="28"/>
        <w:szCs w:val="28"/>
      </w:rPr>
    </w:pPr>
    <w:r>
      <w:rPr>
        <w:rFonts w:ascii="Garamond" w:hAnsi="Garamond"/>
        <w:color w:val="385623" w:themeColor="accent6" w:themeShade="80"/>
        <w:sz w:val="28"/>
        <w:szCs w:val="28"/>
      </w:rPr>
      <w:t>AUGUST</w:t>
    </w:r>
    <w:r w:rsidR="00667121">
      <w:rPr>
        <w:rFonts w:ascii="Garamond" w:hAnsi="Garamond"/>
        <w:color w:val="385623" w:themeColor="accent6" w:themeShade="80"/>
        <w:sz w:val="28"/>
        <w:szCs w:val="28"/>
      </w:rPr>
      <w:t xml:space="preserve"> </w:t>
    </w:r>
    <w:r w:rsidR="00667121" w:rsidRPr="00F427BA">
      <w:rPr>
        <w:rFonts w:ascii="Garamond" w:hAnsi="Garamond"/>
        <w:color w:val="385623" w:themeColor="accent6" w:themeShade="80"/>
        <w:sz w:val="28"/>
        <w:szCs w:val="28"/>
      </w:rPr>
      <w:t>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62FAE"/>
    <w:multiLevelType w:val="hybridMultilevel"/>
    <w:tmpl w:val="A828B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017FC"/>
    <w:multiLevelType w:val="hybridMultilevel"/>
    <w:tmpl w:val="A38A7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72194A"/>
    <w:multiLevelType w:val="hybridMultilevel"/>
    <w:tmpl w:val="BE729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121"/>
    <w:rsid w:val="001D2F49"/>
    <w:rsid w:val="003870AA"/>
    <w:rsid w:val="00453084"/>
    <w:rsid w:val="00517675"/>
    <w:rsid w:val="00604A68"/>
    <w:rsid w:val="00667121"/>
    <w:rsid w:val="00D2167F"/>
    <w:rsid w:val="00D40384"/>
    <w:rsid w:val="00D76733"/>
    <w:rsid w:val="00F01572"/>
    <w:rsid w:val="00F66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52F54"/>
  <w15:chartTrackingRefBased/>
  <w15:docId w15:val="{812BB8ED-D780-4731-BD7B-765989432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71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7121"/>
    <w:pPr>
      <w:ind w:left="720"/>
      <w:contextualSpacing/>
    </w:pPr>
  </w:style>
  <w:style w:type="paragraph" w:styleId="Header">
    <w:name w:val="header"/>
    <w:basedOn w:val="Normal"/>
    <w:link w:val="HeaderChar"/>
    <w:uiPriority w:val="99"/>
    <w:unhideWhenUsed/>
    <w:rsid w:val="006671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121"/>
  </w:style>
  <w:style w:type="character" w:styleId="Hyperlink">
    <w:name w:val="Hyperlink"/>
    <w:basedOn w:val="DefaultParagraphFont"/>
    <w:uiPriority w:val="99"/>
    <w:unhideWhenUsed/>
    <w:rsid w:val="00667121"/>
    <w:rPr>
      <w:color w:val="0563C1" w:themeColor="hyperlink"/>
      <w:u w:val="single"/>
    </w:rPr>
  </w:style>
  <w:style w:type="paragraph" w:styleId="Footer">
    <w:name w:val="footer"/>
    <w:basedOn w:val="Normal"/>
    <w:link w:val="FooterChar"/>
    <w:uiPriority w:val="99"/>
    <w:unhideWhenUsed/>
    <w:rsid w:val="006671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121"/>
  </w:style>
  <w:style w:type="paragraph" w:styleId="BalloonText">
    <w:name w:val="Balloon Text"/>
    <w:basedOn w:val="Normal"/>
    <w:link w:val="BalloonTextChar"/>
    <w:uiPriority w:val="99"/>
    <w:semiHidden/>
    <w:unhideWhenUsed/>
    <w:rsid w:val="00D40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038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91351">
      <w:bodyDiv w:val="1"/>
      <w:marLeft w:val="0"/>
      <w:marRight w:val="0"/>
      <w:marTop w:val="0"/>
      <w:marBottom w:val="0"/>
      <w:divBdr>
        <w:top w:val="none" w:sz="0" w:space="0" w:color="auto"/>
        <w:left w:val="none" w:sz="0" w:space="0" w:color="auto"/>
        <w:bottom w:val="none" w:sz="0" w:space="0" w:color="auto"/>
        <w:right w:val="none" w:sz="0" w:space="0" w:color="auto"/>
      </w:divBdr>
      <w:divsChild>
        <w:div w:id="1786540857">
          <w:marLeft w:val="547"/>
          <w:marRight w:val="0"/>
          <w:marTop w:val="77"/>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sv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dnabena@nggovernorsforum.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dnabena.NGF\Documents\IGR%20DATA%20DASHBOAR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1" i="0" u="none" strike="noStrike" kern="1200" spc="0" baseline="0">
                <a:solidFill>
                  <a:schemeClr val="bg2">
                    <a:lumMod val="10000"/>
                  </a:schemeClr>
                </a:solidFill>
                <a:latin typeface="Garamond" panose="02020404030301010803" pitchFamily="18" charset="0"/>
                <a:ea typeface="+mn-ea"/>
                <a:cs typeface="+mn-cs"/>
              </a:defRPr>
            </a:pPr>
            <a:r>
              <a:rPr lang="en-US" b="1"/>
              <a:t>Gombe State's Recurrent Revenue, Jan - June, 2017</a:t>
            </a:r>
          </a:p>
        </c:rich>
      </c:tx>
      <c:overlay val="0"/>
      <c:spPr>
        <a:noFill/>
        <a:ln>
          <a:noFill/>
        </a:ln>
        <a:effectLst/>
      </c:spPr>
      <c:txPr>
        <a:bodyPr rot="0" spcFirstLastPara="1" vertOverflow="ellipsis" vert="horz" wrap="square" anchor="ctr" anchorCtr="1"/>
        <a:lstStyle/>
        <a:p>
          <a:pPr>
            <a:defRPr sz="1320" b="1" i="0" u="none" strike="noStrike" kern="1200" spc="0" baseline="0">
              <a:solidFill>
                <a:schemeClr val="bg2">
                  <a:lumMod val="10000"/>
                </a:schemeClr>
              </a:solidFill>
              <a:latin typeface="Garamond" panose="02020404030301010803" pitchFamily="18" charset="0"/>
              <a:ea typeface="+mn-ea"/>
              <a:cs typeface="+mn-cs"/>
            </a:defRPr>
          </a:pPr>
          <a:endParaRPr lang="en-US"/>
        </a:p>
      </c:txPr>
    </c:title>
    <c:autoTitleDeleted val="0"/>
    <c:plotArea>
      <c:layout/>
      <c:barChart>
        <c:barDir val="col"/>
        <c:grouping val="stacked"/>
        <c:varyColors val="0"/>
        <c:ser>
          <c:idx val="0"/>
          <c:order val="0"/>
          <c:tx>
            <c:strRef>
              <c:f>Sheet1!$B$4</c:f>
              <c:strCache>
                <c:ptCount val="1"/>
                <c:pt idx="0">
                  <c:v>IGR</c:v>
                </c:pt>
              </c:strCache>
            </c:strRef>
          </c:tx>
          <c:spPr>
            <a:pattFill prst="wdUpDiag">
              <a:fgClr>
                <a:schemeClr val="accent6">
                  <a:lumMod val="50000"/>
                </a:schemeClr>
              </a:fgClr>
              <a:bgClr>
                <a:schemeClr val="bg1"/>
              </a:bgClr>
            </a:pattFill>
            <a:ln>
              <a:noFill/>
            </a:ln>
            <a:effectLst/>
          </c:spPr>
          <c:invertIfNegative val="0"/>
          <c:cat>
            <c:strRef>
              <c:f>Sheet1!$C$1:$H$1</c:f>
              <c:strCache>
                <c:ptCount val="6"/>
                <c:pt idx="0">
                  <c:v>Jan</c:v>
                </c:pt>
                <c:pt idx="1">
                  <c:v>Feb</c:v>
                </c:pt>
                <c:pt idx="2">
                  <c:v>Mar</c:v>
                </c:pt>
                <c:pt idx="3">
                  <c:v>Apr</c:v>
                </c:pt>
                <c:pt idx="4">
                  <c:v>May</c:v>
                </c:pt>
                <c:pt idx="5">
                  <c:v>Jun</c:v>
                </c:pt>
              </c:strCache>
            </c:strRef>
          </c:cat>
          <c:val>
            <c:numRef>
              <c:f>Sheet1!$C$8:$H$8</c:f>
              <c:numCache>
                <c:formatCode>#,##0</c:formatCode>
                <c:ptCount val="6"/>
                <c:pt idx="0">
                  <c:v>682632850</c:v>
                </c:pt>
                <c:pt idx="1">
                  <c:v>399420272.04999995</c:v>
                </c:pt>
                <c:pt idx="2">
                  <c:v>578340384.88999999</c:v>
                </c:pt>
                <c:pt idx="3">
                  <c:v>353610726.26999998</c:v>
                </c:pt>
                <c:pt idx="4">
                  <c:v>525533353.33000004</c:v>
                </c:pt>
                <c:pt idx="5">
                  <c:v>522833234.05000007</c:v>
                </c:pt>
              </c:numCache>
            </c:numRef>
          </c:val>
          <c:extLst>
            <c:ext xmlns:c16="http://schemas.microsoft.com/office/drawing/2014/chart" uri="{C3380CC4-5D6E-409C-BE32-E72D297353CC}">
              <c16:uniqueId val="{00000000-97E2-4355-9778-094907A21ECD}"/>
            </c:ext>
          </c:extLst>
        </c:ser>
        <c:ser>
          <c:idx val="1"/>
          <c:order val="1"/>
          <c:tx>
            <c:strRef>
              <c:f>Sheet1!$B$20</c:f>
              <c:strCache>
                <c:ptCount val="1"/>
                <c:pt idx="0">
                  <c:v>Federation Allocation</c:v>
                </c:pt>
              </c:strCache>
            </c:strRef>
          </c:tx>
          <c:spPr>
            <a:solidFill>
              <a:schemeClr val="accent6">
                <a:lumMod val="50000"/>
              </a:schemeClr>
            </a:solidFill>
            <a:ln>
              <a:noFill/>
            </a:ln>
            <a:effectLst/>
          </c:spPr>
          <c:invertIfNegative val="0"/>
          <c:cat>
            <c:strRef>
              <c:f>Sheet1!$C$1:$H$1</c:f>
              <c:strCache>
                <c:ptCount val="6"/>
                <c:pt idx="0">
                  <c:v>Jan</c:v>
                </c:pt>
                <c:pt idx="1">
                  <c:v>Feb</c:v>
                </c:pt>
                <c:pt idx="2">
                  <c:v>Mar</c:v>
                </c:pt>
                <c:pt idx="3">
                  <c:v>Apr</c:v>
                </c:pt>
                <c:pt idx="4">
                  <c:v>May</c:v>
                </c:pt>
                <c:pt idx="5">
                  <c:v>Jun</c:v>
                </c:pt>
              </c:strCache>
            </c:strRef>
          </c:cat>
          <c:val>
            <c:numRef>
              <c:f>Sheet1!$C$24:$H$24</c:f>
              <c:numCache>
                <c:formatCode>#,##0</c:formatCode>
                <c:ptCount val="6"/>
                <c:pt idx="0">
                  <c:v>2630276958.3899999</c:v>
                </c:pt>
                <c:pt idx="1">
                  <c:v>3035360602.1999998</c:v>
                </c:pt>
                <c:pt idx="2">
                  <c:v>2725157450.6199999</c:v>
                </c:pt>
                <c:pt idx="3">
                  <c:v>2972802558.96</c:v>
                </c:pt>
                <c:pt idx="4">
                  <c:v>2684919633.5100002</c:v>
                </c:pt>
                <c:pt idx="5">
                  <c:v>2993345775.5300002</c:v>
                </c:pt>
              </c:numCache>
            </c:numRef>
          </c:val>
          <c:extLst>
            <c:ext xmlns:c16="http://schemas.microsoft.com/office/drawing/2014/chart" uri="{C3380CC4-5D6E-409C-BE32-E72D297353CC}">
              <c16:uniqueId val="{00000001-97E2-4355-9778-094907A21ECD}"/>
            </c:ext>
          </c:extLst>
        </c:ser>
        <c:dLbls>
          <c:showLegendKey val="0"/>
          <c:showVal val="0"/>
          <c:showCatName val="0"/>
          <c:showSerName val="0"/>
          <c:showPercent val="0"/>
          <c:showBubbleSize val="0"/>
        </c:dLbls>
        <c:gapWidth val="95"/>
        <c:overlap val="100"/>
        <c:axId val="379581112"/>
        <c:axId val="379580784"/>
      </c:barChart>
      <c:catAx>
        <c:axId val="379581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crossAx val="379580784"/>
        <c:crosses val="autoZero"/>
        <c:auto val="1"/>
        <c:lblAlgn val="ctr"/>
        <c:lblOffset val="100"/>
        <c:noMultiLvlLbl val="0"/>
      </c:catAx>
      <c:valAx>
        <c:axId val="37958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r>
                  <a:rPr lang="en-US"/>
                  <a:t>Title</a:t>
                </a:r>
              </a:p>
            </c:rich>
          </c:tx>
          <c:overlay val="0"/>
          <c:spPr>
            <a:noFill/>
            <a:ln>
              <a:noFill/>
            </a:ln>
            <a:effectLst/>
          </c:spPr>
          <c:txPr>
            <a:bodyPr rot="-54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crossAx val="37958111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bg2">
              <a:lumMod val="10000"/>
            </a:schemeClr>
          </a:solidFill>
          <a:latin typeface="Garamond" panose="02020404030301010803"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48</TotalTime>
  <Pages>2</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Nabena David</dc:creator>
  <cp:keywords/>
  <dc:description/>
  <cp:lastModifiedBy>Nabena David</cp:lastModifiedBy>
  <cp:revision>5</cp:revision>
  <cp:lastPrinted>2017-08-16T09:27:00Z</cp:lastPrinted>
  <dcterms:created xsi:type="dcterms:W3CDTF">2017-08-15T09:51:00Z</dcterms:created>
  <dcterms:modified xsi:type="dcterms:W3CDTF">2017-08-16T09:30:00Z</dcterms:modified>
</cp:coreProperties>
</file>