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3170" w:rsidRPr="001F2CAC" w:rsidRDefault="00AA3170" w:rsidP="00AA3170">
      <w:pPr>
        <w:spacing w:line="276" w:lineRule="auto"/>
        <w:jc w:val="center"/>
        <w:rPr>
          <w:rFonts w:ascii="Garamond" w:hAnsi="Garamond"/>
          <w:b/>
          <w:sz w:val="14"/>
          <w:szCs w:val="24"/>
        </w:rPr>
      </w:pPr>
      <w:bookmarkStart w:id="0" w:name="_Hlk486358050"/>
    </w:p>
    <w:p w:rsidR="00AA3170" w:rsidRPr="001F2CAC" w:rsidRDefault="00AA3170" w:rsidP="00AA3170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PLATEAU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AA3170" w:rsidRPr="001F2CAC" w:rsidRDefault="00AA3170" w:rsidP="00AA3170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AA3170" w:rsidRPr="001F2CAC" w:rsidRDefault="00AA3170" w:rsidP="00AA3170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AA3170" w:rsidRPr="001F2CAC" w:rsidRDefault="00AA3170" w:rsidP="00AA3170">
      <w:pPr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2267A72" wp14:editId="39342528">
            <wp:simplePos x="0" y="0"/>
            <wp:positionH relativeFrom="column">
              <wp:posOffset>76200</wp:posOffset>
            </wp:positionH>
            <wp:positionV relativeFrom="page">
              <wp:posOffset>2034540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170" w:rsidRPr="001F2CAC" w:rsidRDefault="00AA3170" w:rsidP="00AA3170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77.73</w:t>
      </w:r>
      <w:r w:rsidRPr="001F2CAC">
        <w:rPr>
          <w:rFonts w:ascii="Garamond" w:hAnsi="Garamond"/>
          <w:sz w:val="24"/>
          <w:szCs w:val="24"/>
        </w:rPr>
        <w:t xml:space="preserve"> percent</w:t>
      </w:r>
    </w:p>
    <w:p w:rsidR="00AA3170" w:rsidRPr="001F2CAC" w:rsidRDefault="00AA3170" w:rsidP="00AA3170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0823CC9" wp14:editId="3F62A8E9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170" w:rsidRPr="002073EA" w:rsidRDefault="00AA3170" w:rsidP="00AA3170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AA3170" w:rsidRDefault="00AA3170" w:rsidP="00AA31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Commendable practices were recorded in areas</w:t>
      </w:r>
      <w:r>
        <w:rPr>
          <w:rFonts w:ascii="Garamond" w:hAnsi="Garamond"/>
          <w:sz w:val="24"/>
          <w:szCs w:val="24"/>
        </w:rPr>
        <w:t xml:space="preserve"> such as</w:t>
      </w:r>
      <w:r w:rsidRPr="001F2CAC">
        <w:rPr>
          <w:rFonts w:ascii="Garamond" w:hAnsi="Garamond"/>
          <w:sz w:val="24"/>
          <w:szCs w:val="24"/>
        </w:rPr>
        <w:t xml:space="preserve"> </w:t>
      </w:r>
      <w:r w:rsidR="00D8639B">
        <w:rPr>
          <w:rFonts w:ascii="Garamond" w:hAnsi="Garamond"/>
          <w:sz w:val="24"/>
          <w:szCs w:val="24"/>
        </w:rPr>
        <w:t>the</w:t>
      </w:r>
      <w:r w:rsidR="006251E3">
        <w:rPr>
          <w:rFonts w:ascii="Garamond" w:hAnsi="Garamond"/>
          <w:sz w:val="24"/>
          <w:szCs w:val="24"/>
        </w:rPr>
        <w:t xml:space="preserve"> financial and administrative</w:t>
      </w:r>
      <w:r w:rsidR="00D8639B">
        <w:rPr>
          <w:rFonts w:ascii="Garamond" w:hAnsi="Garamond"/>
          <w:sz w:val="24"/>
          <w:szCs w:val="24"/>
        </w:rPr>
        <w:t xml:space="preserve"> autonomy of the Service</w:t>
      </w:r>
      <w:r>
        <w:rPr>
          <w:rFonts w:ascii="Garamond" w:hAnsi="Garamond"/>
          <w:sz w:val="24"/>
          <w:szCs w:val="24"/>
        </w:rPr>
        <w:t xml:space="preserve">, </w:t>
      </w:r>
      <w:r w:rsidR="00D8639B">
        <w:rPr>
          <w:rFonts w:ascii="Garamond" w:hAnsi="Garamond"/>
          <w:sz w:val="24"/>
          <w:szCs w:val="24"/>
        </w:rPr>
        <w:t xml:space="preserve">the </w:t>
      </w:r>
      <w:r w:rsidR="00241CE5">
        <w:rPr>
          <w:rFonts w:ascii="Garamond" w:hAnsi="Garamond"/>
          <w:sz w:val="24"/>
          <w:szCs w:val="24"/>
        </w:rPr>
        <w:t>development</w:t>
      </w:r>
      <w:r>
        <w:rPr>
          <w:rFonts w:ascii="Garamond" w:hAnsi="Garamond"/>
          <w:sz w:val="24"/>
          <w:szCs w:val="24"/>
        </w:rPr>
        <w:t xml:space="preserve"> of </w:t>
      </w:r>
      <w:r w:rsidR="00D8639B">
        <w:rPr>
          <w:rFonts w:ascii="Garamond" w:hAnsi="Garamond"/>
          <w:sz w:val="24"/>
          <w:szCs w:val="24"/>
        </w:rPr>
        <w:t>a real-time d</w:t>
      </w:r>
      <w:r>
        <w:rPr>
          <w:rFonts w:ascii="Garamond" w:hAnsi="Garamond"/>
          <w:sz w:val="24"/>
          <w:szCs w:val="24"/>
        </w:rPr>
        <w:t xml:space="preserve">ashboard </w:t>
      </w:r>
      <w:r w:rsidR="00241CE5">
        <w:rPr>
          <w:rFonts w:ascii="Garamond" w:hAnsi="Garamond"/>
          <w:sz w:val="24"/>
          <w:szCs w:val="24"/>
        </w:rPr>
        <w:t>that</w:t>
      </w:r>
      <w:r w:rsidR="00D8639B">
        <w:rPr>
          <w:rFonts w:ascii="Garamond" w:hAnsi="Garamond"/>
          <w:sz w:val="24"/>
          <w:szCs w:val="24"/>
        </w:rPr>
        <w:t xml:space="preserve"> monitor</w:t>
      </w:r>
      <w:r w:rsidR="00241CE5">
        <w:rPr>
          <w:rFonts w:ascii="Garamond" w:hAnsi="Garamond"/>
          <w:sz w:val="24"/>
          <w:szCs w:val="24"/>
        </w:rPr>
        <w:t>s</w:t>
      </w:r>
      <w:r w:rsidR="00D8639B">
        <w:rPr>
          <w:rFonts w:ascii="Garamond" w:hAnsi="Garamond"/>
          <w:sz w:val="24"/>
          <w:szCs w:val="24"/>
        </w:rPr>
        <w:t xml:space="preserve"> </w:t>
      </w:r>
      <w:r w:rsidR="00241CE5">
        <w:rPr>
          <w:rFonts w:ascii="Garamond" w:hAnsi="Garamond"/>
          <w:sz w:val="24"/>
          <w:szCs w:val="24"/>
        </w:rPr>
        <w:t xml:space="preserve">revenues collected </w:t>
      </w:r>
      <w:r w:rsidR="00D8639B">
        <w:rPr>
          <w:rFonts w:ascii="Garamond" w:hAnsi="Garamond"/>
          <w:sz w:val="24"/>
          <w:szCs w:val="24"/>
        </w:rPr>
        <w:t xml:space="preserve">from all MDAs, </w:t>
      </w:r>
      <w:r>
        <w:rPr>
          <w:rFonts w:ascii="Garamond" w:hAnsi="Garamond"/>
          <w:sz w:val="24"/>
          <w:szCs w:val="24"/>
        </w:rPr>
        <w:t>full ICT capability across its 8 field offices</w:t>
      </w:r>
      <w:r w:rsidR="00D8639B">
        <w:rPr>
          <w:rFonts w:ascii="Garamond" w:hAnsi="Garamond"/>
          <w:sz w:val="24"/>
          <w:szCs w:val="24"/>
        </w:rPr>
        <w:t>,</w:t>
      </w:r>
      <w:r>
        <w:rPr>
          <w:rFonts w:ascii="Garamond" w:hAnsi="Garamond"/>
          <w:sz w:val="24"/>
          <w:szCs w:val="24"/>
        </w:rPr>
        <w:t xml:space="preserve"> and </w:t>
      </w:r>
      <w:r w:rsidR="00D8639B">
        <w:rPr>
          <w:rFonts w:ascii="Garamond" w:hAnsi="Garamond"/>
          <w:sz w:val="24"/>
          <w:szCs w:val="24"/>
        </w:rPr>
        <w:t xml:space="preserve">the </w:t>
      </w:r>
      <w:r w:rsidR="004D4F4D">
        <w:rPr>
          <w:rFonts w:ascii="Garamond" w:hAnsi="Garamond"/>
          <w:sz w:val="24"/>
          <w:szCs w:val="24"/>
        </w:rPr>
        <w:t xml:space="preserve">creation </w:t>
      </w:r>
      <w:r>
        <w:rPr>
          <w:rFonts w:ascii="Garamond" w:hAnsi="Garamond"/>
          <w:sz w:val="24"/>
          <w:szCs w:val="24"/>
        </w:rPr>
        <w:t xml:space="preserve">of a special unit that </w:t>
      </w:r>
      <w:r w:rsidR="00D8639B">
        <w:rPr>
          <w:rFonts w:ascii="Garamond" w:hAnsi="Garamond"/>
          <w:sz w:val="24"/>
          <w:szCs w:val="24"/>
        </w:rPr>
        <w:t>oversees</w:t>
      </w:r>
      <w:r>
        <w:rPr>
          <w:rFonts w:ascii="Garamond" w:hAnsi="Garamond"/>
          <w:sz w:val="24"/>
          <w:szCs w:val="24"/>
        </w:rPr>
        <w:t xml:space="preserve"> high net worth individuals.</w:t>
      </w:r>
    </w:p>
    <w:p w:rsidR="00AA3170" w:rsidRDefault="00AA3170" w:rsidP="00AA3170">
      <w:pPr>
        <w:pStyle w:val="ListParagraph"/>
        <w:numPr>
          <w:ilvl w:val="0"/>
          <w:numId w:val="1"/>
        </w:numPr>
        <w:tabs>
          <w:tab w:val="left" w:pos="4536"/>
        </w:tabs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 major challenge is the limited number of tax offices to support tax enfor</w:t>
      </w:r>
      <w:r w:rsidR="006251E3">
        <w:rPr>
          <w:rFonts w:ascii="Garamond" w:hAnsi="Garamond"/>
          <w:sz w:val="24"/>
          <w:szCs w:val="24"/>
        </w:rPr>
        <w:t>cement and outreach activities. The Service currently has</w:t>
      </w:r>
      <w:r>
        <w:rPr>
          <w:rFonts w:ascii="Garamond" w:hAnsi="Garamond"/>
          <w:sz w:val="24"/>
          <w:szCs w:val="24"/>
        </w:rPr>
        <w:t xml:space="preserve"> only 7 offices servicing the State’s 17 local government areas.</w:t>
      </w:r>
    </w:p>
    <w:p w:rsidR="00AA3170" w:rsidRPr="00241CE5" w:rsidRDefault="00AA3170" w:rsidP="00AA3170">
      <w:pPr>
        <w:pStyle w:val="ListParagraph"/>
        <w:tabs>
          <w:tab w:val="left" w:pos="4536"/>
        </w:tabs>
        <w:spacing w:line="360" w:lineRule="auto"/>
        <w:jc w:val="both"/>
        <w:rPr>
          <w:rFonts w:ascii="Garamond" w:hAnsi="Garamond"/>
          <w:sz w:val="12"/>
          <w:szCs w:val="24"/>
        </w:rPr>
      </w:pPr>
    </w:p>
    <w:tbl>
      <w:tblPr>
        <w:tblW w:w="9193" w:type="dxa"/>
        <w:jc w:val="center"/>
        <w:tblLook w:val="04A0" w:firstRow="1" w:lastRow="0" w:firstColumn="1" w:lastColumn="0" w:noHBand="0" w:noVBand="1"/>
      </w:tblPr>
      <w:tblGrid>
        <w:gridCol w:w="7015"/>
        <w:gridCol w:w="2178"/>
      </w:tblGrid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  <w:t>ASSESSMENT AREAS</w:t>
            </w:r>
          </w:p>
        </w:tc>
        <w:tc>
          <w:tcPr>
            <w:tcW w:w="217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  <w:t>Q1, 2017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Overall Tax Performance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77.73</w:t>
            </w:r>
          </w:p>
        </w:tc>
      </w:tr>
      <w:tr w:rsidR="00AA3170" w:rsidRPr="001F2CAC" w:rsidTr="00AA2F28">
        <w:trPr>
          <w:trHeight w:val="178"/>
          <w:jc w:val="center"/>
        </w:trPr>
        <w:tc>
          <w:tcPr>
            <w:tcW w:w="9193" w:type="dxa"/>
            <w:gridSpan w:val="2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  <w:t>Tax Administration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color w:val="993300"/>
                <w:sz w:val="24"/>
                <w:szCs w:val="24"/>
              </w:rPr>
              <w:t>72.49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proofErr w:type="spellStart"/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Organisational</w:t>
            </w:r>
            <w:proofErr w:type="spellEnd"/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 xml:space="preserve"> and institutional arrangements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69.86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Availability and sufficiency of IRS budget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74.07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Salary incentives, IRS Staff skills and training levels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57.92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SBIRS outreach in districts (no. of tax offices)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88.10</w:t>
            </w:r>
          </w:p>
        </w:tc>
      </w:tr>
      <w:tr w:rsidR="00AA3170" w:rsidRPr="001F2CAC" w:rsidTr="00AA2F28">
        <w:trPr>
          <w:trHeight w:val="119"/>
          <w:jc w:val="center"/>
        </w:trPr>
        <w:tc>
          <w:tcPr>
            <w:tcW w:w="9193" w:type="dxa"/>
            <w:gridSpan w:val="2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  <w:t>Tax Procedures (registration, filling, assessment and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  <w:t>75.91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  <w:t>Tax registration using Unified Tax Identification Number (TIN)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75.16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  <w:t>Efficiency of tax collection (best of judgement vs self- assessment)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76.67</w:t>
            </w:r>
          </w:p>
        </w:tc>
      </w:tr>
      <w:tr w:rsidR="00AA3170" w:rsidRPr="001F2CAC" w:rsidTr="00AA2F28">
        <w:trPr>
          <w:trHeight w:val="161"/>
          <w:jc w:val="center"/>
        </w:trPr>
        <w:tc>
          <w:tcPr>
            <w:tcW w:w="9193" w:type="dxa"/>
            <w:gridSpan w:val="2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  <w:t>Tax Processing (manual vs automated)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  <w:t>86.31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  <w:t>Tax payment (cash paid to tax officers versus bank and electronic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006666"/>
                <w:sz w:val="24"/>
                <w:szCs w:val="24"/>
              </w:rPr>
              <w:t>86.31</w:t>
            </w:r>
          </w:p>
        </w:tc>
      </w:tr>
      <w:tr w:rsidR="00AA3170" w:rsidRPr="001F2CAC" w:rsidTr="00AA2F28">
        <w:trPr>
          <w:trHeight w:val="178"/>
          <w:jc w:val="center"/>
        </w:trPr>
        <w:tc>
          <w:tcPr>
            <w:tcW w:w="9193" w:type="dxa"/>
            <w:gridSpan w:val="2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Tax Enforcement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76.21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Capacity for taxpayer audits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77.39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Tax awareness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74.24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Complaints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53.20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Double Taxation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100.00</w:t>
            </w:r>
          </w:p>
        </w:tc>
      </w:tr>
    </w:tbl>
    <w:p w:rsidR="00AA3170" w:rsidRPr="001F2CAC" w:rsidRDefault="00AA3170" w:rsidP="00AA3170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:rsidR="00E92C7A" w:rsidRPr="00E92C7A" w:rsidRDefault="001E2F5F" w:rsidP="00E92C7A">
      <w:pPr>
        <w:tabs>
          <w:tab w:val="left" w:pos="3024"/>
        </w:tabs>
        <w:jc w:val="both"/>
        <w:rPr>
          <w:rFonts w:ascii="Garamond" w:hAnsi="Garamond"/>
          <w:b/>
          <w:sz w:val="2"/>
          <w:szCs w:val="24"/>
        </w:rPr>
      </w:pPr>
      <w:r w:rsidRPr="00565733">
        <w:rPr>
          <w:rFonts w:ascii="Times New Roman" w:hAnsi="Times New Roman" w:cs="Times New Roman"/>
          <w:noProof/>
          <w:color w:val="0D0D0D" w:themeColor="text1" w:themeTint="F2"/>
          <w:sz w:val="20"/>
          <w:szCs w:val="20"/>
        </w:rPr>
        <w:lastRenderedPageBreak/>
        <w:drawing>
          <wp:anchor distT="0" distB="0" distL="114300" distR="114300" simplePos="0" relativeHeight="251665408" behindDoc="0" locked="0" layoutInCell="1" allowOverlap="1" wp14:anchorId="4550383C" wp14:editId="318A2080">
            <wp:simplePos x="0" y="0"/>
            <wp:positionH relativeFrom="column">
              <wp:posOffset>30480</wp:posOffset>
            </wp:positionH>
            <wp:positionV relativeFrom="paragraph">
              <wp:posOffset>86995</wp:posOffset>
            </wp:positionV>
            <wp:extent cx="434340" cy="434340"/>
            <wp:effectExtent l="0" t="0" r="0" b="3810"/>
            <wp:wrapSquare wrapText="bothSides"/>
            <wp:docPr id="3" name="Graphic 3" descr="Check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?provider=MicrosoftIcon&amp;fileName=Checklist_LTR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3170">
        <w:rPr>
          <w:rFonts w:ascii="Garamond" w:hAnsi="Garamond"/>
          <w:sz w:val="24"/>
          <w:szCs w:val="24"/>
        </w:rPr>
        <w:tab/>
      </w:r>
    </w:p>
    <w:p w:rsidR="001E2F5F" w:rsidRPr="001E2F5F" w:rsidRDefault="001E2F5F" w:rsidP="00E92C7A">
      <w:pPr>
        <w:jc w:val="both"/>
        <w:rPr>
          <w:rFonts w:ascii="Garamond" w:hAnsi="Garamond"/>
          <w:b/>
          <w:sz w:val="4"/>
          <w:szCs w:val="24"/>
        </w:rPr>
      </w:pPr>
    </w:p>
    <w:p w:rsidR="00E92C7A" w:rsidRPr="002073EA" w:rsidRDefault="00E92C7A" w:rsidP="00E92C7A">
      <w:pPr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Other Highlights</w:t>
      </w:r>
    </w:p>
    <w:p w:rsidR="00E92C7A" w:rsidRPr="002073EA" w:rsidRDefault="00E92C7A" w:rsidP="00E92C7A">
      <w:pPr>
        <w:jc w:val="both"/>
        <w:rPr>
          <w:rFonts w:ascii="Garamond" w:hAnsi="Garamond"/>
          <w:sz w:val="6"/>
          <w:szCs w:val="24"/>
        </w:rPr>
      </w:pPr>
    </w:p>
    <w:p w:rsidR="001E2F5F" w:rsidRDefault="001E3773" w:rsidP="001E2F5F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18149D2" wp14:editId="47F9D208">
            <wp:simplePos x="0" y="0"/>
            <wp:positionH relativeFrom="column">
              <wp:posOffset>30480</wp:posOffset>
            </wp:positionH>
            <wp:positionV relativeFrom="paragraph">
              <wp:posOffset>1270635</wp:posOffset>
            </wp:positionV>
            <wp:extent cx="388620" cy="388620"/>
            <wp:effectExtent l="0" t="0" r="0" b="0"/>
            <wp:wrapSquare wrapText="bothSides"/>
            <wp:docPr id="14" name="Graphic 14" descr="Mo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?provider=MicrosoftIcon&amp;fileName=Money.sv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2F5F">
        <w:rPr>
          <w:rFonts w:ascii="Garamond" w:hAnsi="Garamond"/>
          <w:sz w:val="24"/>
          <w:szCs w:val="24"/>
        </w:rPr>
        <w:t>On July 18</w:t>
      </w:r>
      <w:r w:rsidR="001E2F5F" w:rsidRPr="007730A9">
        <w:rPr>
          <w:rFonts w:ascii="Garamond" w:hAnsi="Garamond"/>
          <w:sz w:val="24"/>
          <w:szCs w:val="24"/>
        </w:rPr>
        <w:t>, 2017, the NGF HelpDesk conducted a diagnostic study and training exer</w:t>
      </w:r>
      <w:r w:rsidR="001E2F5F">
        <w:rPr>
          <w:rFonts w:ascii="Garamond" w:hAnsi="Garamond"/>
          <w:sz w:val="24"/>
          <w:szCs w:val="24"/>
        </w:rPr>
        <w:t>cise for 43 members of staff of</w:t>
      </w:r>
      <w:r w:rsidR="001E2F5F" w:rsidRPr="007730A9">
        <w:rPr>
          <w:rFonts w:ascii="Garamond" w:hAnsi="Garamond"/>
          <w:sz w:val="24"/>
          <w:szCs w:val="24"/>
        </w:rPr>
        <w:t xml:space="preserve"> the State</w:t>
      </w:r>
      <w:r w:rsidR="001E2F5F">
        <w:rPr>
          <w:rFonts w:ascii="Garamond" w:hAnsi="Garamond"/>
          <w:sz w:val="24"/>
          <w:szCs w:val="24"/>
        </w:rPr>
        <w:t>’s</w:t>
      </w:r>
      <w:r w:rsidR="001E2F5F" w:rsidRPr="007730A9">
        <w:rPr>
          <w:rFonts w:ascii="Garamond" w:hAnsi="Garamond"/>
          <w:sz w:val="24"/>
          <w:szCs w:val="24"/>
        </w:rPr>
        <w:t xml:space="preserve"> Internal Revenue Service. The topics covered were: Principles of Taxation, National Tax Policy, Strategic Data Management, Workflow </w:t>
      </w:r>
      <w:r w:rsidR="001E2F5F">
        <w:rPr>
          <w:rFonts w:ascii="Garamond" w:hAnsi="Garamond"/>
          <w:sz w:val="24"/>
          <w:szCs w:val="24"/>
        </w:rPr>
        <w:t xml:space="preserve">and </w:t>
      </w:r>
      <w:r w:rsidR="001E2F5F" w:rsidRPr="007730A9">
        <w:rPr>
          <w:rFonts w:ascii="Garamond" w:hAnsi="Garamond"/>
          <w:sz w:val="24"/>
          <w:szCs w:val="24"/>
        </w:rPr>
        <w:t>Process Management, and Strategies for Engaging the Informal Sector. The training also included the developmen</w:t>
      </w:r>
      <w:r w:rsidR="001E2F5F">
        <w:rPr>
          <w:rFonts w:ascii="Garamond" w:hAnsi="Garamond"/>
          <w:sz w:val="24"/>
          <w:szCs w:val="24"/>
        </w:rPr>
        <w:t>t of standard processes for implementing</w:t>
      </w:r>
      <w:r w:rsidR="001E2F5F" w:rsidRPr="007730A9">
        <w:rPr>
          <w:rFonts w:ascii="Garamond" w:hAnsi="Garamond"/>
          <w:sz w:val="24"/>
          <w:szCs w:val="24"/>
        </w:rPr>
        <w:t xml:space="preserve"> </w:t>
      </w:r>
      <w:r w:rsidR="001E2F5F">
        <w:rPr>
          <w:rFonts w:ascii="Garamond" w:hAnsi="Garamond"/>
          <w:sz w:val="24"/>
          <w:szCs w:val="24"/>
        </w:rPr>
        <w:t xml:space="preserve">the </w:t>
      </w:r>
      <w:r w:rsidR="001E2F5F" w:rsidRPr="007730A9">
        <w:rPr>
          <w:rFonts w:ascii="Garamond" w:hAnsi="Garamond"/>
          <w:sz w:val="24"/>
          <w:szCs w:val="24"/>
        </w:rPr>
        <w:t>presumptive tax</w:t>
      </w:r>
      <w:r w:rsidR="001E2F5F">
        <w:rPr>
          <w:rFonts w:ascii="Garamond" w:hAnsi="Garamond"/>
          <w:sz w:val="24"/>
          <w:szCs w:val="24"/>
        </w:rPr>
        <w:t xml:space="preserve"> policy</w:t>
      </w:r>
      <w:r w:rsidR="001E2F5F" w:rsidRPr="007730A9">
        <w:rPr>
          <w:rFonts w:ascii="Garamond" w:hAnsi="Garamond"/>
          <w:sz w:val="24"/>
          <w:szCs w:val="24"/>
        </w:rPr>
        <w:t xml:space="preserve">. </w:t>
      </w:r>
      <w:r w:rsidR="001E2F5F">
        <w:rPr>
          <w:rFonts w:ascii="Garamond" w:hAnsi="Garamond"/>
          <w:sz w:val="24"/>
          <w:szCs w:val="24"/>
        </w:rPr>
        <w:t>It</w:t>
      </w:r>
      <w:r w:rsidR="001E2F5F" w:rsidRPr="007730A9">
        <w:rPr>
          <w:rFonts w:ascii="Garamond" w:hAnsi="Garamond"/>
          <w:sz w:val="24"/>
          <w:szCs w:val="24"/>
        </w:rPr>
        <w:t xml:space="preserve"> was facilitated by the </w:t>
      </w:r>
      <w:bookmarkStart w:id="1" w:name="_GoBack"/>
      <w:bookmarkEnd w:id="1"/>
      <w:r w:rsidR="001E2F5F" w:rsidRPr="007730A9">
        <w:rPr>
          <w:rFonts w:ascii="Garamond" w:hAnsi="Garamond"/>
          <w:sz w:val="24"/>
          <w:szCs w:val="24"/>
        </w:rPr>
        <w:t>Executive Chairman</w:t>
      </w:r>
      <w:r w:rsidR="001E2F5F">
        <w:rPr>
          <w:rFonts w:ascii="Garamond" w:hAnsi="Garamond"/>
          <w:sz w:val="24"/>
          <w:szCs w:val="24"/>
        </w:rPr>
        <w:t>.</w:t>
      </w:r>
    </w:p>
    <w:p w:rsidR="001E3773" w:rsidRDefault="001E3773" w:rsidP="001E3773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Revenue Profile</w:t>
      </w:r>
    </w:p>
    <w:p w:rsidR="001E3773" w:rsidRPr="002073EA" w:rsidRDefault="001E3773" w:rsidP="001E3773">
      <w:pPr>
        <w:spacing w:line="360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00A1845" wp14:editId="1E51BDAD">
            <wp:simplePos x="0" y="0"/>
            <wp:positionH relativeFrom="column">
              <wp:posOffset>0</wp:posOffset>
            </wp:positionH>
            <wp:positionV relativeFrom="paragraph">
              <wp:posOffset>2663825</wp:posOffset>
            </wp:positionV>
            <wp:extent cx="373380" cy="373380"/>
            <wp:effectExtent l="0" t="0" r="762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5F98">
        <w:rPr>
          <w:noProof/>
        </w:rPr>
        <w:drawing>
          <wp:inline distT="0" distB="0" distL="0" distR="0" wp14:anchorId="0C7D49EA" wp14:editId="5CBEF2C4">
            <wp:extent cx="6537960" cy="2498090"/>
            <wp:effectExtent l="0" t="0" r="15240" b="1651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A919CDE-5140-4C9B-915D-6AE70126C6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AA3170" w:rsidRPr="002073EA" w:rsidRDefault="00AA3170" w:rsidP="00AA3170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Governor</w:t>
      </w:r>
    </w:p>
    <w:p w:rsidR="001E3773" w:rsidRDefault="001E3773" w:rsidP="001E377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bookmarkStart w:id="2" w:name="_Hlk486419636"/>
      <w:r>
        <w:rPr>
          <w:rFonts w:ascii="Garamond" w:hAnsi="Garamond"/>
          <w:sz w:val="24"/>
          <w:szCs w:val="24"/>
        </w:rPr>
        <w:t>Provide a platform to receive regular updates from the Chairman of the Board of Internal Revenue</w:t>
      </w:r>
    </w:p>
    <w:p w:rsidR="001E2F5F" w:rsidRDefault="001E2F5F" w:rsidP="001E2F5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E2F5F">
        <w:rPr>
          <w:rFonts w:ascii="Garamond" w:hAnsi="Garamond"/>
          <w:sz w:val="24"/>
          <w:szCs w:val="24"/>
        </w:rPr>
        <w:t xml:space="preserve">Assent to the just passed </w:t>
      </w:r>
      <w:r w:rsidR="004D4F4D" w:rsidRPr="001E2F5F">
        <w:rPr>
          <w:rFonts w:ascii="Garamond" w:hAnsi="Garamond"/>
          <w:sz w:val="24"/>
          <w:szCs w:val="24"/>
        </w:rPr>
        <w:t xml:space="preserve">Bill </w:t>
      </w:r>
      <w:r w:rsidRPr="001E2F5F">
        <w:rPr>
          <w:rFonts w:ascii="Garamond" w:hAnsi="Garamond"/>
          <w:sz w:val="24"/>
          <w:szCs w:val="24"/>
        </w:rPr>
        <w:t>for tax harmonization (</w:t>
      </w:r>
      <w:r>
        <w:rPr>
          <w:rFonts w:ascii="Garamond" w:hAnsi="Garamond"/>
          <w:sz w:val="24"/>
          <w:szCs w:val="24"/>
        </w:rPr>
        <w:t>among</w:t>
      </w:r>
      <w:r w:rsidRPr="001E2F5F">
        <w:rPr>
          <w:rFonts w:ascii="Garamond" w:hAnsi="Garamond"/>
          <w:sz w:val="24"/>
          <w:szCs w:val="24"/>
        </w:rPr>
        <w:t xml:space="preserve"> other</w:t>
      </w:r>
      <w:r>
        <w:rPr>
          <w:rFonts w:ascii="Garamond" w:hAnsi="Garamond"/>
          <w:sz w:val="24"/>
          <w:szCs w:val="24"/>
        </w:rPr>
        <w:t>s, this</w:t>
      </w:r>
      <w:r w:rsidRPr="001E2F5F">
        <w:rPr>
          <w:rFonts w:ascii="Garamond" w:hAnsi="Garamond"/>
          <w:sz w:val="24"/>
          <w:szCs w:val="24"/>
        </w:rPr>
        <w:t xml:space="preserve"> provides for the PSIRS to be the sole </w:t>
      </w:r>
      <w:r w:rsidR="00241CE5">
        <w:rPr>
          <w:rFonts w:ascii="Garamond" w:hAnsi="Garamond"/>
          <w:sz w:val="24"/>
          <w:szCs w:val="24"/>
        </w:rPr>
        <w:t>agency for revenue collection)</w:t>
      </w:r>
      <w:r>
        <w:rPr>
          <w:rFonts w:ascii="Garamond" w:hAnsi="Garamond"/>
          <w:sz w:val="24"/>
          <w:szCs w:val="24"/>
        </w:rPr>
        <w:t>.</w:t>
      </w:r>
    </w:p>
    <w:p w:rsidR="001E2F5F" w:rsidRPr="001E2F5F" w:rsidRDefault="001E2F5F" w:rsidP="001E2F5F">
      <w:pPr>
        <w:pStyle w:val="ListParagraph"/>
        <w:numPr>
          <w:ilvl w:val="0"/>
          <w:numId w:val="4"/>
        </w:numPr>
        <w:spacing w:line="360" w:lineRule="auto"/>
        <w:rPr>
          <w:rFonts w:ascii="Garamond" w:hAnsi="Garamond"/>
          <w:sz w:val="24"/>
          <w:szCs w:val="24"/>
        </w:rPr>
      </w:pPr>
      <w:bookmarkStart w:id="3" w:name="_Hlk488179584"/>
      <w:r w:rsidRPr="001E2F5F">
        <w:rPr>
          <w:rFonts w:ascii="Garamond" w:hAnsi="Garamond"/>
          <w:sz w:val="24"/>
          <w:szCs w:val="24"/>
        </w:rPr>
        <w:t xml:space="preserve">Support the Service in </w:t>
      </w:r>
      <w:r>
        <w:rPr>
          <w:rFonts w:ascii="Garamond" w:hAnsi="Garamond"/>
          <w:sz w:val="24"/>
          <w:szCs w:val="24"/>
        </w:rPr>
        <w:t>the f</w:t>
      </w:r>
      <w:r w:rsidRPr="001E2F5F">
        <w:rPr>
          <w:rFonts w:ascii="Garamond" w:hAnsi="Garamond"/>
          <w:sz w:val="24"/>
          <w:szCs w:val="24"/>
        </w:rPr>
        <w:t xml:space="preserve">ull implementation of </w:t>
      </w:r>
      <w:r>
        <w:rPr>
          <w:rFonts w:ascii="Garamond" w:hAnsi="Garamond"/>
          <w:sz w:val="24"/>
          <w:szCs w:val="24"/>
        </w:rPr>
        <w:t>e</w:t>
      </w:r>
      <w:r w:rsidRPr="001E2F5F">
        <w:rPr>
          <w:rFonts w:ascii="Garamond" w:hAnsi="Garamond"/>
          <w:sz w:val="24"/>
          <w:szCs w:val="24"/>
        </w:rPr>
        <w:t xml:space="preserve">-billing </w:t>
      </w:r>
      <w:r>
        <w:rPr>
          <w:rFonts w:ascii="Garamond" w:hAnsi="Garamond"/>
          <w:sz w:val="24"/>
          <w:szCs w:val="24"/>
        </w:rPr>
        <w:t xml:space="preserve">payment systems </w:t>
      </w:r>
      <w:r w:rsidRPr="001E2F5F">
        <w:rPr>
          <w:rFonts w:ascii="Garamond" w:hAnsi="Garamond"/>
          <w:sz w:val="24"/>
          <w:szCs w:val="24"/>
        </w:rPr>
        <w:t xml:space="preserve">across all MDAs to </w:t>
      </w:r>
      <w:r w:rsidR="001E3773">
        <w:rPr>
          <w:rFonts w:ascii="Garamond" w:hAnsi="Garamond"/>
          <w:sz w:val="24"/>
          <w:szCs w:val="24"/>
        </w:rPr>
        <w:t>block leakages.</w:t>
      </w:r>
    </w:p>
    <w:bookmarkEnd w:id="3"/>
    <w:p w:rsidR="00AA3170" w:rsidRDefault="001E3773" w:rsidP="001E2F5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</w:t>
      </w:r>
      <w:r w:rsidR="00AA3170" w:rsidRPr="001E2F5F">
        <w:rPr>
          <w:rFonts w:ascii="Garamond" w:hAnsi="Garamond"/>
          <w:sz w:val="24"/>
          <w:szCs w:val="24"/>
        </w:rPr>
        <w:t>upport the Service to expand the number of field offices to at least one in each local government. The State currently has only 7 field offices servicing the 17 LGAs.</w:t>
      </w:r>
    </w:p>
    <w:p w:rsidR="001E2F5F" w:rsidRPr="001E2F5F" w:rsidRDefault="001E2F5F" w:rsidP="001E2F5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the re</w:t>
      </w:r>
      <w:r w:rsidRPr="00BA07B1">
        <w:rPr>
          <w:rFonts w:ascii="Garamond" w:hAnsi="Garamond"/>
          <w:sz w:val="24"/>
          <w:szCs w:val="24"/>
        </w:rPr>
        <w:t>constitution of Tax Appeal Tribunals as their absence ha</w:t>
      </w:r>
      <w:r>
        <w:rPr>
          <w:rFonts w:ascii="Garamond" w:hAnsi="Garamond"/>
          <w:sz w:val="24"/>
          <w:szCs w:val="24"/>
        </w:rPr>
        <w:t>s held up several cases and</w:t>
      </w:r>
      <w:r w:rsidRPr="00BA07B1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hence</w:t>
      </w:r>
      <w:r w:rsidRPr="00BA07B1">
        <w:rPr>
          <w:rFonts w:ascii="Garamond" w:hAnsi="Garamond"/>
          <w:sz w:val="24"/>
          <w:szCs w:val="24"/>
        </w:rPr>
        <w:t xml:space="preserve">, </w:t>
      </w:r>
      <w:r>
        <w:rPr>
          <w:rFonts w:ascii="Garamond" w:hAnsi="Garamond"/>
          <w:sz w:val="24"/>
          <w:szCs w:val="24"/>
        </w:rPr>
        <w:t xml:space="preserve">the inflow of additional </w:t>
      </w:r>
      <w:r w:rsidRPr="00BA07B1">
        <w:rPr>
          <w:rFonts w:ascii="Garamond" w:hAnsi="Garamond"/>
          <w:sz w:val="24"/>
          <w:szCs w:val="24"/>
        </w:rPr>
        <w:t>revenue</w:t>
      </w:r>
      <w:r>
        <w:rPr>
          <w:rFonts w:ascii="Garamond" w:hAnsi="Garamond"/>
          <w:sz w:val="24"/>
          <w:szCs w:val="24"/>
        </w:rPr>
        <w:t>s</w:t>
      </w:r>
      <w:r w:rsidRPr="00BA07B1">
        <w:rPr>
          <w:rFonts w:ascii="Garamond" w:hAnsi="Garamond"/>
          <w:sz w:val="24"/>
          <w:szCs w:val="24"/>
        </w:rPr>
        <w:t>.</w:t>
      </w:r>
    </w:p>
    <w:bookmarkEnd w:id="2"/>
    <w:bookmarkEnd w:id="0"/>
    <w:sectPr w:rsidR="001E2F5F" w:rsidRPr="001E2F5F" w:rsidSect="00E5447C">
      <w:headerReference w:type="default" r:id="rId18"/>
      <w:footerReference w:type="default" r:id="rId19"/>
      <w:headerReference w:type="first" r:id="rId20"/>
      <w:pgSz w:w="12240" w:h="15840"/>
      <w:pgMar w:top="1710" w:right="1440" w:bottom="630" w:left="1440" w:header="540" w:footer="52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3170" w:rsidRDefault="00AA3170" w:rsidP="00AA3170">
      <w:pPr>
        <w:spacing w:after="0" w:line="240" w:lineRule="auto"/>
      </w:pPr>
      <w:r>
        <w:separator/>
      </w:r>
    </w:p>
  </w:endnote>
  <w:endnote w:type="continuationSeparator" w:id="0">
    <w:p w:rsidR="00AA3170" w:rsidRDefault="00AA3170" w:rsidP="00AA3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B76193" w:rsidRDefault="001E2F5F" w:rsidP="001E2F5F">
    <w:pPr>
      <w:tabs>
        <w:tab w:val="left" w:pos="5328"/>
      </w:tabs>
      <w:spacing w:after="0" w:line="360" w:lineRule="auto"/>
      <w:rPr>
        <w:rFonts w:ascii="Garamond" w:hAnsi="Garamond"/>
      </w:rPr>
    </w:pPr>
    <w:r>
      <w:rPr>
        <w:rFonts w:ascii="Garamond" w:hAnsi="Garamond"/>
        <w:b/>
        <w:sz w:val="24"/>
        <w:szCs w:val="24"/>
      </w:rPr>
      <w:t>F</w:t>
    </w:r>
    <w:r w:rsidR="00AA3170" w:rsidRPr="00885DAE">
      <w:rPr>
        <w:rFonts w:ascii="Garamond" w:hAnsi="Garamond"/>
        <w:b/>
        <w:sz w:val="24"/>
        <w:szCs w:val="24"/>
      </w:rPr>
      <w:t>or further information:</w:t>
    </w:r>
    <w:r>
      <w:rPr>
        <w:rFonts w:ascii="Garamond" w:hAnsi="Garamond"/>
        <w:b/>
        <w:sz w:val="24"/>
        <w:szCs w:val="24"/>
      </w:rPr>
      <w:t xml:space="preserve"> </w:t>
    </w:r>
    <w:r w:rsidR="00AA3170" w:rsidRPr="00B76193">
      <w:rPr>
        <w:rFonts w:ascii="Garamond" w:hAnsi="Garamond"/>
        <w:i/>
        <w:color w:val="0D0D0D" w:themeColor="text1" w:themeTint="F2"/>
        <w:lang w:val="en-GB"/>
      </w:rPr>
      <w:t xml:space="preserve">David Nabena </w:t>
    </w:r>
    <w:r w:rsidRPr="00B76193">
      <w:rPr>
        <w:rFonts w:ascii="Garamond" w:hAnsi="Garamond"/>
        <w:i/>
        <w:color w:val="0D0D0D" w:themeColor="text1" w:themeTint="F2"/>
        <w:lang w:val="en-GB"/>
      </w:rPr>
      <w:t>|</w:t>
    </w:r>
    <w:r>
      <w:rPr>
        <w:rFonts w:ascii="Garamond" w:hAnsi="Garamond"/>
        <w:i/>
        <w:color w:val="0D0D0D" w:themeColor="text1" w:themeTint="F2"/>
        <w:lang w:val="en-GB"/>
      </w:rPr>
      <w:t xml:space="preserve"> Economist </w:t>
    </w:r>
    <w:r w:rsidR="00AA3170" w:rsidRPr="00B76193">
      <w:rPr>
        <w:rFonts w:ascii="Garamond" w:hAnsi="Garamond"/>
        <w:i/>
        <w:color w:val="0D0D0D" w:themeColor="text1" w:themeTint="F2"/>
        <w:lang w:val="en-GB"/>
      </w:rPr>
      <w:t>|</w:t>
    </w:r>
    <w:r w:rsidR="00AA3170"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="00AA3170"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="00AA3170"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3170" w:rsidRDefault="00AA3170" w:rsidP="00AA3170">
      <w:pPr>
        <w:spacing w:after="0" w:line="240" w:lineRule="auto"/>
      </w:pPr>
      <w:r>
        <w:separator/>
      </w:r>
    </w:p>
  </w:footnote>
  <w:footnote w:type="continuationSeparator" w:id="0">
    <w:p w:rsidR="00AA3170" w:rsidRDefault="00AA3170" w:rsidP="00AA31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Pr="00AA3170" w:rsidRDefault="00AA3170" w:rsidP="001E2F5F">
    <w:pPr>
      <w:pStyle w:val="Header"/>
      <w:rPr>
        <w:sz w:val="28"/>
        <w:szCs w:val="28"/>
      </w:rPr>
    </w:pPr>
    <w:r w:rsidRPr="00AA3170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59264" behindDoc="0" locked="0" layoutInCell="1" allowOverlap="1" wp14:anchorId="064AA07B" wp14:editId="77FB40A8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19" name="Picture 19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Pr="00AA3170" w:rsidRDefault="00535F98" w:rsidP="00B87E09">
    <w:pPr>
      <w:pStyle w:val="Header"/>
      <w:ind w:left="2520" w:firstLine="4680"/>
      <w:rPr>
        <w:sz w:val="28"/>
        <w:szCs w:val="28"/>
      </w:rPr>
    </w:pPr>
  </w:p>
  <w:p w:rsidR="00B87E09" w:rsidRPr="00AA3170" w:rsidRDefault="004D4F4D" w:rsidP="00B87E09">
    <w:pPr>
      <w:pStyle w:val="Header"/>
      <w:ind w:left="2520"/>
      <w:jc w:val="right"/>
      <w:rPr>
        <w:rFonts w:ascii="Garamond" w:hAnsi="Garamond"/>
        <w:sz w:val="28"/>
        <w:szCs w:val="28"/>
      </w:rPr>
    </w:pPr>
    <w:r>
      <w:rPr>
        <w:rFonts w:ascii="Garamond" w:hAnsi="Garamond"/>
        <w:sz w:val="28"/>
        <w:szCs w:val="28"/>
      </w:rPr>
      <w:t>AUGUST</w:t>
    </w:r>
    <w:r w:rsidR="00AA3170" w:rsidRPr="00AA3170">
      <w:rPr>
        <w:rFonts w:ascii="Garamond" w:hAnsi="Garamond"/>
        <w:sz w:val="28"/>
        <w:szCs w:val="28"/>
      </w:rPr>
      <w:t xml:space="preserve">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AA3170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7CEC7326" wp14:editId="160A7E68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0" name="Picture 20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535F98" w:rsidP="009C2C9D">
    <w:pPr>
      <w:pStyle w:val="Header"/>
      <w:ind w:left="2520" w:firstLine="4680"/>
      <w:rPr>
        <w:sz w:val="42"/>
        <w:szCs w:val="28"/>
      </w:rPr>
    </w:pPr>
  </w:p>
  <w:p w:rsidR="009C2C9D" w:rsidRPr="00F427BA" w:rsidRDefault="004D4F4D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>AUGUST</w:t>
    </w:r>
    <w:r w:rsidR="00AA3170">
      <w:rPr>
        <w:rFonts w:ascii="Garamond" w:hAnsi="Garamond"/>
        <w:color w:val="385623" w:themeColor="accent6" w:themeShade="80"/>
        <w:sz w:val="28"/>
        <w:szCs w:val="28"/>
      </w:rPr>
      <w:t xml:space="preserve"> </w:t>
    </w:r>
    <w:r w:rsidR="00AA3170"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BA21C0"/>
    <w:multiLevelType w:val="hybridMultilevel"/>
    <w:tmpl w:val="F22E6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72194A"/>
    <w:multiLevelType w:val="hybridMultilevel"/>
    <w:tmpl w:val="BE7293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170"/>
    <w:rsid w:val="001D2F49"/>
    <w:rsid w:val="001E2F5F"/>
    <w:rsid w:val="001E3773"/>
    <w:rsid w:val="00241CE5"/>
    <w:rsid w:val="00453084"/>
    <w:rsid w:val="004D4F4D"/>
    <w:rsid w:val="00517675"/>
    <w:rsid w:val="00535F98"/>
    <w:rsid w:val="00604A68"/>
    <w:rsid w:val="006251E3"/>
    <w:rsid w:val="00AA3170"/>
    <w:rsid w:val="00D76733"/>
    <w:rsid w:val="00D8639B"/>
    <w:rsid w:val="00E5447C"/>
    <w:rsid w:val="00E9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76FBA0A-C487-4529-A7AA-B2132FEEB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31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3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170"/>
  </w:style>
  <w:style w:type="character" w:styleId="Hyperlink">
    <w:name w:val="Hyperlink"/>
    <w:basedOn w:val="DefaultParagraphFont"/>
    <w:uiPriority w:val="99"/>
    <w:unhideWhenUsed/>
    <w:rsid w:val="00AA317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A317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A3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170"/>
  </w:style>
  <w:style w:type="paragraph" w:styleId="BalloonText">
    <w:name w:val="Balloon Text"/>
    <w:basedOn w:val="Normal"/>
    <w:link w:val="BalloonTextChar"/>
    <w:uiPriority w:val="99"/>
    <w:semiHidden/>
    <w:unhideWhenUsed/>
    <w:rsid w:val="00D863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63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93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chart" Target="charts/chart1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sv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dnabena.NGF\Documents\IGR%20DATA%20DASHBOARD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320" b="0" i="0" u="none" strike="noStrike" kern="1200" spc="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r>
              <a:rPr lang="en-US" b="1"/>
              <a:t>Plateau State's Recurrent Revenue, Jan - June, 2017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20" b="0" i="0" u="none" strike="noStrike" kern="1200" spc="0" baseline="0">
              <a:solidFill>
                <a:schemeClr val="bg2">
                  <a:lumMod val="10000"/>
                </a:schemeClr>
              </a:solidFill>
              <a:latin typeface="Garamond" panose="02020404030301010803" pitchFamily="18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Sheet1!$B$4</c:f>
              <c:strCache>
                <c:ptCount val="1"/>
                <c:pt idx="0">
                  <c:v>IGR</c:v>
                </c:pt>
              </c:strCache>
            </c:strRef>
          </c:tx>
          <c:spPr>
            <a:pattFill prst="wdUpDiag">
              <a:fgClr>
                <a:schemeClr val="accent6">
                  <a:lumMod val="50000"/>
                </a:schemeClr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Sheet1!$C$1:$H$1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Sheet1!$C$11:$H$11</c:f>
              <c:numCache>
                <c:formatCode>#,##0</c:formatCode>
                <c:ptCount val="6"/>
                <c:pt idx="0">
                  <c:v>881796448</c:v>
                </c:pt>
                <c:pt idx="1">
                  <c:v>694163508.66999996</c:v>
                </c:pt>
                <c:pt idx="2">
                  <c:v>841387364.75999999</c:v>
                </c:pt>
                <c:pt idx="3">
                  <c:v>650036104.04999995</c:v>
                </c:pt>
                <c:pt idx="4">
                  <c:v>843284716.60000002</c:v>
                </c:pt>
                <c:pt idx="5">
                  <c:v>1190798967.8199999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14C-41B4-9308-39CB4C8346CE}"/>
            </c:ext>
          </c:extLst>
        </c:ser>
        <c:ser>
          <c:idx val="1"/>
          <c:order val="1"/>
          <c:tx>
            <c:strRef>
              <c:f>Sheet1!$B$20</c:f>
              <c:strCache>
                <c:ptCount val="1"/>
                <c:pt idx="0">
                  <c:v>Federation Allocation</c:v>
                </c:pt>
              </c:strCache>
            </c:strRef>
          </c:tx>
          <c:spPr>
            <a:solidFill>
              <a:schemeClr val="accent6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Sheet1!$C$1:$H$1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Sheet1!$C$27:$H$27</c:f>
              <c:numCache>
                <c:formatCode>#,##0</c:formatCode>
                <c:ptCount val="6"/>
                <c:pt idx="0">
                  <c:v>2964102412</c:v>
                </c:pt>
                <c:pt idx="1">
                  <c:v>3329063294.6799998</c:v>
                </c:pt>
                <c:pt idx="2">
                  <c:v>3009103952.6300001</c:v>
                </c:pt>
                <c:pt idx="3">
                  <c:v>3311043930.9899998</c:v>
                </c:pt>
                <c:pt idx="4">
                  <c:v>2970199913.6399999</c:v>
                </c:pt>
                <c:pt idx="5">
                  <c:v>3305166796.3899999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14C-41B4-9308-39CB4C8346C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95"/>
        <c:overlap val="100"/>
        <c:axId val="379581112"/>
        <c:axId val="379580784"/>
      </c:barChart>
      <c:catAx>
        <c:axId val="379581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0784"/>
        <c:crosses val="autoZero"/>
        <c:auto val="1"/>
        <c:lblAlgn val="ctr"/>
        <c:lblOffset val="100"/>
        <c:noMultiLvlLbl val="0"/>
      </c:catAx>
      <c:valAx>
        <c:axId val="379580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bg2">
                        <a:lumMod val="10000"/>
                      </a:schemeClr>
                    </a:solidFill>
                    <a:latin typeface="Garamond" panose="02020404030301010803" pitchFamily="18" charset="0"/>
                    <a:ea typeface="+mn-ea"/>
                    <a:cs typeface="+mn-cs"/>
                  </a:defRPr>
                </a:pPr>
                <a:r>
                  <a:rPr lang="en-US"/>
                  <a:t>Title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Garamond" panose="020204040303010108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111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>
          <a:solidFill>
            <a:schemeClr val="bg2">
              <a:lumMod val="10000"/>
            </a:schemeClr>
          </a:solidFill>
          <a:latin typeface="Garamond" panose="02020404030301010803" pitchFamily="18" charset="0"/>
        </a:defRPr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10</cp:revision>
  <cp:lastPrinted>2017-08-16T09:39:00Z</cp:lastPrinted>
  <dcterms:created xsi:type="dcterms:W3CDTF">2017-06-28T12:45:00Z</dcterms:created>
  <dcterms:modified xsi:type="dcterms:W3CDTF">2017-08-16T09:39:00Z</dcterms:modified>
</cp:coreProperties>
</file>