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4832" w:rsidRPr="006F48F3" w:rsidRDefault="00424832" w:rsidP="00424832">
      <w:pPr>
        <w:spacing w:line="276" w:lineRule="auto"/>
        <w:jc w:val="center"/>
        <w:rPr>
          <w:rFonts w:ascii="Garamond" w:hAnsi="Garamond"/>
          <w:b/>
          <w:sz w:val="2"/>
          <w:szCs w:val="24"/>
        </w:rPr>
      </w:pPr>
      <w:bookmarkStart w:id="0" w:name="_Hlk486358050"/>
    </w:p>
    <w:p w:rsidR="00424832" w:rsidRPr="001F2CAC" w:rsidRDefault="00424832" w:rsidP="00424832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SOKOTO</w:t>
      </w:r>
      <w:r w:rsidRPr="001F2CAC">
        <w:rPr>
          <w:rFonts w:ascii="Garamond" w:hAnsi="Garamond"/>
          <w:b/>
          <w:sz w:val="24"/>
          <w:szCs w:val="24"/>
        </w:rPr>
        <w:t xml:space="preserve"> STATE INTERNAL REVENUE SERVICE </w:t>
      </w:r>
    </w:p>
    <w:p w:rsidR="00424832" w:rsidRPr="001F2CAC" w:rsidRDefault="00424832" w:rsidP="00424832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GOVERNOR’S SUMMARY</w:t>
      </w:r>
    </w:p>
    <w:p w:rsidR="00424832" w:rsidRPr="001F2CAC" w:rsidRDefault="006F48F3" w:rsidP="006F48F3">
      <w:pPr>
        <w:spacing w:line="276" w:lineRule="auto"/>
        <w:jc w:val="center"/>
        <w:rPr>
          <w:rFonts w:ascii="Garamond" w:hAnsi="Garamond" w:cs="Times New Roman"/>
          <w:noProof/>
          <w:sz w:val="2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5B88C12" wp14:editId="03E266E2">
            <wp:simplePos x="0" y="0"/>
            <wp:positionH relativeFrom="column">
              <wp:posOffset>106680</wp:posOffset>
            </wp:positionH>
            <wp:positionV relativeFrom="page">
              <wp:posOffset>1828800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24832" w:rsidRPr="001F2CAC" w:rsidRDefault="00424832" w:rsidP="00424832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65</w:t>
      </w:r>
      <w:r w:rsidRPr="001F2CAC">
        <w:rPr>
          <w:rFonts w:ascii="Garamond" w:hAnsi="Garamond"/>
          <w:sz w:val="24"/>
          <w:szCs w:val="24"/>
        </w:rPr>
        <w:t>.</w:t>
      </w:r>
      <w:r>
        <w:rPr>
          <w:rFonts w:ascii="Garamond" w:hAnsi="Garamond"/>
          <w:sz w:val="24"/>
          <w:szCs w:val="24"/>
        </w:rPr>
        <w:t>69</w:t>
      </w:r>
      <w:r w:rsidRPr="001F2CAC">
        <w:rPr>
          <w:rFonts w:ascii="Garamond" w:hAnsi="Garamond"/>
          <w:sz w:val="24"/>
          <w:szCs w:val="24"/>
        </w:rPr>
        <w:t xml:space="preserve"> percent</w:t>
      </w:r>
    </w:p>
    <w:p w:rsidR="00424832" w:rsidRPr="001F2CAC" w:rsidRDefault="00424832" w:rsidP="00424832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F91A580" wp14:editId="3186D839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24832" w:rsidRPr="002073EA" w:rsidRDefault="00424832" w:rsidP="00424832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</w:p>
    <w:p w:rsidR="00424832" w:rsidRDefault="00424832" w:rsidP="005B469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Commendable practices were recorded in areas</w:t>
      </w:r>
      <w:r>
        <w:rPr>
          <w:rFonts w:ascii="Garamond" w:hAnsi="Garamond"/>
          <w:sz w:val="24"/>
          <w:szCs w:val="24"/>
        </w:rPr>
        <w:t xml:space="preserve"> such as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 xml:space="preserve">the </w:t>
      </w:r>
      <w:r w:rsidR="005B4695">
        <w:rPr>
          <w:rFonts w:ascii="Garamond" w:hAnsi="Garamond"/>
          <w:sz w:val="24"/>
          <w:szCs w:val="24"/>
        </w:rPr>
        <w:t xml:space="preserve">use of a centrally automated platform for tax collection, </w:t>
      </w:r>
      <w:r>
        <w:rPr>
          <w:rFonts w:ascii="Garamond" w:hAnsi="Garamond"/>
          <w:sz w:val="24"/>
          <w:szCs w:val="24"/>
        </w:rPr>
        <w:t>maintenance of a taxpayer database for the informal sector</w:t>
      </w:r>
      <w:r w:rsidR="005B4695">
        <w:rPr>
          <w:rFonts w:ascii="Garamond" w:hAnsi="Garamond"/>
          <w:sz w:val="24"/>
          <w:szCs w:val="24"/>
        </w:rPr>
        <w:t xml:space="preserve">, with </w:t>
      </w:r>
      <w:r w:rsidR="005B4695" w:rsidRPr="005B4695">
        <w:rPr>
          <w:rFonts w:ascii="Garamond" w:hAnsi="Garamond"/>
          <w:sz w:val="24"/>
          <w:szCs w:val="24"/>
        </w:rPr>
        <w:t xml:space="preserve">active </w:t>
      </w:r>
      <w:r w:rsidR="009E53AD">
        <w:rPr>
          <w:rFonts w:ascii="Garamond" w:hAnsi="Garamond"/>
          <w:sz w:val="24"/>
          <w:szCs w:val="24"/>
        </w:rPr>
        <w:t>strategies</w:t>
      </w:r>
      <w:r w:rsidR="005B4695" w:rsidRPr="005B4695">
        <w:rPr>
          <w:rFonts w:ascii="Garamond" w:hAnsi="Garamond"/>
          <w:sz w:val="24"/>
          <w:szCs w:val="24"/>
        </w:rPr>
        <w:t xml:space="preserve"> to bring in more informal sector taxpayers</w:t>
      </w:r>
    </w:p>
    <w:p w:rsidR="005B4695" w:rsidRDefault="009E53AD" w:rsidP="0042483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</w:t>
      </w:r>
      <w:r w:rsidR="00424832" w:rsidRPr="001F2CAC">
        <w:rPr>
          <w:rFonts w:ascii="Garamond" w:hAnsi="Garamond"/>
          <w:sz w:val="24"/>
          <w:szCs w:val="24"/>
        </w:rPr>
        <w:t>he</w:t>
      </w:r>
      <w:r w:rsidR="00424832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 xml:space="preserve">Service’s semi-autonomous status </w:t>
      </w:r>
      <w:r w:rsidR="00424832">
        <w:rPr>
          <w:rFonts w:ascii="Garamond" w:hAnsi="Garamond"/>
          <w:sz w:val="24"/>
          <w:szCs w:val="24"/>
        </w:rPr>
        <w:t xml:space="preserve">has </w:t>
      </w:r>
      <w:r>
        <w:rPr>
          <w:rFonts w:ascii="Garamond" w:hAnsi="Garamond"/>
          <w:sz w:val="24"/>
          <w:szCs w:val="24"/>
        </w:rPr>
        <w:t>had a significant impact on</w:t>
      </w:r>
      <w:r w:rsidR="00424832">
        <w:rPr>
          <w:rFonts w:ascii="Garamond" w:hAnsi="Garamond"/>
          <w:sz w:val="24"/>
          <w:szCs w:val="24"/>
        </w:rPr>
        <w:t xml:space="preserve"> overall tax administration, including the capacity of the Service</w:t>
      </w:r>
      <w:r w:rsidR="00424832" w:rsidRPr="001F2CAC">
        <w:rPr>
          <w:rFonts w:ascii="Garamond" w:hAnsi="Garamond"/>
          <w:sz w:val="24"/>
          <w:szCs w:val="24"/>
        </w:rPr>
        <w:t xml:space="preserve"> </w:t>
      </w:r>
      <w:r w:rsidR="00424832">
        <w:rPr>
          <w:rFonts w:ascii="Garamond" w:hAnsi="Garamond"/>
          <w:sz w:val="24"/>
          <w:szCs w:val="24"/>
        </w:rPr>
        <w:t xml:space="preserve">to recruit </w:t>
      </w:r>
      <w:r w:rsidR="005B4695">
        <w:rPr>
          <w:rFonts w:ascii="Garamond" w:hAnsi="Garamond"/>
          <w:sz w:val="24"/>
          <w:szCs w:val="24"/>
        </w:rPr>
        <w:t>and train</w:t>
      </w:r>
      <w:r w:rsidR="00424832">
        <w:rPr>
          <w:rFonts w:ascii="Garamond" w:hAnsi="Garamond"/>
          <w:sz w:val="24"/>
          <w:szCs w:val="24"/>
        </w:rPr>
        <w:t xml:space="preserve"> competent staff</w:t>
      </w:r>
      <w:r w:rsidR="005B4695">
        <w:rPr>
          <w:rFonts w:ascii="Garamond" w:hAnsi="Garamond"/>
          <w:sz w:val="24"/>
          <w:szCs w:val="24"/>
        </w:rPr>
        <w:t>. The Service has o</w:t>
      </w:r>
      <w:r>
        <w:rPr>
          <w:rFonts w:ascii="Garamond" w:hAnsi="Garamond"/>
          <w:sz w:val="24"/>
          <w:szCs w:val="24"/>
        </w:rPr>
        <w:t xml:space="preserve">nly 76 staff in core tax </w:t>
      </w:r>
      <w:proofErr w:type="spellStart"/>
      <w:r>
        <w:rPr>
          <w:rFonts w:ascii="Garamond" w:hAnsi="Garamond"/>
          <w:sz w:val="24"/>
          <w:szCs w:val="24"/>
        </w:rPr>
        <w:t>roles</w:t>
      </w:r>
      <w:proofErr w:type="spellEnd"/>
      <w:r>
        <w:rPr>
          <w:rFonts w:ascii="Garamond" w:hAnsi="Garamond"/>
          <w:sz w:val="24"/>
          <w:szCs w:val="24"/>
        </w:rPr>
        <w:t xml:space="preserve"> – this </w:t>
      </w:r>
      <w:r w:rsidR="005B4695">
        <w:rPr>
          <w:rFonts w:ascii="Garamond" w:hAnsi="Garamond"/>
          <w:sz w:val="24"/>
          <w:szCs w:val="24"/>
        </w:rPr>
        <w:t xml:space="preserve">is </w:t>
      </w:r>
      <w:r>
        <w:rPr>
          <w:rFonts w:ascii="Garamond" w:hAnsi="Garamond"/>
          <w:sz w:val="24"/>
          <w:szCs w:val="24"/>
        </w:rPr>
        <w:t xml:space="preserve">significantly low </w:t>
      </w:r>
      <w:r w:rsidR="005B4695">
        <w:rPr>
          <w:rFonts w:ascii="Garamond" w:hAnsi="Garamond"/>
          <w:sz w:val="24"/>
          <w:szCs w:val="24"/>
        </w:rPr>
        <w:t xml:space="preserve">compared with </w:t>
      </w:r>
      <w:r w:rsidR="006F48F3">
        <w:rPr>
          <w:rFonts w:ascii="Garamond" w:hAnsi="Garamond"/>
          <w:sz w:val="24"/>
          <w:szCs w:val="24"/>
        </w:rPr>
        <w:t>other States</w:t>
      </w:r>
      <w:r w:rsidR="005B4695">
        <w:rPr>
          <w:rFonts w:ascii="Garamond" w:hAnsi="Garamond"/>
          <w:sz w:val="24"/>
          <w:szCs w:val="24"/>
        </w:rPr>
        <w:t>.</w:t>
      </w:r>
    </w:p>
    <w:p w:rsidR="00424832" w:rsidRDefault="005B4695" w:rsidP="0042483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Lack of funding has also limited the Service’s capacity to</w:t>
      </w:r>
      <w:r w:rsidR="00424832">
        <w:rPr>
          <w:rFonts w:ascii="Garamond" w:hAnsi="Garamond"/>
          <w:sz w:val="24"/>
          <w:szCs w:val="24"/>
        </w:rPr>
        <w:t xml:space="preserve"> acquire modern technologies required to strengthen tax processing.</w:t>
      </w:r>
      <w:r>
        <w:rPr>
          <w:rFonts w:ascii="Garamond" w:hAnsi="Garamond"/>
          <w:sz w:val="24"/>
          <w:szCs w:val="24"/>
        </w:rPr>
        <w:t xml:space="preserve"> Although field offices have technically trained staff, they lack access to basic </w:t>
      </w:r>
      <w:r w:rsidR="006F48F3">
        <w:rPr>
          <w:rFonts w:ascii="Garamond" w:hAnsi="Garamond"/>
          <w:sz w:val="24"/>
          <w:szCs w:val="24"/>
        </w:rPr>
        <w:t>ICT</w:t>
      </w:r>
      <w:r>
        <w:rPr>
          <w:rFonts w:ascii="Garamond" w:hAnsi="Garamond"/>
          <w:sz w:val="24"/>
          <w:szCs w:val="24"/>
        </w:rPr>
        <w:t xml:space="preserve"> tools including computers and internet connection.</w:t>
      </w:r>
    </w:p>
    <w:p w:rsidR="00424832" w:rsidRDefault="00424832" w:rsidP="0042483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The State also has limite</w:t>
      </w:r>
      <w:r w:rsidR="005B4695">
        <w:rPr>
          <w:rFonts w:ascii="Garamond" w:hAnsi="Garamond"/>
          <w:sz w:val="24"/>
          <w:szCs w:val="24"/>
        </w:rPr>
        <w:t>d number of tax offices – only 4</w:t>
      </w:r>
      <w:r>
        <w:rPr>
          <w:rFonts w:ascii="Garamond" w:hAnsi="Garamond"/>
          <w:sz w:val="24"/>
          <w:szCs w:val="24"/>
        </w:rPr>
        <w:t xml:space="preserve"> serving the</w:t>
      </w:r>
      <w:r w:rsidR="005B4695">
        <w:rPr>
          <w:rFonts w:ascii="Garamond" w:hAnsi="Garamond"/>
          <w:sz w:val="24"/>
          <w:szCs w:val="24"/>
        </w:rPr>
        <w:t xml:space="preserve"> State’s 23</w:t>
      </w:r>
      <w:r>
        <w:rPr>
          <w:rFonts w:ascii="Garamond" w:hAnsi="Garamond"/>
          <w:sz w:val="24"/>
          <w:szCs w:val="24"/>
        </w:rPr>
        <w:t xml:space="preserve"> local government areas.</w:t>
      </w:r>
      <w:r w:rsidR="005B4695">
        <w:rPr>
          <w:rFonts w:ascii="Garamond" w:hAnsi="Garamond"/>
          <w:sz w:val="24"/>
          <w:szCs w:val="24"/>
        </w:rPr>
        <w:t xml:space="preserve"> This has grossly affected taxpayer engagement and outreach.</w:t>
      </w:r>
    </w:p>
    <w:tbl>
      <w:tblPr>
        <w:tblW w:w="9193" w:type="dxa"/>
        <w:jc w:val="center"/>
        <w:tblLook w:val="04A0" w:firstRow="1" w:lastRow="0" w:firstColumn="1" w:lastColumn="0" w:noHBand="0" w:noVBand="1"/>
      </w:tblPr>
      <w:tblGrid>
        <w:gridCol w:w="7015"/>
        <w:gridCol w:w="2178"/>
      </w:tblGrid>
      <w:tr w:rsidR="00424832" w:rsidRPr="00F427BA" w:rsidTr="006F0EE9">
        <w:trPr>
          <w:trHeight w:val="233"/>
          <w:jc w:val="center"/>
        </w:trPr>
        <w:tc>
          <w:tcPr>
            <w:tcW w:w="7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424832" w:rsidRPr="00F427BA" w:rsidRDefault="00424832" w:rsidP="006F0EE9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  <w:t>ASSESSMENT AREAS</w:t>
            </w:r>
          </w:p>
        </w:tc>
        <w:tc>
          <w:tcPr>
            <w:tcW w:w="217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424832" w:rsidRPr="00F427BA" w:rsidRDefault="00424832" w:rsidP="006F0EE9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  <w:t>Q1, 2017</w:t>
            </w:r>
          </w:p>
        </w:tc>
      </w:tr>
      <w:tr w:rsidR="00424832" w:rsidRPr="00F427BA" w:rsidTr="006F0EE9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sz w:val="23"/>
                <w:szCs w:val="23"/>
              </w:rPr>
              <w:t>Overall Tax Performance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  <w:t>65.69</w:t>
            </w:r>
          </w:p>
        </w:tc>
      </w:tr>
      <w:tr w:rsidR="00424832" w:rsidRPr="00F427BA" w:rsidTr="006F0EE9">
        <w:trPr>
          <w:trHeight w:val="178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424832" w:rsidRPr="00F427BA" w:rsidRDefault="00424832" w:rsidP="006F0EE9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424832" w:rsidRPr="00F427BA" w:rsidRDefault="00424832" w:rsidP="006F0EE9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424832" w:rsidRPr="00F427BA" w:rsidTr="006F0EE9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  <w:t>Tax Administration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color w:val="993300"/>
                <w:sz w:val="23"/>
                <w:szCs w:val="23"/>
              </w:rPr>
              <w:t>55.90</w:t>
            </w:r>
          </w:p>
        </w:tc>
      </w:tr>
      <w:tr w:rsidR="00424832" w:rsidRPr="00F427BA" w:rsidTr="006F0EE9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proofErr w:type="spellStart"/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Organisational</w:t>
            </w:r>
            <w:proofErr w:type="spellEnd"/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 xml:space="preserve"> and institutional arrangements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69</w:t>
            </w: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31</w:t>
            </w:r>
          </w:p>
        </w:tc>
      </w:tr>
      <w:tr w:rsidR="00424832" w:rsidRPr="00F427BA" w:rsidTr="006F0EE9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Availability and sufficiency of IRS budget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52.59</w:t>
            </w:r>
          </w:p>
        </w:tc>
      </w:tr>
      <w:tr w:rsidR="00424832" w:rsidRPr="00F427BA" w:rsidTr="006F0EE9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Salary incentives, IRS Staff skills and training levels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34.24</w:t>
            </w:r>
          </w:p>
        </w:tc>
      </w:tr>
      <w:tr w:rsidR="00424832" w:rsidRPr="00F427BA" w:rsidTr="006F0EE9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SBIRS outreach in districts (no. of tax offices)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67</w:t>
            </w: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46</w:t>
            </w:r>
          </w:p>
        </w:tc>
      </w:tr>
      <w:tr w:rsidR="00424832" w:rsidRPr="00F427BA" w:rsidTr="006F0EE9">
        <w:trPr>
          <w:trHeight w:val="119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424832" w:rsidRPr="00F427BA" w:rsidRDefault="00424832" w:rsidP="006F0EE9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424832" w:rsidRPr="00F427BA" w:rsidRDefault="00424832" w:rsidP="006F0EE9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</w:p>
        </w:tc>
      </w:tr>
      <w:tr w:rsidR="00424832" w:rsidRPr="00F427BA" w:rsidTr="006F0EE9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  <w:t>Tax Procedures (registration, filling, assessment and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  <w:t>60.48</w:t>
            </w:r>
          </w:p>
        </w:tc>
      </w:tr>
      <w:tr w:rsidR="00424832" w:rsidRPr="00F427BA" w:rsidTr="006F0EE9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  <w:t>Tax registration using Unified Tax Identification Number (TIN)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  <w:t>69.28</w:t>
            </w:r>
          </w:p>
        </w:tc>
      </w:tr>
      <w:tr w:rsidR="00424832" w:rsidRPr="00F427BA" w:rsidTr="006F0EE9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  <w:t>Efficiency of tax collection (best of judgement vs self- assessment)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  <w:t>51.67</w:t>
            </w:r>
          </w:p>
        </w:tc>
      </w:tr>
      <w:tr w:rsidR="00424832" w:rsidRPr="00F427BA" w:rsidTr="006F0EE9">
        <w:trPr>
          <w:trHeight w:val="161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424832" w:rsidRPr="00F427BA" w:rsidRDefault="00424832" w:rsidP="006F0EE9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424832" w:rsidRPr="00F427BA" w:rsidRDefault="00424832" w:rsidP="006F0EE9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</w:p>
        </w:tc>
      </w:tr>
      <w:tr w:rsidR="00424832" w:rsidRPr="00F427BA" w:rsidTr="006F0EE9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  <w:t>Tax Processing (manual vs automated)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  <w:t>86.31</w:t>
            </w:r>
          </w:p>
        </w:tc>
      </w:tr>
      <w:tr w:rsidR="00424832" w:rsidRPr="00F427BA" w:rsidTr="006F0EE9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  <w:t>Tax payment (cash paid to tax officers versus bank and electronic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006666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006666"/>
                <w:sz w:val="23"/>
                <w:szCs w:val="23"/>
              </w:rPr>
              <w:t>86.31</w:t>
            </w:r>
          </w:p>
        </w:tc>
      </w:tr>
      <w:tr w:rsidR="00424832" w:rsidRPr="00F427BA" w:rsidTr="006F0EE9">
        <w:trPr>
          <w:trHeight w:val="178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424832" w:rsidRPr="00F427BA" w:rsidRDefault="00424832" w:rsidP="006F0EE9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424832" w:rsidRPr="00F427BA" w:rsidRDefault="00424832" w:rsidP="006F0EE9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424832" w:rsidRPr="00F427BA" w:rsidTr="006F0EE9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  <w:t>Tax Enforcement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  <w:t>60.09</w:t>
            </w:r>
          </w:p>
        </w:tc>
      </w:tr>
      <w:tr w:rsidR="00424832" w:rsidRPr="00F427BA" w:rsidTr="006F0EE9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Capacity for taxpayer audits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50.26</w:t>
            </w:r>
          </w:p>
        </w:tc>
      </w:tr>
      <w:tr w:rsidR="00424832" w:rsidRPr="00F427BA" w:rsidTr="006F0EE9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Tax awareness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72</w:t>
            </w:r>
            <w:r w:rsidRPr="00F427BA"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73</w:t>
            </w:r>
          </w:p>
        </w:tc>
      </w:tr>
      <w:tr w:rsidR="00424832" w:rsidRPr="00F427BA" w:rsidTr="006F0EE9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Complaints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29.86</w:t>
            </w:r>
          </w:p>
        </w:tc>
      </w:tr>
      <w:tr w:rsidR="00424832" w:rsidRPr="00F427BA" w:rsidTr="006F0EE9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Double Taxation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6F0EE9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87.50</w:t>
            </w:r>
          </w:p>
        </w:tc>
      </w:tr>
    </w:tbl>
    <w:p w:rsidR="00424832" w:rsidRPr="001F2CAC" w:rsidRDefault="00424832" w:rsidP="00424832">
      <w:pPr>
        <w:spacing w:line="480" w:lineRule="auto"/>
        <w:jc w:val="both"/>
        <w:rPr>
          <w:rFonts w:ascii="Garamond" w:hAnsi="Garamond"/>
          <w:sz w:val="24"/>
          <w:szCs w:val="24"/>
        </w:rPr>
      </w:pPr>
    </w:p>
    <w:p w:rsidR="00424832" w:rsidRDefault="00424832" w:rsidP="00424832">
      <w:pPr>
        <w:tabs>
          <w:tab w:val="left" w:pos="3024"/>
        </w:tabs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ab/>
      </w:r>
    </w:p>
    <w:p w:rsidR="00424832" w:rsidRPr="002073EA" w:rsidRDefault="00424832" w:rsidP="00424832">
      <w:pPr>
        <w:jc w:val="both"/>
        <w:rPr>
          <w:rFonts w:ascii="Garamond" w:hAnsi="Garamond"/>
          <w:b/>
          <w:sz w:val="2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58E98AE" wp14:editId="6A8406A0">
            <wp:simplePos x="0" y="0"/>
            <wp:positionH relativeFrom="column">
              <wp:posOffset>38100</wp:posOffset>
            </wp:positionH>
            <wp:positionV relativeFrom="paragraph">
              <wp:posOffset>3175</wp:posOffset>
            </wp:positionV>
            <wp:extent cx="464820" cy="464820"/>
            <wp:effectExtent l="0" t="0" r="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24832" w:rsidRPr="002073EA" w:rsidRDefault="00424832" w:rsidP="00424832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Recommended actions for the Govern</w:t>
      </w:r>
      <w:bookmarkStart w:id="1" w:name="_GoBack"/>
      <w:bookmarkEnd w:id="1"/>
      <w:r w:rsidRPr="002073EA">
        <w:rPr>
          <w:rFonts w:ascii="Garamond" w:hAnsi="Garamond"/>
          <w:b/>
          <w:sz w:val="24"/>
          <w:szCs w:val="24"/>
        </w:rPr>
        <w:t>or</w:t>
      </w:r>
    </w:p>
    <w:p w:rsidR="005B4695" w:rsidRDefault="00424832" w:rsidP="005B469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Facilitate timely release of budgeted funds to cover essential services required to </w:t>
      </w:r>
      <w:r w:rsidR="005B4695">
        <w:rPr>
          <w:rFonts w:ascii="Garamond" w:hAnsi="Garamond"/>
          <w:sz w:val="24"/>
          <w:szCs w:val="24"/>
        </w:rPr>
        <w:t xml:space="preserve">raise and </w:t>
      </w:r>
      <w:r>
        <w:rPr>
          <w:rFonts w:ascii="Garamond" w:hAnsi="Garamond"/>
          <w:sz w:val="24"/>
          <w:szCs w:val="24"/>
        </w:rPr>
        <w:t xml:space="preserve">sustain revenue generation and collection, including the recruitment of additional staff and </w:t>
      </w:r>
      <w:r w:rsidR="006F48F3">
        <w:rPr>
          <w:rFonts w:ascii="Garamond" w:hAnsi="Garamond"/>
          <w:sz w:val="24"/>
          <w:szCs w:val="24"/>
        </w:rPr>
        <w:t>procurement</w:t>
      </w:r>
      <w:r w:rsidR="005B4695">
        <w:rPr>
          <w:rFonts w:ascii="Garamond" w:hAnsi="Garamond"/>
          <w:sz w:val="24"/>
          <w:szCs w:val="24"/>
        </w:rPr>
        <w:t xml:space="preserve"> of basic </w:t>
      </w:r>
      <w:r w:rsidR="009E53AD">
        <w:rPr>
          <w:rFonts w:ascii="Garamond" w:hAnsi="Garamond"/>
          <w:sz w:val="24"/>
          <w:szCs w:val="24"/>
        </w:rPr>
        <w:t>ICT</w:t>
      </w:r>
      <w:r w:rsidR="005B4695">
        <w:rPr>
          <w:rFonts w:ascii="Garamond" w:hAnsi="Garamond"/>
          <w:sz w:val="24"/>
          <w:szCs w:val="24"/>
        </w:rPr>
        <w:t xml:space="preserve"> tools to improve tax administration and processing.</w:t>
      </w:r>
    </w:p>
    <w:p w:rsidR="005B4695" w:rsidRPr="005B4695" w:rsidRDefault="005B4695" w:rsidP="005B469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5B4695">
        <w:rPr>
          <w:rFonts w:ascii="Garamond" w:hAnsi="Garamond"/>
          <w:sz w:val="24"/>
          <w:szCs w:val="24"/>
        </w:rPr>
        <w:t xml:space="preserve">Support the Service to expand the number of field offices to at least one in each local government. The State currently has only </w:t>
      </w:r>
      <w:r>
        <w:rPr>
          <w:rFonts w:ascii="Garamond" w:hAnsi="Garamond"/>
          <w:sz w:val="24"/>
          <w:szCs w:val="24"/>
        </w:rPr>
        <w:t>4</w:t>
      </w:r>
      <w:r w:rsidRPr="005B4695">
        <w:rPr>
          <w:rFonts w:ascii="Garamond" w:hAnsi="Garamond"/>
          <w:sz w:val="24"/>
          <w:szCs w:val="24"/>
        </w:rPr>
        <w:t xml:space="preserve"> field offices servicing </w:t>
      </w:r>
      <w:r>
        <w:rPr>
          <w:rFonts w:ascii="Garamond" w:hAnsi="Garamond"/>
          <w:sz w:val="24"/>
          <w:szCs w:val="24"/>
        </w:rPr>
        <w:t>all its</w:t>
      </w:r>
      <w:r w:rsidRPr="005B4695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23</w:t>
      </w:r>
      <w:r w:rsidRPr="005B4695">
        <w:rPr>
          <w:rFonts w:ascii="Garamond" w:hAnsi="Garamond"/>
          <w:sz w:val="24"/>
          <w:szCs w:val="24"/>
        </w:rPr>
        <w:t xml:space="preserve"> LGAs.</w:t>
      </w:r>
    </w:p>
    <w:p w:rsidR="00424832" w:rsidRPr="001F2CAC" w:rsidRDefault="00424832" w:rsidP="0042483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 interagency cooperation to strengthen the State’s tax collection mechanism</w:t>
      </w:r>
      <w:r w:rsidR="006F48F3">
        <w:rPr>
          <w:rFonts w:ascii="Garamond" w:hAnsi="Garamond"/>
          <w:sz w:val="24"/>
          <w:szCs w:val="24"/>
        </w:rPr>
        <w:t xml:space="preserve"> and ensure that all revenues collected by MDAs are paid directly into a consolidated revenue account</w:t>
      </w:r>
      <w:r>
        <w:rPr>
          <w:rFonts w:ascii="Garamond" w:hAnsi="Garamond"/>
          <w:sz w:val="24"/>
          <w:szCs w:val="24"/>
        </w:rPr>
        <w:t>.</w:t>
      </w:r>
    </w:p>
    <w:p w:rsidR="00424832" w:rsidRPr="009431EE" w:rsidRDefault="00424832" w:rsidP="00424832">
      <w:pPr>
        <w:spacing w:line="360" w:lineRule="auto"/>
        <w:jc w:val="both"/>
        <w:rPr>
          <w:rFonts w:ascii="Garamond" w:hAnsi="Garamond"/>
          <w:b/>
          <w:sz w:val="6"/>
          <w:szCs w:val="24"/>
        </w:rPr>
      </w:pPr>
    </w:p>
    <w:p w:rsidR="00424832" w:rsidRDefault="00424832" w:rsidP="00424832">
      <w:pPr>
        <w:spacing w:line="360" w:lineRule="auto"/>
        <w:jc w:val="both"/>
        <w:rPr>
          <w:rFonts w:ascii="Garamond" w:hAnsi="Garamond"/>
          <w:sz w:val="24"/>
          <w:szCs w:val="24"/>
        </w:rPr>
      </w:pPr>
    </w:p>
    <w:p w:rsidR="00424832" w:rsidRPr="002073EA" w:rsidRDefault="00424832" w:rsidP="00424832">
      <w:pPr>
        <w:rPr>
          <w:rFonts w:ascii="Garamond" w:hAnsi="Garamond"/>
          <w:sz w:val="24"/>
          <w:szCs w:val="24"/>
        </w:rPr>
      </w:pPr>
    </w:p>
    <w:p w:rsidR="00424832" w:rsidRPr="002073EA" w:rsidRDefault="00424832" w:rsidP="00424832">
      <w:pPr>
        <w:rPr>
          <w:rFonts w:ascii="Garamond" w:hAnsi="Garamond"/>
          <w:sz w:val="24"/>
          <w:szCs w:val="24"/>
        </w:rPr>
      </w:pPr>
    </w:p>
    <w:bookmarkEnd w:id="0"/>
    <w:p w:rsidR="00424832" w:rsidRDefault="00424832" w:rsidP="00424832"/>
    <w:p w:rsidR="00517675" w:rsidRDefault="00517675"/>
    <w:sectPr w:rsidR="00517675" w:rsidSect="006F48F3">
      <w:headerReference w:type="default" r:id="rId13"/>
      <w:footerReference w:type="default" r:id="rId14"/>
      <w:headerReference w:type="first" r:id="rId15"/>
      <w:pgSz w:w="12240" w:h="15840"/>
      <w:pgMar w:top="1710" w:right="1440" w:bottom="630" w:left="1440" w:header="540" w:footer="39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D008F" w:rsidRDefault="006F48F3">
      <w:pPr>
        <w:spacing w:after="0" w:line="240" w:lineRule="auto"/>
      </w:pPr>
      <w:r>
        <w:separator/>
      </w:r>
    </w:p>
  </w:endnote>
  <w:endnote w:type="continuationSeparator" w:id="0">
    <w:p w:rsidR="004D008F" w:rsidRDefault="006F4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B76193" w:rsidRDefault="006F48F3" w:rsidP="006F48F3">
    <w:pPr>
      <w:tabs>
        <w:tab w:val="left" w:pos="5328"/>
      </w:tabs>
      <w:spacing w:after="0" w:line="360" w:lineRule="auto"/>
      <w:rPr>
        <w:rFonts w:ascii="Garamond" w:hAnsi="Garamond"/>
      </w:rPr>
    </w:pPr>
    <w:r>
      <w:rPr>
        <w:rFonts w:ascii="Garamond" w:hAnsi="Garamond"/>
        <w:b/>
        <w:sz w:val="24"/>
        <w:szCs w:val="24"/>
      </w:rPr>
      <w:t>F</w:t>
    </w:r>
    <w:r w:rsidR="005B4695" w:rsidRPr="00885DAE">
      <w:rPr>
        <w:rFonts w:ascii="Garamond" w:hAnsi="Garamond"/>
        <w:b/>
        <w:sz w:val="24"/>
        <w:szCs w:val="24"/>
      </w:rPr>
      <w:t>or further information:</w:t>
    </w:r>
    <w:r>
      <w:rPr>
        <w:rFonts w:ascii="Garamond" w:hAnsi="Garamond"/>
        <w:b/>
        <w:sz w:val="24"/>
        <w:szCs w:val="24"/>
      </w:rPr>
      <w:t xml:space="preserve"> </w:t>
    </w:r>
    <w:r w:rsidR="005B4695" w:rsidRPr="00B76193">
      <w:rPr>
        <w:rFonts w:ascii="Garamond" w:hAnsi="Garamond"/>
        <w:i/>
        <w:color w:val="0D0D0D" w:themeColor="text1" w:themeTint="F2"/>
        <w:lang w:val="en-GB"/>
      </w:rPr>
      <w:t>David Nabena |</w:t>
    </w:r>
    <w:r>
      <w:rPr>
        <w:rFonts w:ascii="Garamond" w:hAnsi="Garamond"/>
        <w:i/>
        <w:color w:val="0D0D0D" w:themeColor="text1" w:themeTint="F2"/>
        <w:lang w:val="en-GB"/>
      </w:rPr>
      <w:t xml:space="preserve"> Economist |</w:t>
    </w:r>
    <w:r w:rsidR="005B4695">
      <w:rPr>
        <w:rFonts w:ascii="Garamond" w:hAnsi="Garamond"/>
        <w:i/>
        <w:color w:val="0D0D0D" w:themeColor="text1" w:themeTint="F2"/>
        <w:lang w:val="en-GB"/>
      </w:rPr>
      <w:t xml:space="preserve">Tel: 08188719234 </w:t>
    </w:r>
    <w:r w:rsidR="005B4695" w:rsidRPr="00B76193">
      <w:rPr>
        <w:rFonts w:ascii="Garamond" w:hAnsi="Garamond"/>
        <w:i/>
        <w:color w:val="0D0D0D" w:themeColor="text1" w:themeTint="F2"/>
        <w:lang w:val="en-GB"/>
      </w:rPr>
      <w:t xml:space="preserve">| Email: </w:t>
    </w:r>
    <w:hyperlink r:id="rId1" w:history="1">
      <w:r w:rsidR="005B4695" w:rsidRPr="00B76193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D008F" w:rsidRDefault="006F48F3">
      <w:pPr>
        <w:spacing w:after="0" w:line="240" w:lineRule="auto"/>
      </w:pPr>
      <w:r>
        <w:separator/>
      </w:r>
    </w:p>
  </w:footnote>
  <w:footnote w:type="continuationSeparator" w:id="0">
    <w:p w:rsidR="004D008F" w:rsidRDefault="006F48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7E09" w:rsidRDefault="005B4695" w:rsidP="00B87E09">
    <w:pPr>
      <w:pStyle w:val="Header"/>
      <w:ind w:left="2520" w:firstLine="4680"/>
    </w:pPr>
    <w:r w:rsidRPr="00B87E09">
      <w:rPr>
        <w:rFonts w:ascii="Calibri" w:eastAsia="Times New Roman" w:hAnsi="Calibri" w:cs="Times New Roman"/>
        <w:noProof/>
        <w:color w:val="000000"/>
      </w:rPr>
      <w:drawing>
        <wp:anchor distT="0" distB="0" distL="114300" distR="114300" simplePos="0" relativeHeight="251659264" behindDoc="0" locked="0" layoutInCell="1" allowOverlap="1" wp14:anchorId="0E53058D" wp14:editId="22089837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5" name="Picture 5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87E09" w:rsidRDefault="009E53AD" w:rsidP="00B87E09">
    <w:pPr>
      <w:pStyle w:val="Header"/>
      <w:ind w:left="2520" w:firstLine="4680"/>
    </w:pPr>
  </w:p>
  <w:p w:rsidR="00B87E09" w:rsidRDefault="009E53AD" w:rsidP="00B87E09">
    <w:pPr>
      <w:pStyle w:val="Header"/>
      <w:ind w:left="2520" w:firstLine="4680"/>
    </w:pPr>
  </w:p>
  <w:p w:rsidR="00B87E09" w:rsidRPr="00606492" w:rsidRDefault="005B4695" w:rsidP="00B87E09">
    <w:pPr>
      <w:pStyle w:val="Header"/>
      <w:ind w:left="2520"/>
      <w:jc w:val="right"/>
      <w:rPr>
        <w:rFonts w:ascii="Garamond" w:hAnsi="Garamond"/>
        <w:sz w:val="28"/>
        <w:szCs w:val="28"/>
      </w:rPr>
    </w:pPr>
    <w:r>
      <w:rPr>
        <w:rFonts w:ascii="Garamond" w:hAnsi="Garamond"/>
        <w:sz w:val="28"/>
        <w:szCs w:val="28"/>
      </w:rPr>
      <w:t>JULY</w:t>
    </w:r>
    <w:r w:rsidRPr="00606492">
      <w:rPr>
        <w:rFonts w:ascii="Garamond" w:hAnsi="Garamond"/>
        <w:sz w:val="28"/>
        <w:szCs w:val="28"/>
      </w:rPr>
      <w:t xml:space="preserve">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F427BA" w:rsidRDefault="005B4695" w:rsidP="009C2C9D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3EC42CFA" wp14:editId="06FE591A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6" name="Picture 6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2C9D" w:rsidRPr="00F427BA" w:rsidRDefault="009E53AD" w:rsidP="009C2C9D">
    <w:pPr>
      <w:pStyle w:val="Header"/>
      <w:ind w:left="2520" w:firstLine="4680"/>
      <w:rPr>
        <w:sz w:val="42"/>
        <w:szCs w:val="28"/>
      </w:rPr>
    </w:pPr>
  </w:p>
  <w:p w:rsidR="009C2C9D" w:rsidRPr="00F427BA" w:rsidRDefault="006F48F3" w:rsidP="009C2C9D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>JULY</w:t>
    </w:r>
    <w:r w:rsidR="005B4695">
      <w:rPr>
        <w:rFonts w:ascii="Garamond" w:hAnsi="Garamond"/>
        <w:color w:val="385623" w:themeColor="accent6" w:themeShade="80"/>
        <w:sz w:val="28"/>
        <w:szCs w:val="28"/>
      </w:rPr>
      <w:t xml:space="preserve"> </w:t>
    </w:r>
    <w:r w:rsidR="005B4695" w:rsidRPr="00F427BA">
      <w:rPr>
        <w:rFonts w:ascii="Garamond" w:hAnsi="Garamond"/>
        <w:color w:val="385623" w:themeColor="accent6" w:themeShade="80"/>
        <w:sz w:val="28"/>
        <w:szCs w:val="28"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832"/>
    <w:rsid w:val="001D2F49"/>
    <w:rsid w:val="00424832"/>
    <w:rsid w:val="00453084"/>
    <w:rsid w:val="004D008F"/>
    <w:rsid w:val="00517675"/>
    <w:rsid w:val="005B4695"/>
    <w:rsid w:val="00604A68"/>
    <w:rsid w:val="006F48F3"/>
    <w:rsid w:val="009E53AD"/>
    <w:rsid w:val="00D7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DE9BC"/>
  <w15:chartTrackingRefBased/>
  <w15:docId w15:val="{0912ED63-11D0-4FF5-B752-8762E65E5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48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48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4832"/>
  </w:style>
  <w:style w:type="character" w:styleId="Hyperlink">
    <w:name w:val="Hyperlink"/>
    <w:basedOn w:val="DefaultParagraphFont"/>
    <w:uiPriority w:val="99"/>
    <w:unhideWhenUsed/>
    <w:rsid w:val="0042483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2483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F48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8F3"/>
  </w:style>
  <w:style w:type="paragraph" w:styleId="BalloonText">
    <w:name w:val="Balloon Text"/>
    <w:basedOn w:val="Normal"/>
    <w:link w:val="BalloonTextChar"/>
    <w:uiPriority w:val="99"/>
    <w:semiHidden/>
    <w:unhideWhenUsed/>
    <w:rsid w:val="009E53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53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4</cp:revision>
  <cp:lastPrinted>2017-07-19T16:53:00Z</cp:lastPrinted>
  <dcterms:created xsi:type="dcterms:W3CDTF">2017-07-17T21:43:00Z</dcterms:created>
  <dcterms:modified xsi:type="dcterms:W3CDTF">2017-07-19T16:53:00Z</dcterms:modified>
</cp:coreProperties>
</file>