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02A5" w:rsidRPr="001F2CAC" w:rsidRDefault="000702A5" w:rsidP="000702A5">
      <w:pPr>
        <w:spacing w:line="276" w:lineRule="auto"/>
        <w:jc w:val="center"/>
        <w:rPr>
          <w:rFonts w:ascii="Garamond" w:hAnsi="Garamond"/>
          <w:b/>
          <w:sz w:val="14"/>
          <w:szCs w:val="24"/>
        </w:rPr>
      </w:pPr>
      <w:bookmarkStart w:id="0" w:name="_Hlk486358050"/>
    </w:p>
    <w:p w:rsidR="000702A5" w:rsidRPr="001F2CAC" w:rsidRDefault="000702A5" w:rsidP="000702A5">
      <w:pPr>
        <w:spacing w:line="276" w:lineRule="auto"/>
        <w:jc w:val="center"/>
        <w:rPr>
          <w:rFonts w:ascii="Garamond" w:hAnsi="Garamond"/>
          <w:b/>
          <w:sz w:val="24"/>
          <w:szCs w:val="24"/>
        </w:rPr>
      </w:pPr>
      <w:r>
        <w:rPr>
          <w:rFonts w:ascii="Garamond" w:hAnsi="Garamond"/>
          <w:b/>
          <w:sz w:val="24"/>
          <w:szCs w:val="24"/>
        </w:rPr>
        <w:t>YOBE</w:t>
      </w:r>
      <w:r w:rsidRPr="001F2CAC">
        <w:rPr>
          <w:rFonts w:ascii="Garamond" w:hAnsi="Garamond"/>
          <w:b/>
          <w:sz w:val="24"/>
          <w:szCs w:val="24"/>
        </w:rPr>
        <w:t xml:space="preserve"> STATE INTERNAL REVENUE SERVICE </w:t>
      </w:r>
    </w:p>
    <w:p w:rsidR="000702A5" w:rsidRPr="001F2CAC" w:rsidRDefault="000702A5" w:rsidP="000702A5">
      <w:pPr>
        <w:spacing w:line="276" w:lineRule="auto"/>
        <w:jc w:val="center"/>
        <w:rPr>
          <w:rFonts w:ascii="Garamond" w:hAnsi="Garamond"/>
          <w:sz w:val="24"/>
          <w:szCs w:val="24"/>
        </w:rPr>
      </w:pPr>
      <w:r w:rsidRPr="001F2CAC">
        <w:rPr>
          <w:rFonts w:ascii="Garamond" w:hAnsi="Garamond"/>
          <w:sz w:val="24"/>
          <w:szCs w:val="24"/>
        </w:rPr>
        <w:t>GOVERNOR’S SUMMARY</w:t>
      </w:r>
    </w:p>
    <w:p w:rsidR="000702A5" w:rsidRPr="001F2CAC" w:rsidRDefault="000702A5" w:rsidP="000702A5">
      <w:pPr>
        <w:spacing w:line="276" w:lineRule="auto"/>
        <w:jc w:val="center"/>
        <w:rPr>
          <w:rFonts w:ascii="Garamond" w:hAnsi="Garamond"/>
          <w:i/>
          <w:sz w:val="2"/>
          <w:szCs w:val="24"/>
        </w:rPr>
      </w:pPr>
    </w:p>
    <w:p w:rsidR="000702A5" w:rsidRPr="001F2CAC" w:rsidRDefault="000702A5" w:rsidP="000702A5">
      <w:pPr>
        <w:rPr>
          <w:rFonts w:ascii="Garamond" w:hAnsi="Garamond" w:cs="Times New Roman"/>
          <w:noProof/>
          <w:sz w:val="2"/>
          <w:szCs w:val="24"/>
        </w:rPr>
      </w:pPr>
      <w:r w:rsidRPr="001F2CAC">
        <w:rPr>
          <w:rFonts w:ascii="Garamond" w:hAnsi="Garamond"/>
          <w:noProof/>
          <w:sz w:val="24"/>
          <w:szCs w:val="24"/>
        </w:rPr>
        <w:drawing>
          <wp:anchor distT="0" distB="0" distL="114300" distR="114300" simplePos="0" relativeHeight="251661312" behindDoc="0" locked="0" layoutInCell="1" allowOverlap="1" wp14:anchorId="73DB91D2" wp14:editId="49760BDE">
            <wp:simplePos x="0" y="0"/>
            <wp:positionH relativeFrom="column">
              <wp:posOffset>76200</wp:posOffset>
            </wp:positionH>
            <wp:positionV relativeFrom="page">
              <wp:posOffset>2034540</wp:posOffset>
            </wp:positionV>
            <wp:extent cx="419100" cy="419100"/>
            <wp:effectExtent l="0" t="0" r="0" b="0"/>
            <wp:wrapSquare wrapText="bothSides"/>
            <wp:docPr id="15" name="Graphic 15" descr="Me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ownload?provider=MicrosoftIcon&amp;fileName=Medal.sv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419100" cy="419100"/>
                    </a:xfrm>
                    <a:prstGeom prst="rect">
                      <a:avLst/>
                    </a:prstGeom>
                  </pic:spPr>
                </pic:pic>
              </a:graphicData>
            </a:graphic>
            <wp14:sizeRelH relativeFrom="page">
              <wp14:pctWidth>0</wp14:pctWidth>
            </wp14:sizeRelH>
            <wp14:sizeRelV relativeFrom="page">
              <wp14:pctHeight>0</wp14:pctHeight>
            </wp14:sizeRelV>
          </wp:anchor>
        </w:drawing>
      </w:r>
    </w:p>
    <w:p w:rsidR="000702A5" w:rsidRPr="001F2CAC" w:rsidRDefault="000702A5" w:rsidP="000702A5">
      <w:pPr>
        <w:rPr>
          <w:rFonts w:ascii="Garamond" w:hAnsi="Garamond" w:cs="Times New Roman"/>
          <w:noProof/>
          <w:sz w:val="24"/>
          <w:szCs w:val="24"/>
        </w:rPr>
      </w:pPr>
      <w:r w:rsidRPr="002073EA">
        <w:rPr>
          <w:rFonts w:ascii="Garamond" w:hAnsi="Garamond" w:cs="Times New Roman"/>
          <w:b/>
          <w:noProof/>
          <w:sz w:val="24"/>
          <w:szCs w:val="24"/>
        </w:rPr>
        <w:t>Overall Tax Governance Score</w:t>
      </w:r>
      <w:r w:rsidRPr="001F2CAC">
        <w:rPr>
          <w:rFonts w:ascii="Garamond" w:hAnsi="Garamond" w:cs="Times New Roman"/>
          <w:noProof/>
          <w:sz w:val="24"/>
          <w:szCs w:val="24"/>
        </w:rPr>
        <w:t>:</w:t>
      </w:r>
      <w:r>
        <w:rPr>
          <w:rFonts w:ascii="Garamond" w:hAnsi="Garamond"/>
          <w:sz w:val="24"/>
          <w:szCs w:val="24"/>
        </w:rPr>
        <w:t xml:space="preserve"> 56</w:t>
      </w:r>
      <w:r w:rsidRPr="001F2CAC">
        <w:rPr>
          <w:rFonts w:ascii="Garamond" w:hAnsi="Garamond"/>
          <w:sz w:val="24"/>
          <w:szCs w:val="24"/>
        </w:rPr>
        <w:t>.</w:t>
      </w:r>
      <w:r>
        <w:rPr>
          <w:rFonts w:ascii="Garamond" w:hAnsi="Garamond"/>
          <w:sz w:val="24"/>
          <w:szCs w:val="24"/>
        </w:rPr>
        <w:t>23</w:t>
      </w:r>
      <w:r w:rsidRPr="001F2CAC">
        <w:rPr>
          <w:rFonts w:ascii="Garamond" w:hAnsi="Garamond"/>
          <w:sz w:val="24"/>
          <w:szCs w:val="24"/>
        </w:rPr>
        <w:t xml:space="preserve"> percent</w:t>
      </w:r>
    </w:p>
    <w:p w:rsidR="000702A5" w:rsidRPr="001F2CAC" w:rsidRDefault="000702A5" w:rsidP="000702A5">
      <w:pPr>
        <w:rPr>
          <w:rFonts w:ascii="Garamond" w:hAnsi="Garamond" w:cs="Times New Roman"/>
          <w:noProof/>
          <w:sz w:val="24"/>
          <w:szCs w:val="24"/>
        </w:rPr>
      </w:pPr>
      <w:r w:rsidRPr="001F2CAC">
        <w:rPr>
          <w:rFonts w:ascii="Garamond" w:hAnsi="Garamond" w:cs="Times New Roman"/>
          <w:noProof/>
          <w:sz w:val="24"/>
          <w:szCs w:val="24"/>
        </w:rPr>
        <w:drawing>
          <wp:anchor distT="0" distB="0" distL="114300" distR="114300" simplePos="0" relativeHeight="251659264" behindDoc="1" locked="0" layoutInCell="1" allowOverlap="1" wp14:anchorId="50B210C0" wp14:editId="5A396C11">
            <wp:simplePos x="0" y="0"/>
            <wp:positionH relativeFrom="column">
              <wp:posOffset>106680</wp:posOffset>
            </wp:positionH>
            <wp:positionV relativeFrom="paragraph">
              <wp:posOffset>186055</wp:posOffset>
            </wp:positionV>
            <wp:extent cx="419100" cy="419100"/>
            <wp:effectExtent l="0" t="0" r="0" b="0"/>
            <wp:wrapTight wrapText="bothSides">
              <wp:wrapPolygon edited="0">
                <wp:start x="1964" y="1964"/>
                <wp:lineTo x="0" y="18655"/>
                <wp:lineTo x="9818" y="18655"/>
                <wp:lineTo x="18655" y="16691"/>
                <wp:lineTo x="20618" y="14727"/>
                <wp:lineTo x="20618" y="1964"/>
                <wp:lineTo x="1964" y="1964"/>
              </wp:wrapPolygon>
            </wp:wrapTight>
            <wp:docPr id="16" name="Graphic 16" descr="Tea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ownload?provider=MicrosoftIcon&amp;fileName=Teacher.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19100" cy="419100"/>
                    </a:xfrm>
                    <a:prstGeom prst="rect">
                      <a:avLst/>
                    </a:prstGeom>
                  </pic:spPr>
                </pic:pic>
              </a:graphicData>
            </a:graphic>
            <wp14:sizeRelH relativeFrom="page">
              <wp14:pctWidth>0</wp14:pctWidth>
            </wp14:sizeRelH>
            <wp14:sizeRelV relativeFrom="page">
              <wp14:pctHeight>0</wp14:pctHeight>
            </wp14:sizeRelV>
          </wp:anchor>
        </w:drawing>
      </w:r>
    </w:p>
    <w:p w:rsidR="000702A5" w:rsidRPr="002073EA" w:rsidRDefault="000702A5" w:rsidP="000702A5">
      <w:pPr>
        <w:spacing w:line="360" w:lineRule="auto"/>
        <w:jc w:val="both"/>
        <w:rPr>
          <w:rFonts w:ascii="Garamond" w:hAnsi="Garamond"/>
          <w:b/>
          <w:sz w:val="24"/>
          <w:szCs w:val="24"/>
        </w:rPr>
      </w:pPr>
      <w:r w:rsidRPr="002073EA">
        <w:rPr>
          <w:rFonts w:ascii="Garamond" w:hAnsi="Garamond" w:cs="Times New Roman"/>
          <w:b/>
          <w:noProof/>
          <w:sz w:val="24"/>
          <w:szCs w:val="24"/>
        </w:rPr>
        <w:t xml:space="preserve">Key Highlights </w:t>
      </w:r>
    </w:p>
    <w:p w:rsidR="000702A5" w:rsidRDefault="000702A5" w:rsidP="000702A5">
      <w:pPr>
        <w:pStyle w:val="ListParagraph"/>
        <w:numPr>
          <w:ilvl w:val="0"/>
          <w:numId w:val="1"/>
        </w:numPr>
        <w:spacing w:line="360" w:lineRule="auto"/>
        <w:jc w:val="both"/>
        <w:rPr>
          <w:rFonts w:ascii="Garamond" w:hAnsi="Garamond"/>
          <w:sz w:val="24"/>
          <w:szCs w:val="24"/>
        </w:rPr>
      </w:pPr>
      <w:r w:rsidRPr="001F2CAC">
        <w:rPr>
          <w:rFonts w:ascii="Garamond" w:hAnsi="Garamond"/>
          <w:sz w:val="24"/>
          <w:szCs w:val="24"/>
        </w:rPr>
        <w:t>Commendable practices were recorded in areas</w:t>
      </w:r>
      <w:r>
        <w:rPr>
          <w:rFonts w:ascii="Garamond" w:hAnsi="Garamond"/>
          <w:sz w:val="24"/>
          <w:szCs w:val="24"/>
        </w:rPr>
        <w:t xml:space="preserve"> such as</w:t>
      </w:r>
      <w:r w:rsidRPr="001F2CAC">
        <w:rPr>
          <w:rFonts w:ascii="Garamond" w:hAnsi="Garamond"/>
          <w:sz w:val="24"/>
          <w:szCs w:val="24"/>
        </w:rPr>
        <w:t xml:space="preserve"> </w:t>
      </w:r>
      <w:r>
        <w:rPr>
          <w:rFonts w:ascii="Garamond" w:hAnsi="Garamond"/>
          <w:sz w:val="24"/>
          <w:szCs w:val="24"/>
        </w:rPr>
        <w:t xml:space="preserve">the maintenance of a taxpayer database for the informal </w:t>
      </w:r>
      <w:r w:rsidRPr="002B0DFE">
        <w:rPr>
          <w:rFonts w:ascii="Garamond" w:hAnsi="Garamond"/>
          <w:sz w:val="24"/>
          <w:szCs w:val="24"/>
        </w:rPr>
        <w:t xml:space="preserve">sector and the </w:t>
      </w:r>
      <w:r w:rsidR="002B0DFE" w:rsidRPr="002B0DFE">
        <w:rPr>
          <w:rFonts w:ascii="Garamond" w:hAnsi="Garamond"/>
          <w:sz w:val="24"/>
          <w:szCs w:val="24"/>
        </w:rPr>
        <w:t xml:space="preserve">promotion of tax awareness </w:t>
      </w:r>
      <w:r w:rsidR="002C7FAF">
        <w:rPr>
          <w:rFonts w:ascii="Garamond" w:hAnsi="Garamond"/>
          <w:sz w:val="24"/>
          <w:szCs w:val="24"/>
        </w:rPr>
        <w:t>campaigns.</w:t>
      </w:r>
    </w:p>
    <w:p w:rsidR="009431EE" w:rsidRDefault="000702A5" w:rsidP="000702A5">
      <w:pPr>
        <w:pStyle w:val="ListParagraph"/>
        <w:numPr>
          <w:ilvl w:val="0"/>
          <w:numId w:val="1"/>
        </w:numPr>
        <w:spacing w:line="360" w:lineRule="auto"/>
        <w:jc w:val="both"/>
        <w:rPr>
          <w:rFonts w:ascii="Garamond" w:hAnsi="Garamond"/>
          <w:sz w:val="24"/>
          <w:szCs w:val="24"/>
        </w:rPr>
      </w:pPr>
      <w:r w:rsidRPr="001F2CAC">
        <w:rPr>
          <w:rFonts w:ascii="Garamond" w:hAnsi="Garamond"/>
          <w:sz w:val="24"/>
          <w:szCs w:val="24"/>
        </w:rPr>
        <w:t>Challenges were identified in the</w:t>
      </w:r>
      <w:r>
        <w:rPr>
          <w:rFonts w:ascii="Garamond" w:hAnsi="Garamond"/>
          <w:sz w:val="24"/>
          <w:szCs w:val="24"/>
        </w:rPr>
        <w:t xml:space="preserve"> Board’s semi-autonomous status, which has impacted overall tax administration, including the capacity of the Service</w:t>
      </w:r>
      <w:r w:rsidRPr="001F2CAC">
        <w:rPr>
          <w:rFonts w:ascii="Garamond" w:hAnsi="Garamond"/>
          <w:sz w:val="24"/>
          <w:szCs w:val="24"/>
        </w:rPr>
        <w:t xml:space="preserve"> </w:t>
      </w:r>
      <w:r>
        <w:rPr>
          <w:rFonts w:ascii="Garamond" w:hAnsi="Garamond"/>
          <w:sz w:val="24"/>
          <w:szCs w:val="24"/>
        </w:rPr>
        <w:t xml:space="preserve">to recruit additional competent staff and acquire </w:t>
      </w:r>
      <w:r w:rsidR="009431EE">
        <w:rPr>
          <w:rFonts w:ascii="Garamond" w:hAnsi="Garamond"/>
          <w:sz w:val="24"/>
          <w:szCs w:val="24"/>
        </w:rPr>
        <w:t>modern</w:t>
      </w:r>
      <w:r>
        <w:rPr>
          <w:rFonts w:ascii="Garamond" w:hAnsi="Garamond"/>
          <w:sz w:val="24"/>
          <w:szCs w:val="24"/>
        </w:rPr>
        <w:t xml:space="preserve"> technologies required to strengthen tax</w:t>
      </w:r>
      <w:r w:rsidR="009431EE">
        <w:rPr>
          <w:rFonts w:ascii="Garamond" w:hAnsi="Garamond"/>
          <w:sz w:val="24"/>
          <w:szCs w:val="24"/>
        </w:rPr>
        <w:t xml:space="preserve"> administration and processing.</w:t>
      </w:r>
    </w:p>
    <w:p w:rsidR="000702A5" w:rsidRDefault="000702A5" w:rsidP="000702A5">
      <w:pPr>
        <w:pStyle w:val="ListParagraph"/>
        <w:numPr>
          <w:ilvl w:val="0"/>
          <w:numId w:val="1"/>
        </w:numPr>
        <w:spacing w:line="360" w:lineRule="auto"/>
        <w:jc w:val="both"/>
        <w:rPr>
          <w:rFonts w:ascii="Garamond" w:hAnsi="Garamond"/>
          <w:sz w:val="24"/>
          <w:szCs w:val="24"/>
        </w:rPr>
      </w:pPr>
      <w:r>
        <w:rPr>
          <w:rFonts w:ascii="Garamond" w:hAnsi="Garamond"/>
          <w:sz w:val="24"/>
          <w:szCs w:val="24"/>
        </w:rPr>
        <w:t xml:space="preserve">The State also has limited number of tax offices – only 6 </w:t>
      </w:r>
      <w:r w:rsidR="009431EE">
        <w:rPr>
          <w:rFonts w:ascii="Garamond" w:hAnsi="Garamond"/>
          <w:sz w:val="24"/>
          <w:szCs w:val="24"/>
        </w:rPr>
        <w:t>serving the</w:t>
      </w:r>
      <w:r>
        <w:rPr>
          <w:rFonts w:ascii="Garamond" w:hAnsi="Garamond"/>
          <w:sz w:val="24"/>
          <w:szCs w:val="24"/>
        </w:rPr>
        <w:t xml:space="preserve"> 17 local government areas.</w:t>
      </w:r>
      <w:r w:rsidR="002C7FAF">
        <w:rPr>
          <w:rFonts w:ascii="Garamond" w:hAnsi="Garamond"/>
          <w:sz w:val="24"/>
          <w:szCs w:val="24"/>
        </w:rPr>
        <w:t xml:space="preserve"> The effect of this has been weaknesses in both tax engagement and enforcement across local governments without field offices.</w:t>
      </w:r>
    </w:p>
    <w:p w:rsidR="000702A5" w:rsidRPr="009431EE" w:rsidRDefault="000702A5" w:rsidP="000702A5">
      <w:pPr>
        <w:pStyle w:val="ListParagraph"/>
        <w:spacing w:line="360" w:lineRule="auto"/>
        <w:jc w:val="both"/>
        <w:rPr>
          <w:rFonts w:ascii="Garamond" w:hAnsi="Garamond"/>
          <w:sz w:val="14"/>
          <w:szCs w:val="24"/>
        </w:rPr>
      </w:pPr>
    </w:p>
    <w:tbl>
      <w:tblPr>
        <w:tblW w:w="9193" w:type="dxa"/>
        <w:jc w:val="center"/>
        <w:tblLook w:val="04A0" w:firstRow="1" w:lastRow="0" w:firstColumn="1" w:lastColumn="0" w:noHBand="0" w:noVBand="1"/>
      </w:tblPr>
      <w:tblGrid>
        <w:gridCol w:w="7015"/>
        <w:gridCol w:w="2178"/>
      </w:tblGrid>
      <w:tr w:rsidR="000702A5" w:rsidRPr="00F427BA" w:rsidTr="001E3C23">
        <w:trPr>
          <w:trHeight w:val="233"/>
          <w:jc w:val="center"/>
        </w:trPr>
        <w:tc>
          <w:tcPr>
            <w:tcW w:w="7015" w:type="dxa"/>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bottom"/>
            <w:hideMark/>
          </w:tcPr>
          <w:p w:rsidR="000702A5" w:rsidRPr="00F427BA" w:rsidRDefault="000702A5" w:rsidP="001E3C23">
            <w:pPr>
              <w:spacing w:after="0" w:line="240" w:lineRule="auto"/>
              <w:rPr>
                <w:rFonts w:ascii="Garamond" w:eastAsia="Times New Roman" w:hAnsi="Garamond" w:cs="Times New Roman"/>
                <w:color w:val="000000"/>
                <w:sz w:val="23"/>
                <w:szCs w:val="23"/>
              </w:rPr>
            </w:pPr>
            <w:r w:rsidRPr="00F427BA">
              <w:rPr>
                <w:rFonts w:ascii="Garamond" w:eastAsia="Times New Roman" w:hAnsi="Garamond" w:cs="Times New Roman"/>
                <w:color w:val="000000"/>
                <w:sz w:val="23"/>
                <w:szCs w:val="23"/>
              </w:rPr>
              <w:t>ASSESSMENT AREAS</w:t>
            </w:r>
          </w:p>
        </w:tc>
        <w:tc>
          <w:tcPr>
            <w:tcW w:w="2178" w:type="dxa"/>
            <w:tcBorders>
              <w:top w:val="single" w:sz="4" w:space="0" w:color="808080"/>
              <w:left w:val="nil"/>
              <w:bottom w:val="single" w:sz="4" w:space="0" w:color="808080"/>
              <w:right w:val="single" w:sz="4" w:space="0" w:color="808080"/>
            </w:tcBorders>
            <w:shd w:val="clear" w:color="auto" w:fill="BFBFBF" w:themeFill="background1" w:themeFillShade="BF"/>
            <w:noWrap/>
            <w:vAlign w:val="bottom"/>
            <w:hideMark/>
          </w:tcPr>
          <w:p w:rsidR="000702A5" w:rsidRPr="00F427BA" w:rsidRDefault="000702A5" w:rsidP="001E3C23">
            <w:pPr>
              <w:spacing w:after="0" w:line="240" w:lineRule="auto"/>
              <w:jc w:val="center"/>
              <w:rPr>
                <w:rFonts w:ascii="Garamond" w:eastAsia="Times New Roman" w:hAnsi="Garamond" w:cs="Times New Roman"/>
                <w:color w:val="000000"/>
                <w:sz w:val="23"/>
                <w:szCs w:val="23"/>
              </w:rPr>
            </w:pPr>
            <w:r w:rsidRPr="00F427BA">
              <w:rPr>
                <w:rFonts w:ascii="Garamond" w:eastAsia="Times New Roman" w:hAnsi="Garamond" w:cs="Times New Roman"/>
                <w:color w:val="000000"/>
                <w:sz w:val="23"/>
                <w:szCs w:val="23"/>
              </w:rPr>
              <w:t>Q1, 2017</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2F2F2"/>
            <w:vAlign w:val="center"/>
            <w:hideMark/>
          </w:tcPr>
          <w:p w:rsidR="000702A5" w:rsidRPr="00F427BA" w:rsidRDefault="000702A5" w:rsidP="001E3C23">
            <w:pPr>
              <w:spacing w:after="0" w:line="240" w:lineRule="auto"/>
              <w:rPr>
                <w:rFonts w:ascii="Garamond" w:eastAsia="Times New Roman" w:hAnsi="Garamond" w:cs="Times New Roman"/>
                <w:b/>
                <w:bCs/>
                <w:sz w:val="23"/>
                <w:szCs w:val="23"/>
              </w:rPr>
            </w:pPr>
            <w:r w:rsidRPr="00F427BA">
              <w:rPr>
                <w:rFonts w:ascii="Garamond" w:eastAsia="Times New Roman" w:hAnsi="Garamond" w:cs="Times New Roman"/>
                <w:b/>
                <w:bCs/>
                <w:sz w:val="23"/>
                <w:szCs w:val="23"/>
              </w:rPr>
              <w:t>Overall Tax Performance</w:t>
            </w:r>
          </w:p>
        </w:tc>
        <w:tc>
          <w:tcPr>
            <w:tcW w:w="2178" w:type="dxa"/>
            <w:tcBorders>
              <w:top w:val="nil"/>
              <w:left w:val="nil"/>
              <w:bottom w:val="single" w:sz="4" w:space="0" w:color="808080"/>
              <w:right w:val="single" w:sz="4" w:space="0" w:color="808080"/>
            </w:tcBorders>
            <w:shd w:val="clear" w:color="000000" w:fill="F2F2F2"/>
            <w:vAlign w:val="center"/>
            <w:hideMark/>
          </w:tcPr>
          <w:p w:rsidR="000702A5" w:rsidRPr="00F427BA" w:rsidRDefault="000702A5" w:rsidP="001E3C23">
            <w:pPr>
              <w:spacing w:after="0" w:line="240" w:lineRule="auto"/>
              <w:jc w:val="center"/>
              <w:rPr>
                <w:rFonts w:ascii="Garamond" w:eastAsia="Times New Roman" w:hAnsi="Garamond" w:cs="Times New Roman"/>
                <w:b/>
                <w:bCs/>
                <w:color w:val="000000"/>
                <w:sz w:val="23"/>
                <w:szCs w:val="23"/>
              </w:rPr>
            </w:pPr>
            <w:r>
              <w:rPr>
                <w:rFonts w:ascii="Garamond" w:eastAsia="Times New Roman" w:hAnsi="Garamond" w:cs="Times New Roman"/>
                <w:b/>
                <w:bCs/>
                <w:color w:val="000000"/>
                <w:sz w:val="23"/>
                <w:szCs w:val="23"/>
              </w:rPr>
              <w:t>56.23</w:t>
            </w:r>
          </w:p>
        </w:tc>
      </w:tr>
      <w:tr w:rsidR="000702A5" w:rsidRPr="00F427BA" w:rsidTr="001E3C23">
        <w:trPr>
          <w:trHeight w:val="178"/>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rPr>
                <w:rFonts w:ascii="Garamond" w:eastAsia="Times New Roman" w:hAnsi="Garamond" w:cs="Times New Roman"/>
                <w:b/>
                <w:bCs/>
                <w:color w:val="993300"/>
                <w:sz w:val="23"/>
                <w:szCs w:val="23"/>
              </w:rPr>
            </w:pPr>
          </w:p>
        </w:tc>
        <w:tc>
          <w:tcPr>
            <w:tcW w:w="2178" w:type="dxa"/>
            <w:tcBorders>
              <w:top w:val="nil"/>
              <w:left w:val="nil"/>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jc w:val="center"/>
              <w:rPr>
                <w:rFonts w:ascii="Garamond" w:eastAsia="Times New Roman" w:hAnsi="Garamond" w:cs="Times New Roman"/>
                <w:b/>
                <w:bCs/>
                <w:color w:val="000000"/>
                <w:sz w:val="23"/>
                <w:szCs w:val="23"/>
              </w:rPr>
            </w:pP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b/>
                <w:bCs/>
                <w:color w:val="993300"/>
                <w:sz w:val="23"/>
                <w:szCs w:val="23"/>
              </w:rPr>
            </w:pPr>
            <w:r w:rsidRPr="00F427BA">
              <w:rPr>
                <w:rFonts w:ascii="Garamond" w:eastAsia="Times New Roman" w:hAnsi="Garamond" w:cs="Times New Roman"/>
                <w:b/>
                <w:bCs/>
                <w:color w:val="993300"/>
                <w:sz w:val="23"/>
                <w:szCs w:val="23"/>
              </w:rPr>
              <w:t>Tax Administration</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
                <w:color w:val="993300"/>
                <w:sz w:val="23"/>
                <w:szCs w:val="23"/>
              </w:rPr>
            </w:pPr>
            <w:r>
              <w:rPr>
                <w:rFonts w:ascii="Garamond" w:eastAsia="Times New Roman" w:hAnsi="Garamond" w:cs="Times New Roman"/>
                <w:b/>
                <w:color w:val="993300"/>
                <w:sz w:val="23"/>
                <w:szCs w:val="23"/>
              </w:rPr>
              <w:t>68.91</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993300"/>
                <w:sz w:val="23"/>
                <w:szCs w:val="23"/>
              </w:rPr>
            </w:pPr>
            <w:proofErr w:type="spellStart"/>
            <w:r w:rsidRPr="00F427BA">
              <w:rPr>
                <w:rFonts w:ascii="Garamond" w:eastAsia="Times New Roman" w:hAnsi="Garamond" w:cs="Times New Roman"/>
                <w:color w:val="993300"/>
                <w:sz w:val="23"/>
                <w:szCs w:val="23"/>
              </w:rPr>
              <w:t>Organisational</w:t>
            </w:r>
            <w:proofErr w:type="spellEnd"/>
            <w:r w:rsidRPr="00F427BA">
              <w:rPr>
                <w:rFonts w:ascii="Garamond" w:eastAsia="Times New Roman" w:hAnsi="Garamond" w:cs="Times New Roman"/>
                <w:color w:val="993300"/>
                <w:sz w:val="23"/>
                <w:szCs w:val="23"/>
              </w:rPr>
              <w:t xml:space="preserve"> and institutional arrangements</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color w:val="993300"/>
                <w:sz w:val="23"/>
                <w:szCs w:val="23"/>
              </w:rPr>
            </w:pPr>
            <w:r>
              <w:rPr>
                <w:rFonts w:ascii="Garamond" w:eastAsia="Times New Roman" w:hAnsi="Garamond" w:cs="Times New Roman"/>
                <w:color w:val="993300"/>
                <w:sz w:val="23"/>
                <w:szCs w:val="23"/>
              </w:rPr>
              <w:t>56</w:t>
            </w:r>
            <w:r w:rsidRPr="00F427BA">
              <w:rPr>
                <w:rFonts w:ascii="Garamond" w:eastAsia="Times New Roman" w:hAnsi="Garamond" w:cs="Times New Roman"/>
                <w:color w:val="993300"/>
                <w:sz w:val="23"/>
                <w:szCs w:val="23"/>
              </w:rPr>
              <w:t>.</w:t>
            </w:r>
            <w:r>
              <w:rPr>
                <w:rFonts w:ascii="Garamond" w:eastAsia="Times New Roman" w:hAnsi="Garamond" w:cs="Times New Roman"/>
                <w:color w:val="993300"/>
                <w:sz w:val="23"/>
                <w:szCs w:val="23"/>
              </w:rPr>
              <w:t>34</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993300"/>
                <w:sz w:val="23"/>
                <w:szCs w:val="23"/>
              </w:rPr>
            </w:pPr>
            <w:r w:rsidRPr="00F427BA">
              <w:rPr>
                <w:rFonts w:ascii="Garamond" w:eastAsia="Times New Roman" w:hAnsi="Garamond" w:cs="Times New Roman"/>
                <w:color w:val="993300"/>
                <w:sz w:val="23"/>
                <w:szCs w:val="23"/>
              </w:rPr>
              <w:t>Availability and sufficiency of IRS budget</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color w:val="993300"/>
                <w:sz w:val="23"/>
                <w:szCs w:val="23"/>
              </w:rPr>
            </w:pPr>
            <w:r>
              <w:rPr>
                <w:rFonts w:ascii="Garamond" w:eastAsia="Times New Roman" w:hAnsi="Garamond" w:cs="Times New Roman"/>
                <w:color w:val="993300"/>
                <w:sz w:val="23"/>
                <w:szCs w:val="23"/>
              </w:rPr>
              <w:t>65.92</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993300"/>
                <w:sz w:val="23"/>
                <w:szCs w:val="23"/>
              </w:rPr>
            </w:pPr>
            <w:r w:rsidRPr="00F427BA">
              <w:rPr>
                <w:rFonts w:ascii="Garamond" w:eastAsia="Times New Roman" w:hAnsi="Garamond" w:cs="Times New Roman"/>
                <w:color w:val="993300"/>
                <w:sz w:val="23"/>
                <w:szCs w:val="23"/>
              </w:rPr>
              <w:t>Salary incentives, IRS Staff skills and training levels</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color w:val="993300"/>
                <w:sz w:val="23"/>
                <w:szCs w:val="23"/>
              </w:rPr>
            </w:pPr>
            <w:r>
              <w:rPr>
                <w:rFonts w:ascii="Garamond" w:eastAsia="Times New Roman" w:hAnsi="Garamond" w:cs="Times New Roman"/>
                <w:color w:val="993300"/>
                <w:sz w:val="23"/>
                <w:szCs w:val="23"/>
              </w:rPr>
              <w:t>58.13</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993300"/>
                <w:sz w:val="23"/>
                <w:szCs w:val="23"/>
              </w:rPr>
            </w:pPr>
            <w:r w:rsidRPr="00F427BA">
              <w:rPr>
                <w:rFonts w:ascii="Garamond" w:eastAsia="Times New Roman" w:hAnsi="Garamond" w:cs="Times New Roman"/>
                <w:color w:val="993300"/>
                <w:sz w:val="23"/>
                <w:szCs w:val="23"/>
              </w:rPr>
              <w:t>SBIRS outreach in districts (no. of tax offices)</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color w:val="993300"/>
                <w:sz w:val="23"/>
                <w:szCs w:val="23"/>
              </w:rPr>
            </w:pPr>
            <w:r>
              <w:rPr>
                <w:rFonts w:ascii="Garamond" w:eastAsia="Times New Roman" w:hAnsi="Garamond" w:cs="Times New Roman"/>
                <w:color w:val="993300"/>
                <w:sz w:val="23"/>
                <w:szCs w:val="23"/>
              </w:rPr>
              <w:t>95</w:t>
            </w:r>
            <w:r w:rsidRPr="00F427BA">
              <w:rPr>
                <w:rFonts w:ascii="Garamond" w:eastAsia="Times New Roman" w:hAnsi="Garamond" w:cs="Times New Roman"/>
                <w:color w:val="993300"/>
                <w:sz w:val="23"/>
                <w:szCs w:val="23"/>
              </w:rPr>
              <w:t>.</w:t>
            </w:r>
            <w:r>
              <w:rPr>
                <w:rFonts w:ascii="Garamond" w:eastAsia="Times New Roman" w:hAnsi="Garamond" w:cs="Times New Roman"/>
                <w:color w:val="993300"/>
                <w:sz w:val="23"/>
                <w:szCs w:val="23"/>
              </w:rPr>
              <w:t>24</w:t>
            </w:r>
          </w:p>
        </w:tc>
      </w:tr>
      <w:tr w:rsidR="000702A5" w:rsidRPr="00F427BA" w:rsidTr="001E3C23">
        <w:trPr>
          <w:trHeight w:val="119"/>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rPr>
                <w:rFonts w:ascii="Garamond" w:eastAsia="Times New Roman" w:hAnsi="Garamond" w:cs="Times New Roman"/>
                <w:color w:val="993300"/>
                <w:sz w:val="23"/>
                <w:szCs w:val="23"/>
              </w:rPr>
            </w:pPr>
          </w:p>
        </w:tc>
        <w:tc>
          <w:tcPr>
            <w:tcW w:w="2178" w:type="dxa"/>
            <w:tcBorders>
              <w:top w:val="nil"/>
              <w:left w:val="nil"/>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jc w:val="center"/>
              <w:rPr>
                <w:rFonts w:ascii="Garamond" w:eastAsia="Times New Roman" w:hAnsi="Garamond" w:cs="Times New Roman"/>
                <w:color w:val="000000"/>
                <w:sz w:val="23"/>
                <w:szCs w:val="23"/>
              </w:rPr>
            </w:pP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b/>
                <w:bCs/>
                <w:color w:val="FF0000"/>
                <w:sz w:val="23"/>
                <w:szCs w:val="23"/>
              </w:rPr>
            </w:pPr>
            <w:r w:rsidRPr="00F427BA">
              <w:rPr>
                <w:rFonts w:ascii="Garamond" w:eastAsia="Times New Roman" w:hAnsi="Garamond" w:cs="Times New Roman"/>
                <w:b/>
                <w:bCs/>
                <w:color w:val="FF0000"/>
                <w:sz w:val="23"/>
                <w:szCs w:val="23"/>
              </w:rPr>
              <w:t>Tax Procedures (registration, filling, assessment and payment)</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
                <w:bCs/>
                <w:color w:val="FF0000"/>
                <w:sz w:val="23"/>
                <w:szCs w:val="23"/>
              </w:rPr>
            </w:pPr>
            <w:r>
              <w:rPr>
                <w:rFonts w:ascii="Garamond" w:eastAsia="Times New Roman" w:hAnsi="Garamond" w:cs="Times New Roman"/>
                <w:b/>
                <w:bCs/>
                <w:color w:val="FF0000"/>
                <w:sz w:val="23"/>
                <w:szCs w:val="23"/>
              </w:rPr>
              <w:t>43.31</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FF0000"/>
                <w:sz w:val="23"/>
                <w:szCs w:val="23"/>
              </w:rPr>
            </w:pPr>
            <w:r w:rsidRPr="00F427BA">
              <w:rPr>
                <w:rFonts w:ascii="Garamond" w:eastAsia="Times New Roman" w:hAnsi="Garamond" w:cs="Times New Roman"/>
                <w:color w:val="FF0000"/>
                <w:sz w:val="23"/>
                <w:szCs w:val="23"/>
              </w:rPr>
              <w:t>Tax registration using Unified Tax Identification Number (TIN)</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FF0000"/>
                <w:sz w:val="23"/>
                <w:szCs w:val="23"/>
              </w:rPr>
            </w:pPr>
            <w:r>
              <w:rPr>
                <w:rFonts w:ascii="Garamond" w:eastAsia="Times New Roman" w:hAnsi="Garamond" w:cs="Times New Roman"/>
                <w:bCs/>
                <w:color w:val="FF0000"/>
                <w:sz w:val="23"/>
                <w:szCs w:val="23"/>
              </w:rPr>
              <w:t>44.13</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auto" w:fill="auto"/>
            <w:vAlign w:val="center"/>
            <w:hideMark/>
          </w:tcPr>
          <w:p w:rsidR="000702A5" w:rsidRPr="00F427BA" w:rsidRDefault="000702A5" w:rsidP="001E3C23">
            <w:pPr>
              <w:spacing w:after="0" w:line="240" w:lineRule="auto"/>
              <w:rPr>
                <w:rFonts w:ascii="Garamond" w:eastAsia="Times New Roman" w:hAnsi="Garamond" w:cs="Times New Roman"/>
                <w:color w:val="FF0000"/>
                <w:sz w:val="23"/>
                <w:szCs w:val="23"/>
              </w:rPr>
            </w:pPr>
            <w:r w:rsidRPr="00F427BA">
              <w:rPr>
                <w:rFonts w:ascii="Garamond" w:eastAsia="Times New Roman" w:hAnsi="Garamond" w:cs="Times New Roman"/>
                <w:color w:val="FF0000"/>
                <w:sz w:val="23"/>
                <w:szCs w:val="23"/>
              </w:rPr>
              <w:t>Efficiency of tax collection (best of judgement vs self- assessment)</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FF0000"/>
                <w:sz w:val="23"/>
                <w:szCs w:val="23"/>
              </w:rPr>
            </w:pPr>
            <w:r>
              <w:rPr>
                <w:rFonts w:ascii="Garamond" w:eastAsia="Times New Roman" w:hAnsi="Garamond" w:cs="Times New Roman"/>
                <w:bCs/>
                <w:color w:val="FF0000"/>
                <w:sz w:val="23"/>
                <w:szCs w:val="23"/>
              </w:rPr>
              <w:t>42.50</w:t>
            </w:r>
          </w:p>
        </w:tc>
      </w:tr>
      <w:tr w:rsidR="000702A5" w:rsidRPr="00F427BA" w:rsidTr="001E3C23">
        <w:trPr>
          <w:trHeight w:val="161"/>
          <w:jc w:val="center"/>
        </w:trPr>
        <w:tc>
          <w:tcPr>
            <w:tcW w:w="7015" w:type="dxa"/>
            <w:tcBorders>
              <w:top w:val="nil"/>
              <w:left w:val="single" w:sz="4" w:space="0" w:color="808080"/>
              <w:bottom w:val="single" w:sz="4" w:space="0" w:color="808080"/>
              <w:right w:val="single" w:sz="4" w:space="0" w:color="808080"/>
            </w:tcBorders>
            <w:shd w:val="clear" w:color="auto" w:fill="auto"/>
            <w:vAlign w:val="center"/>
          </w:tcPr>
          <w:p w:rsidR="000702A5" w:rsidRPr="00F427BA" w:rsidRDefault="000702A5" w:rsidP="001E3C23">
            <w:pPr>
              <w:spacing w:after="0" w:line="240" w:lineRule="auto"/>
              <w:rPr>
                <w:rFonts w:ascii="Garamond" w:eastAsia="Times New Roman" w:hAnsi="Garamond" w:cs="Times New Roman"/>
                <w:color w:val="FF0000"/>
                <w:sz w:val="23"/>
                <w:szCs w:val="23"/>
              </w:rPr>
            </w:pPr>
          </w:p>
        </w:tc>
        <w:tc>
          <w:tcPr>
            <w:tcW w:w="2178" w:type="dxa"/>
            <w:tcBorders>
              <w:top w:val="nil"/>
              <w:left w:val="nil"/>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jc w:val="center"/>
              <w:rPr>
                <w:rFonts w:ascii="Garamond" w:eastAsia="Times New Roman" w:hAnsi="Garamond" w:cs="Times New Roman"/>
                <w:color w:val="000000"/>
                <w:sz w:val="23"/>
                <w:szCs w:val="23"/>
              </w:rPr>
            </w:pP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b/>
                <w:bCs/>
                <w:color w:val="006666"/>
                <w:sz w:val="23"/>
                <w:szCs w:val="23"/>
              </w:rPr>
            </w:pPr>
            <w:r w:rsidRPr="00F427BA">
              <w:rPr>
                <w:rFonts w:ascii="Garamond" w:eastAsia="Times New Roman" w:hAnsi="Garamond" w:cs="Times New Roman"/>
                <w:b/>
                <w:bCs/>
                <w:color w:val="006666"/>
                <w:sz w:val="23"/>
                <w:szCs w:val="23"/>
              </w:rPr>
              <w:t>Tax Processing (manual vs automated)</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
                <w:bCs/>
                <w:color w:val="006666"/>
                <w:sz w:val="23"/>
                <w:szCs w:val="23"/>
              </w:rPr>
            </w:pPr>
            <w:r>
              <w:rPr>
                <w:rFonts w:ascii="Garamond" w:eastAsia="Times New Roman" w:hAnsi="Garamond" w:cs="Times New Roman"/>
                <w:b/>
                <w:bCs/>
                <w:color w:val="006666"/>
                <w:sz w:val="23"/>
                <w:szCs w:val="23"/>
              </w:rPr>
              <w:t>80.36</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006666"/>
                <w:sz w:val="23"/>
                <w:szCs w:val="23"/>
              </w:rPr>
            </w:pPr>
            <w:r w:rsidRPr="00F427BA">
              <w:rPr>
                <w:rFonts w:ascii="Garamond" w:eastAsia="Times New Roman" w:hAnsi="Garamond" w:cs="Times New Roman"/>
                <w:color w:val="006666"/>
                <w:sz w:val="23"/>
                <w:szCs w:val="23"/>
              </w:rPr>
              <w:t>Tax payment (cash paid to tax officers versus bank and electronic payment)</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006666"/>
                <w:sz w:val="23"/>
                <w:szCs w:val="23"/>
              </w:rPr>
            </w:pPr>
            <w:r>
              <w:rPr>
                <w:rFonts w:ascii="Garamond" w:eastAsia="Times New Roman" w:hAnsi="Garamond" w:cs="Times New Roman"/>
                <w:bCs/>
                <w:color w:val="006666"/>
                <w:sz w:val="23"/>
                <w:szCs w:val="23"/>
              </w:rPr>
              <w:t>80.36</w:t>
            </w:r>
          </w:p>
        </w:tc>
      </w:tr>
      <w:tr w:rsidR="000702A5" w:rsidRPr="00F427BA" w:rsidTr="001E3C23">
        <w:trPr>
          <w:trHeight w:val="178"/>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rPr>
                <w:rFonts w:ascii="Garamond" w:eastAsia="Times New Roman" w:hAnsi="Garamond" w:cs="Times New Roman"/>
                <w:color w:val="006666"/>
                <w:sz w:val="23"/>
                <w:szCs w:val="23"/>
              </w:rPr>
            </w:pPr>
          </w:p>
        </w:tc>
        <w:tc>
          <w:tcPr>
            <w:tcW w:w="2178" w:type="dxa"/>
            <w:tcBorders>
              <w:top w:val="nil"/>
              <w:left w:val="nil"/>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jc w:val="center"/>
              <w:rPr>
                <w:rFonts w:ascii="Garamond" w:eastAsia="Times New Roman" w:hAnsi="Garamond" w:cs="Times New Roman"/>
                <w:b/>
                <w:bCs/>
                <w:color w:val="000000"/>
                <w:sz w:val="23"/>
                <w:szCs w:val="23"/>
              </w:rPr>
            </w:pP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b/>
                <w:bCs/>
                <w:color w:val="3333CC"/>
                <w:sz w:val="23"/>
                <w:szCs w:val="23"/>
              </w:rPr>
            </w:pPr>
            <w:r w:rsidRPr="00F427BA">
              <w:rPr>
                <w:rFonts w:ascii="Garamond" w:eastAsia="Times New Roman" w:hAnsi="Garamond" w:cs="Times New Roman"/>
                <w:b/>
                <w:bCs/>
                <w:color w:val="3333CC"/>
                <w:sz w:val="23"/>
                <w:szCs w:val="23"/>
              </w:rPr>
              <w:t>Tax Enforcement</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
                <w:bCs/>
                <w:color w:val="3333CC"/>
                <w:sz w:val="23"/>
                <w:szCs w:val="23"/>
              </w:rPr>
            </w:pPr>
            <w:r>
              <w:rPr>
                <w:rFonts w:ascii="Garamond" w:eastAsia="Times New Roman" w:hAnsi="Garamond" w:cs="Times New Roman"/>
                <w:b/>
                <w:bCs/>
                <w:color w:val="3333CC"/>
                <w:sz w:val="23"/>
                <w:szCs w:val="23"/>
              </w:rPr>
              <w:t>32.34</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3333CC"/>
                <w:sz w:val="23"/>
                <w:szCs w:val="23"/>
              </w:rPr>
            </w:pPr>
            <w:r w:rsidRPr="00F427BA">
              <w:rPr>
                <w:rFonts w:ascii="Garamond" w:eastAsia="Times New Roman" w:hAnsi="Garamond" w:cs="Times New Roman"/>
                <w:color w:val="3333CC"/>
                <w:sz w:val="23"/>
                <w:szCs w:val="23"/>
              </w:rPr>
              <w:t>Capacity for taxpayer audits</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3333CC"/>
                <w:sz w:val="23"/>
                <w:szCs w:val="23"/>
              </w:rPr>
            </w:pPr>
            <w:r>
              <w:rPr>
                <w:rFonts w:ascii="Garamond" w:eastAsia="Times New Roman" w:hAnsi="Garamond" w:cs="Times New Roman"/>
                <w:bCs/>
                <w:color w:val="3333CC"/>
                <w:sz w:val="23"/>
                <w:szCs w:val="23"/>
              </w:rPr>
              <w:t>47.44</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3333CC"/>
                <w:sz w:val="23"/>
                <w:szCs w:val="23"/>
              </w:rPr>
            </w:pPr>
            <w:r w:rsidRPr="00F427BA">
              <w:rPr>
                <w:rFonts w:ascii="Garamond" w:eastAsia="Times New Roman" w:hAnsi="Garamond" w:cs="Times New Roman"/>
                <w:color w:val="3333CC"/>
                <w:sz w:val="23"/>
                <w:szCs w:val="23"/>
              </w:rPr>
              <w:t>Tax awareness</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3333CC"/>
                <w:sz w:val="23"/>
                <w:szCs w:val="23"/>
              </w:rPr>
            </w:pPr>
            <w:r>
              <w:rPr>
                <w:rFonts w:ascii="Garamond" w:eastAsia="Times New Roman" w:hAnsi="Garamond" w:cs="Times New Roman"/>
                <w:bCs/>
                <w:color w:val="3333CC"/>
                <w:sz w:val="23"/>
                <w:szCs w:val="23"/>
              </w:rPr>
              <w:t>54</w:t>
            </w:r>
            <w:r w:rsidRPr="00F427BA">
              <w:rPr>
                <w:rFonts w:ascii="Garamond" w:eastAsia="Times New Roman" w:hAnsi="Garamond" w:cs="Times New Roman"/>
                <w:bCs/>
                <w:color w:val="3333CC"/>
                <w:sz w:val="23"/>
                <w:szCs w:val="23"/>
              </w:rPr>
              <w:t>.</w:t>
            </w:r>
            <w:r>
              <w:rPr>
                <w:rFonts w:ascii="Garamond" w:eastAsia="Times New Roman" w:hAnsi="Garamond" w:cs="Times New Roman"/>
                <w:bCs/>
                <w:color w:val="3333CC"/>
                <w:sz w:val="23"/>
                <w:szCs w:val="23"/>
              </w:rPr>
              <w:t>55</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3333CC"/>
                <w:sz w:val="23"/>
                <w:szCs w:val="23"/>
              </w:rPr>
            </w:pPr>
            <w:r w:rsidRPr="00F427BA">
              <w:rPr>
                <w:rFonts w:ascii="Garamond" w:eastAsia="Times New Roman" w:hAnsi="Garamond" w:cs="Times New Roman"/>
                <w:color w:val="3333CC"/>
                <w:sz w:val="23"/>
                <w:szCs w:val="23"/>
              </w:rPr>
              <w:t>Complaints</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3333CC"/>
                <w:sz w:val="23"/>
                <w:szCs w:val="23"/>
              </w:rPr>
            </w:pPr>
            <w:r>
              <w:rPr>
                <w:rFonts w:ascii="Garamond" w:eastAsia="Times New Roman" w:hAnsi="Garamond" w:cs="Times New Roman"/>
                <w:bCs/>
                <w:color w:val="3333CC"/>
                <w:sz w:val="23"/>
                <w:szCs w:val="23"/>
              </w:rPr>
              <w:t>23.20</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3333CC"/>
                <w:sz w:val="23"/>
                <w:szCs w:val="23"/>
              </w:rPr>
            </w:pPr>
            <w:r w:rsidRPr="00F427BA">
              <w:rPr>
                <w:rFonts w:ascii="Garamond" w:eastAsia="Times New Roman" w:hAnsi="Garamond" w:cs="Times New Roman"/>
                <w:color w:val="3333CC"/>
                <w:sz w:val="23"/>
                <w:szCs w:val="23"/>
              </w:rPr>
              <w:t>Double Taxation</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3333CC"/>
                <w:sz w:val="23"/>
                <w:szCs w:val="23"/>
              </w:rPr>
            </w:pPr>
            <w:r>
              <w:rPr>
                <w:rFonts w:ascii="Garamond" w:eastAsia="Times New Roman" w:hAnsi="Garamond" w:cs="Times New Roman"/>
                <w:bCs/>
                <w:color w:val="3333CC"/>
                <w:sz w:val="23"/>
                <w:szCs w:val="23"/>
              </w:rPr>
              <w:t>4.17</w:t>
            </w:r>
          </w:p>
        </w:tc>
      </w:tr>
    </w:tbl>
    <w:p w:rsidR="000702A5" w:rsidRPr="001F2CAC" w:rsidRDefault="000702A5" w:rsidP="000702A5">
      <w:pPr>
        <w:spacing w:line="480" w:lineRule="auto"/>
        <w:jc w:val="both"/>
        <w:rPr>
          <w:rFonts w:ascii="Garamond" w:hAnsi="Garamond"/>
          <w:sz w:val="24"/>
          <w:szCs w:val="24"/>
        </w:rPr>
      </w:pPr>
    </w:p>
    <w:p w:rsidR="002B0DFE" w:rsidRDefault="002739B6" w:rsidP="002B0DFE">
      <w:pPr>
        <w:tabs>
          <w:tab w:val="left" w:pos="3024"/>
        </w:tabs>
        <w:jc w:val="both"/>
        <w:rPr>
          <w:rFonts w:ascii="Garamond" w:hAnsi="Garamond"/>
          <w:b/>
          <w:sz w:val="24"/>
          <w:szCs w:val="24"/>
        </w:rPr>
      </w:pPr>
      <w:r w:rsidRPr="00565733">
        <w:rPr>
          <w:rFonts w:ascii="Times New Roman" w:hAnsi="Times New Roman" w:cs="Times New Roman"/>
          <w:noProof/>
          <w:color w:val="0D0D0D" w:themeColor="text1" w:themeTint="F2"/>
          <w:sz w:val="20"/>
          <w:szCs w:val="20"/>
        </w:rPr>
        <w:lastRenderedPageBreak/>
        <w:drawing>
          <wp:anchor distT="0" distB="0" distL="114300" distR="114300" simplePos="0" relativeHeight="251667456" behindDoc="0" locked="0" layoutInCell="1" allowOverlap="1" wp14:anchorId="6A8CE4BF" wp14:editId="3A305B3D">
            <wp:simplePos x="0" y="0"/>
            <wp:positionH relativeFrom="column">
              <wp:posOffset>106680</wp:posOffset>
            </wp:positionH>
            <wp:positionV relativeFrom="paragraph">
              <wp:posOffset>145415</wp:posOffset>
            </wp:positionV>
            <wp:extent cx="434340" cy="434340"/>
            <wp:effectExtent l="0" t="0" r="0" b="3810"/>
            <wp:wrapSquare wrapText="bothSides"/>
            <wp:docPr id="2" name="Graphic 2" descr="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rovider=MicrosoftIcon&amp;fileName=Checklist_LTR.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434340" cy="434340"/>
                    </a:xfrm>
                    <a:prstGeom prst="rect">
                      <a:avLst/>
                    </a:prstGeom>
                  </pic:spPr>
                </pic:pic>
              </a:graphicData>
            </a:graphic>
            <wp14:sizeRelH relativeFrom="page">
              <wp14:pctWidth>0</wp14:pctWidth>
            </wp14:sizeRelH>
            <wp14:sizeRelV relativeFrom="page">
              <wp14:pctHeight>0</wp14:pctHeight>
            </wp14:sizeRelV>
          </wp:anchor>
        </w:drawing>
      </w:r>
    </w:p>
    <w:p w:rsidR="009257E4" w:rsidRPr="002073EA" w:rsidRDefault="009257E4" w:rsidP="002B0DFE">
      <w:pPr>
        <w:tabs>
          <w:tab w:val="left" w:pos="3024"/>
        </w:tabs>
        <w:jc w:val="both"/>
        <w:rPr>
          <w:rFonts w:ascii="Garamond" w:hAnsi="Garamond"/>
          <w:b/>
          <w:sz w:val="24"/>
          <w:szCs w:val="24"/>
        </w:rPr>
      </w:pPr>
      <w:r w:rsidRPr="002073EA">
        <w:rPr>
          <w:rFonts w:ascii="Garamond" w:hAnsi="Garamond"/>
          <w:b/>
          <w:sz w:val="24"/>
          <w:szCs w:val="24"/>
        </w:rPr>
        <w:t>Other Highlights</w:t>
      </w:r>
    </w:p>
    <w:p w:rsidR="009257E4" w:rsidRPr="002073EA" w:rsidRDefault="009257E4" w:rsidP="009257E4">
      <w:pPr>
        <w:jc w:val="both"/>
        <w:rPr>
          <w:rFonts w:ascii="Garamond" w:hAnsi="Garamond"/>
          <w:sz w:val="6"/>
          <w:szCs w:val="24"/>
        </w:rPr>
      </w:pPr>
    </w:p>
    <w:p w:rsidR="009257E4" w:rsidRPr="002B0DFE" w:rsidRDefault="009257E4" w:rsidP="002B0DFE">
      <w:pPr>
        <w:spacing w:line="360" w:lineRule="auto"/>
        <w:jc w:val="both"/>
        <w:rPr>
          <w:rFonts w:ascii="Garamond" w:hAnsi="Garamond"/>
          <w:sz w:val="24"/>
          <w:szCs w:val="24"/>
        </w:rPr>
      </w:pPr>
      <w:r w:rsidRPr="002B0DFE">
        <w:rPr>
          <w:rFonts w:ascii="Garamond" w:hAnsi="Garamond"/>
          <w:sz w:val="24"/>
          <w:szCs w:val="24"/>
        </w:rPr>
        <w:t xml:space="preserve">On June 20, 2017, the NGF </w:t>
      </w:r>
      <w:proofErr w:type="spellStart"/>
      <w:r w:rsidRPr="002B0DFE">
        <w:rPr>
          <w:rFonts w:ascii="Garamond" w:hAnsi="Garamond"/>
          <w:sz w:val="24"/>
          <w:szCs w:val="24"/>
        </w:rPr>
        <w:t>HelpDesk</w:t>
      </w:r>
      <w:proofErr w:type="spellEnd"/>
      <w:r w:rsidRPr="002B0DFE">
        <w:rPr>
          <w:rFonts w:ascii="Garamond" w:hAnsi="Garamond"/>
          <w:sz w:val="24"/>
          <w:szCs w:val="24"/>
        </w:rPr>
        <w:t xml:space="preserve"> conducted a training for 31 members of staff of the </w:t>
      </w:r>
      <w:proofErr w:type="spellStart"/>
      <w:r w:rsidR="00BD5A81">
        <w:rPr>
          <w:rFonts w:ascii="Garamond" w:hAnsi="Garamond"/>
          <w:sz w:val="24"/>
          <w:szCs w:val="24"/>
        </w:rPr>
        <w:t>Yobe</w:t>
      </w:r>
      <w:proofErr w:type="spellEnd"/>
      <w:r w:rsidRPr="002B0DFE">
        <w:rPr>
          <w:rFonts w:ascii="Garamond" w:hAnsi="Garamond"/>
          <w:sz w:val="24"/>
          <w:szCs w:val="24"/>
        </w:rPr>
        <w:t xml:space="preserve"> State Internal Revenue Service on process mapping and strategic data management to improve tax administration and enforcement within the Service. The training also covered the development of standard processes for direct assessment, and </w:t>
      </w:r>
      <w:r w:rsidR="002B0DFE">
        <w:rPr>
          <w:rFonts w:ascii="Garamond" w:hAnsi="Garamond"/>
          <w:sz w:val="24"/>
          <w:szCs w:val="24"/>
        </w:rPr>
        <w:t xml:space="preserve">strategies for maximizing </w:t>
      </w:r>
      <w:r w:rsidRPr="002B0DFE">
        <w:rPr>
          <w:rFonts w:ascii="Garamond" w:hAnsi="Garamond"/>
          <w:sz w:val="24"/>
          <w:szCs w:val="24"/>
        </w:rPr>
        <w:t xml:space="preserve">tax </w:t>
      </w:r>
      <w:r w:rsidR="009431EE" w:rsidRPr="002B0DFE">
        <w:rPr>
          <w:rFonts w:ascii="Garamond" w:hAnsi="Garamond"/>
          <w:sz w:val="24"/>
          <w:szCs w:val="24"/>
        </w:rPr>
        <w:t xml:space="preserve">education activities. </w:t>
      </w:r>
      <w:r w:rsidRPr="002B0DFE">
        <w:rPr>
          <w:rFonts w:ascii="Garamond" w:hAnsi="Garamond"/>
          <w:sz w:val="24"/>
          <w:szCs w:val="24"/>
        </w:rPr>
        <w:t xml:space="preserve">The training was facilitated by the Executive Chairman of the Service. </w:t>
      </w:r>
    </w:p>
    <w:p w:rsidR="000702A5" w:rsidRPr="002073EA" w:rsidRDefault="009257E4" w:rsidP="000702A5">
      <w:pPr>
        <w:jc w:val="both"/>
        <w:rPr>
          <w:rFonts w:ascii="Garamond" w:hAnsi="Garamond"/>
          <w:b/>
          <w:sz w:val="2"/>
          <w:szCs w:val="24"/>
        </w:rPr>
      </w:pPr>
      <w:r w:rsidRPr="001F2CAC">
        <w:rPr>
          <w:rFonts w:ascii="Garamond" w:hAnsi="Garamond" w:cs="Times New Roman"/>
          <w:noProof/>
          <w:sz w:val="24"/>
          <w:szCs w:val="24"/>
        </w:rPr>
        <w:drawing>
          <wp:anchor distT="0" distB="0" distL="114300" distR="114300" simplePos="0" relativeHeight="251660288" behindDoc="0" locked="0" layoutInCell="1" allowOverlap="1" wp14:anchorId="6AECA804" wp14:editId="13F69FA3">
            <wp:simplePos x="0" y="0"/>
            <wp:positionH relativeFrom="column">
              <wp:posOffset>38100</wp:posOffset>
            </wp:positionH>
            <wp:positionV relativeFrom="paragraph">
              <wp:posOffset>3175</wp:posOffset>
            </wp:positionV>
            <wp:extent cx="464820" cy="464820"/>
            <wp:effectExtent l="0" t="0" r="0" b="0"/>
            <wp:wrapSquare wrapText="bothSides"/>
            <wp:docPr id="18" name="Graphic 18" descr="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ownload?provider=MicrosoftIcon&amp;fileName=Handshake.sv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464820" cy="464820"/>
                    </a:xfrm>
                    <a:prstGeom prst="rect">
                      <a:avLst/>
                    </a:prstGeom>
                  </pic:spPr>
                </pic:pic>
              </a:graphicData>
            </a:graphic>
            <wp14:sizeRelH relativeFrom="page">
              <wp14:pctWidth>0</wp14:pctWidth>
            </wp14:sizeRelH>
            <wp14:sizeRelV relativeFrom="page">
              <wp14:pctHeight>0</wp14:pctHeight>
            </wp14:sizeRelV>
          </wp:anchor>
        </w:drawing>
      </w:r>
    </w:p>
    <w:p w:rsidR="000702A5" w:rsidRPr="002073EA" w:rsidRDefault="000702A5" w:rsidP="000702A5">
      <w:pPr>
        <w:spacing w:line="360" w:lineRule="auto"/>
        <w:jc w:val="both"/>
        <w:rPr>
          <w:rFonts w:ascii="Garamond" w:hAnsi="Garamond"/>
          <w:b/>
          <w:sz w:val="24"/>
          <w:szCs w:val="24"/>
        </w:rPr>
      </w:pPr>
      <w:r w:rsidRPr="002073EA">
        <w:rPr>
          <w:rFonts w:ascii="Garamond" w:hAnsi="Garamond"/>
          <w:b/>
          <w:sz w:val="24"/>
          <w:szCs w:val="24"/>
        </w:rPr>
        <w:t>Recommended actions for the Governor</w:t>
      </w:r>
      <w:bookmarkStart w:id="1" w:name="_GoBack"/>
      <w:bookmarkEnd w:id="1"/>
    </w:p>
    <w:p w:rsidR="002B0DFE" w:rsidRPr="002B0DFE" w:rsidRDefault="002B0DFE" w:rsidP="002B0DFE">
      <w:pPr>
        <w:pStyle w:val="ListParagraph"/>
        <w:numPr>
          <w:ilvl w:val="0"/>
          <w:numId w:val="2"/>
        </w:numPr>
        <w:spacing w:line="360" w:lineRule="auto"/>
        <w:jc w:val="both"/>
        <w:rPr>
          <w:rFonts w:ascii="Garamond" w:hAnsi="Garamond"/>
          <w:sz w:val="24"/>
          <w:szCs w:val="24"/>
        </w:rPr>
      </w:pPr>
      <w:r>
        <w:rPr>
          <w:rFonts w:ascii="Garamond" w:hAnsi="Garamond"/>
          <w:sz w:val="24"/>
          <w:szCs w:val="24"/>
        </w:rPr>
        <w:t>Facilitate p</w:t>
      </w:r>
      <w:r w:rsidRPr="002B0DFE">
        <w:rPr>
          <w:rFonts w:ascii="Garamond" w:hAnsi="Garamond"/>
          <w:sz w:val="24"/>
          <w:szCs w:val="24"/>
        </w:rPr>
        <w:t>assage of the Bills for full autonomy and presumptive tax</w:t>
      </w:r>
      <w:r>
        <w:rPr>
          <w:rFonts w:ascii="Garamond" w:hAnsi="Garamond"/>
          <w:sz w:val="24"/>
          <w:szCs w:val="24"/>
        </w:rPr>
        <w:t>. A</w:t>
      </w:r>
      <w:r w:rsidRPr="002B0DFE">
        <w:rPr>
          <w:rFonts w:ascii="Garamond" w:hAnsi="Garamond"/>
          <w:sz w:val="24"/>
          <w:szCs w:val="24"/>
        </w:rPr>
        <w:t xml:space="preserve"> </w:t>
      </w:r>
      <w:proofErr w:type="spellStart"/>
      <w:r w:rsidRPr="002B0DFE">
        <w:rPr>
          <w:rFonts w:ascii="Garamond" w:hAnsi="Garamond"/>
          <w:sz w:val="24"/>
          <w:szCs w:val="24"/>
        </w:rPr>
        <w:t>harmonised</w:t>
      </w:r>
      <w:proofErr w:type="spellEnd"/>
      <w:r w:rsidRPr="002B0DFE">
        <w:rPr>
          <w:rFonts w:ascii="Garamond" w:hAnsi="Garamond"/>
          <w:sz w:val="24"/>
          <w:szCs w:val="24"/>
        </w:rPr>
        <w:t xml:space="preserve"> tax law should also be considered to </w:t>
      </w:r>
      <w:r>
        <w:rPr>
          <w:rFonts w:ascii="Garamond" w:hAnsi="Garamond"/>
          <w:sz w:val="24"/>
          <w:szCs w:val="24"/>
        </w:rPr>
        <w:t>reduce the incidence of multiple</w:t>
      </w:r>
      <w:r w:rsidRPr="002B0DFE">
        <w:rPr>
          <w:rFonts w:ascii="Garamond" w:hAnsi="Garamond"/>
          <w:sz w:val="24"/>
          <w:szCs w:val="24"/>
        </w:rPr>
        <w:t xml:space="preserve"> taxation.</w:t>
      </w:r>
    </w:p>
    <w:p w:rsidR="000702A5" w:rsidRDefault="009431EE" w:rsidP="000702A5">
      <w:pPr>
        <w:pStyle w:val="ListParagraph"/>
        <w:numPr>
          <w:ilvl w:val="0"/>
          <w:numId w:val="2"/>
        </w:numPr>
        <w:spacing w:line="360" w:lineRule="auto"/>
        <w:jc w:val="both"/>
        <w:rPr>
          <w:rFonts w:ascii="Garamond" w:hAnsi="Garamond"/>
          <w:sz w:val="24"/>
          <w:szCs w:val="24"/>
        </w:rPr>
      </w:pPr>
      <w:r>
        <w:rPr>
          <w:rFonts w:ascii="Garamond" w:hAnsi="Garamond"/>
          <w:sz w:val="24"/>
          <w:szCs w:val="24"/>
        </w:rPr>
        <w:t>Facilitate</w:t>
      </w:r>
      <w:r w:rsidR="000702A5">
        <w:rPr>
          <w:rFonts w:ascii="Garamond" w:hAnsi="Garamond"/>
          <w:sz w:val="24"/>
          <w:szCs w:val="24"/>
        </w:rPr>
        <w:t xml:space="preserve"> timely release of budgeted funds to cover essential services required to sustain revenue generation and collection, including the recruitment of additional staff and the expansion of tax offices to improve outreach and coverage.</w:t>
      </w:r>
    </w:p>
    <w:p w:rsidR="000702A5" w:rsidRDefault="009431EE" w:rsidP="000702A5">
      <w:pPr>
        <w:pStyle w:val="ListParagraph"/>
        <w:numPr>
          <w:ilvl w:val="0"/>
          <w:numId w:val="2"/>
        </w:numPr>
        <w:spacing w:line="360" w:lineRule="auto"/>
        <w:jc w:val="both"/>
        <w:rPr>
          <w:rFonts w:ascii="Garamond" w:hAnsi="Garamond"/>
          <w:sz w:val="24"/>
          <w:szCs w:val="24"/>
        </w:rPr>
      </w:pPr>
      <w:r>
        <w:rPr>
          <w:rFonts w:ascii="Garamond" w:hAnsi="Garamond"/>
          <w:sz w:val="24"/>
          <w:szCs w:val="24"/>
        </w:rPr>
        <w:t>Establish a</w:t>
      </w:r>
      <w:r w:rsidR="002B0DFE">
        <w:rPr>
          <w:rFonts w:ascii="Garamond" w:hAnsi="Garamond"/>
          <w:sz w:val="24"/>
          <w:szCs w:val="24"/>
        </w:rPr>
        <w:t xml:space="preserve"> Joint Tax Committee</w:t>
      </w:r>
      <w:r w:rsidR="000702A5" w:rsidRPr="000702A5">
        <w:rPr>
          <w:rFonts w:ascii="Garamond" w:hAnsi="Garamond"/>
          <w:sz w:val="24"/>
          <w:szCs w:val="24"/>
        </w:rPr>
        <w:t xml:space="preserve"> </w:t>
      </w:r>
      <w:r w:rsidR="000702A5">
        <w:rPr>
          <w:rFonts w:ascii="Garamond" w:hAnsi="Garamond"/>
          <w:sz w:val="24"/>
          <w:szCs w:val="24"/>
        </w:rPr>
        <w:t xml:space="preserve">to </w:t>
      </w:r>
      <w:r w:rsidR="002B0DFE">
        <w:rPr>
          <w:rFonts w:ascii="Garamond" w:hAnsi="Garamond"/>
          <w:sz w:val="24"/>
          <w:szCs w:val="24"/>
        </w:rPr>
        <w:t>maintain</w:t>
      </w:r>
      <w:r>
        <w:rPr>
          <w:rFonts w:ascii="Garamond" w:hAnsi="Garamond"/>
          <w:sz w:val="24"/>
          <w:szCs w:val="24"/>
        </w:rPr>
        <w:t xml:space="preserve"> the review and issuance of tax policies and guidance</w:t>
      </w:r>
      <w:r w:rsidR="000702A5">
        <w:rPr>
          <w:rFonts w:ascii="Garamond" w:hAnsi="Garamond"/>
          <w:sz w:val="24"/>
          <w:szCs w:val="24"/>
        </w:rPr>
        <w:t>.</w:t>
      </w:r>
    </w:p>
    <w:p w:rsidR="00A30BA6" w:rsidRDefault="00A30BA6" w:rsidP="00A30BA6">
      <w:pPr>
        <w:pStyle w:val="ListParagraph"/>
        <w:numPr>
          <w:ilvl w:val="0"/>
          <w:numId w:val="2"/>
        </w:numPr>
        <w:spacing w:line="360" w:lineRule="auto"/>
        <w:jc w:val="both"/>
        <w:rPr>
          <w:rFonts w:ascii="Garamond" w:hAnsi="Garamond"/>
          <w:sz w:val="24"/>
          <w:szCs w:val="24"/>
        </w:rPr>
      </w:pPr>
      <w:r>
        <w:rPr>
          <w:rFonts w:ascii="Garamond" w:hAnsi="Garamond"/>
          <w:sz w:val="24"/>
          <w:szCs w:val="24"/>
        </w:rPr>
        <w:t xml:space="preserve">Facilitate interagency cooperation to strengthen the State’s tax collection mechanism </w:t>
      </w:r>
      <w:r w:rsidR="002B0DFE">
        <w:rPr>
          <w:rFonts w:ascii="Garamond" w:hAnsi="Garamond"/>
          <w:sz w:val="24"/>
          <w:szCs w:val="24"/>
        </w:rPr>
        <w:t>and</w:t>
      </w:r>
      <w:r>
        <w:rPr>
          <w:rFonts w:ascii="Garamond" w:hAnsi="Garamond"/>
          <w:sz w:val="24"/>
          <w:szCs w:val="24"/>
        </w:rPr>
        <w:t xml:space="preserve"> ensure that all revenues collected are paid into a consolidated revenue account.</w:t>
      </w:r>
      <w:r w:rsidR="002B0DFE">
        <w:rPr>
          <w:rFonts w:ascii="Garamond" w:hAnsi="Garamond"/>
          <w:sz w:val="24"/>
          <w:szCs w:val="24"/>
        </w:rPr>
        <w:t xml:space="preserve"> Compliance is still low across </w:t>
      </w:r>
      <w:proofErr w:type="gramStart"/>
      <w:r w:rsidR="002B0DFE">
        <w:rPr>
          <w:rFonts w:ascii="Garamond" w:hAnsi="Garamond"/>
          <w:sz w:val="24"/>
          <w:szCs w:val="24"/>
        </w:rPr>
        <w:t>a number of</w:t>
      </w:r>
      <w:proofErr w:type="gramEnd"/>
      <w:r w:rsidR="002B0DFE">
        <w:rPr>
          <w:rFonts w:ascii="Garamond" w:hAnsi="Garamond"/>
          <w:sz w:val="24"/>
          <w:szCs w:val="24"/>
        </w:rPr>
        <w:t xml:space="preserve"> MDAs</w:t>
      </w:r>
    </w:p>
    <w:p w:rsidR="009431EE" w:rsidRPr="00A30BA6" w:rsidRDefault="002B0DFE" w:rsidP="000702A5">
      <w:pPr>
        <w:spacing w:line="360" w:lineRule="auto"/>
        <w:jc w:val="both"/>
        <w:rPr>
          <w:rFonts w:ascii="Garamond" w:hAnsi="Garamond"/>
          <w:b/>
          <w:sz w:val="2"/>
          <w:szCs w:val="24"/>
        </w:rPr>
      </w:pPr>
      <w:r w:rsidRPr="001F2CAC">
        <w:rPr>
          <w:rFonts w:ascii="Garamond" w:hAnsi="Garamond" w:cs="Times New Roman"/>
          <w:noProof/>
          <w:sz w:val="24"/>
          <w:szCs w:val="24"/>
        </w:rPr>
        <w:drawing>
          <wp:anchor distT="0" distB="0" distL="114300" distR="114300" simplePos="0" relativeHeight="251669504" behindDoc="0" locked="0" layoutInCell="1" allowOverlap="1" wp14:anchorId="1748E4D2" wp14:editId="627F13D8">
            <wp:simplePos x="0" y="0"/>
            <wp:positionH relativeFrom="column">
              <wp:posOffset>68580</wp:posOffset>
            </wp:positionH>
            <wp:positionV relativeFrom="paragraph">
              <wp:posOffset>635</wp:posOffset>
            </wp:positionV>
            <wp:extent cx="434340" cy="434340"/>
            <wp:effectExtent l="0" t="0" r="3810" b="0"/>
            <wp:wrapSquare wrapText="bothSides"/>
            <wp:docPr id="14" name="Graphic 14" descr="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ownload?provider=MicrosoftIcon&amp;fileName=Money.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34340" cy="434340"/>
                    </a:xfrm>
                    <a:prstGeom prst="rect">
                      <a:avLst/>
                    </a:prstGeom>
                  </pic:spPr>
                </pic:pic>
              </a:graphicData>
            </a:graphic>
            <wp14:sizeRelH relativeFrom="margin">
              <wp14:pctWidth>0</wp14:pctWidth>
            </wp14:sizeRelH>
            <wp14:sizeRelV relativeFrom="margin">
              <wp14:pctHeight>0</wp14:pctHeight>
            </wp14:sizeRelV>
          </wp:anchor>
        </w:drawing>
      </w:r>
    </w:p>
    <w:p w:rsidR="000702A5" w:rsidRPr="002B0DFE" w:rsidRDefault="002B0DFE" w:rsidP="002B0DFE">
      <w:pPr>
        <w:spacing w:after="0" w:line="360" w:lineRule="auto"/>
        <w:jc w:val="both"/>
        <w:rPr>
          <w:rFonts w:ascii="Garamond" w:hAnsi="Garamond"/>
          <w:b/>
          <w:sz w:val="24"/>
          <w:szCs w:val="24"/>
        </w:rPr>
      </w:pPr>
      <w:r>
        <w:rPr>
          <w:noProof/>
        </w:rPr>
        <w:drawing>
          <wp:anchor distT="0" distB="0" distL="114300" distR="114300" simplePos="0" relativeHeight="251665408" behindDoc="0" locked="0" layoutInCell="1" allowOverlap="1">
            <wp:simplePos x="0" y="0"/>
            <wp:positionH relativeFrom="column">
              <wp:posOffset>259080</wp:posOffset>
            </wp:positionH>
            <wp:positionV relativeFrom="paragraph">
              <wp:posOffset>308610</wp:posOffset>
            </wp:positionV>
            <wp:extent cx="5654040" cy="2750820"/>
            <wp:effectExtent l="0" t="0" r="3810" b="11430"/>
            <wp:wrapSquare wrapText="bothSides"/>
            <wp:docPr id="1" name="Chart 1">
              <a:extLst xmlns:a="http://schemas.openxmlformats.org/drawingml/2006/main">
                <a:ext uri="{FF2B5EF4-FFF2-40B4-BE49-F238E27FC236}">
                  <a16:creationId xmlns:a16="http://schemas.microsoft.com/office/drawing/2014/main" id="{1A919CDE-5140-4C9B-915D-6AE70126C6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page">
              <wp14:pctWidth>0</wp14:pctWidth>
            </wp14:sizeRelH>
            <wp14:sizeRelV relativeFrom="page">
              <wp14:pctHeight>0</wp14:pctHeight>
            </wp14:sizeRelV>
          </wp:anchor>
        </w:drawing>
      </w:r>
      <w:r w:rsidR="000702A5" w:rsidRPr="002073EA">
        <w:rPr>
          <w:rFonts w:ascii="Garamond" w:hAnsi="Garamond"/>
          <w:b/>
          <w:sz w:val="24"/>
          <w:szCs w:val="24"/>
        </w:rPr>
        <w:t>Revenue Profile</w:t>
      </w:r>
    </w:p>
    <w:bookmarkEnd w:id="0"/>
    <w:sectPr w:rsidR="000702A5" w:rsidRPr="002B0DFE" w:rsidSect="008A60E3">
      <w:headerReference w:type="default" r:id="rId18"/>
      <w:footerReference w:type="default" r:id="rId19"/>
      <w:headerReference w:type="first" r:id="rId20"/>
      <w:pgSz w:w="12240" w:h="15840"/>
      <w:pgMar w:top="1710" w:right="1440" w:bottom="630" w:left="1440" w:header="540" w:footer="3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02A5" w:rsidRDefault="000702A5" w:rsidP="000702A5">
      <w:pPr>
        <w:spacing w:after="0" w:line="240" w:lineRule="auto"/>
      </w:pPr>
      <w:r>
        <w:separator/>
      </w:r>
    </w:p>
  </w:endnote>
  <w:endnote w:type="continuationSeparator" w:id="0">
    <w:p w:rsidR="000702A5" w:rsidRDefault="000702A5" w:rsidP="00070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2C9D" w:rsidRPr="00B76193" w:rsidRDefault="003C106F" w:rsidP="003C106F">
    <w:pPr>
      <w:tabs>
        <w:tab w:val="left" w:pos="5328"/>
      </w:tabs>
      <w:spacing w:after="0" w:line="360" w:lineRule="auto"/>
      <w:rPr>
        <w:rFonts w:ascii="Garamond" w:hAnsi="Garamond"/>
      </w:rPr>
    </w:pPr>
    <w:r>
      <w:rPr>
        <w:rFonts w:ascii="Garamond" w:hAnsi="Garamond"/>
        <w:b/>
        <w:sz w:val="24"/>
        <w:szCs w:val="24"/>
      </w:rPr>
      <w:t>F</w:t>
    </w:r>
    <w:r w:rsidR="000702A5" w:rsidRPr="00885DAE">
      <w:rPr>
        <w:rFonts w:ascii="Garamond" w:hAnsi="Garamond"/>
        <w:b/>
        <w:sz w:val="24"/>
        <w:szCs w:val="24"/>
      </w:rPr>
      <w:t>or further information:</w:t>
    </w:r>
    <w:r>
      <w:rPr>
        <w:rFonts w:ascii="Garamond" w:hAnsi="Garamond"/>
        <w:b/>
        <w:sz w:val="24"/>
        <w:szCs w:val="24"/>
      </w:rPr>
      <w:t xml:space="preserve"> </w:t>
    </w:r>
    <w:r w:rsidR="000702A5" w:rsidRPr="00B76193">
      <w:rPr>
        <w:rFonts w:ascii="Garamond" w:hAnsi="Garamond"/>
        <w:i/>
        <w:color w:val="0D0D0D" w:themeColor="text1" w:themeTint="F2"/>
        <w:lang w:val="en-GB"/>
      </w:rPr>
      <w:t>David Nabena |</w:t>
    </w:r>
    <w:r>
      <w:rPr>
        <w:rFonts w:ascii="Garamond" w:hAnsi="Garamond"/>
        <w:i/>
        <w:color w:val="0D0D0D" w:themeColor="text1" w:themeTint="F2"/>
        <w:lang w:val="en-GB"/>
      </w:rPr>
      <w:t xml:space="preserve"> Economist </w:t>
    </w:r>
    <w:r w:rsidRPr="00B76193">
      <w:rPr>
        <w:rFonts w:ascii="Garamond" w:hAnsi="Garamond"/>
        <w:i/>
        <w:color w:val="0D0D0D" w:themeColor="text1" w:themeTint="F2"/>
        <w:lang w:val="en-GB"/>
      </w:rPr>
      <w:t>|</w:t>
    </w:r>
    <w:r w:rsidR="000702A5">
      <w:rPr>
        <w:rFonts w:ascii="Garamond" w:hAnsi="Garamond"/>
        <w:i/>
        <w:color w:val="0D0D0D" w:themeColor="text1" w:themeTint="F2"/>
        <w:lang w:val="en-GB"/>
      </w:rPr>
      <w:t xml:space="preserve">Tel: 08188719234 </w:t>
    </w:r>
    <w:r w:rsidR="000702A5" w:rsidRPr="00B76193">
      <w:rPr>
        <w:rFonts w:ascii="Garamond" w:hAnsi="Garamond"/>
        <w:i/>
        <w:color w:val="0D0D0D" w:themeColor="text1" w:themeTint="F2"/>
        <w:lang w:val="en-GB"/>
      </w:rPr>
      <w:t xml:space="preserve">| Email: </w:t>
    </w:r>
    <w:hyperlink r:id="rId1" w:history="1">
      <w:r w:rsidR="000702A5" w:rsidRPr="00B76193">
        <w:rPr>
          <w:rStyle w:val="Hyperlink"/>
          <w:rFonts w:ascii="Garamond" w:hAnsi="Garamond"/>
          <w:i/>
          <w:lang w:val="en-GB"/>
        </w:rPr>
        <w:t>dnabena@nggovernorsforum.org</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02A5" w:rsidRDefault="000702A5" w:rsidP="000702A5">
      <w:pPr>
        <w:spacing w:after="0" w:line="240" w:lineRule="auto"/>
      </w:pPr>
      <w:r>
        <w:separator/>
      </w:r>
    </w:p>
  </w:footnote>
  <w:footnote w:type="continuationSeparator" w:id="0">
    <w:p w:rsidR="000702A5" w:rsidRDefault="000702A5" w:rsidP="00070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7E09" w:rsidRDefault="000702A5" w:rsidP="00B87E09">
    <w:pPr>
      <w:pStyle w:val="Header"/>
      <w:ind w:left="2520" w:firstLine="4680"/>
    </w:pPr>
    <w:r w:rsidRPr="00B87E09">
      <w:rPr>
        <w:rFonts w:ascii="Calibri" w:eastAsia="Times New Roman" w:hAnsi="Calibri" w:cs="Times New Roman"/>
        <w:noProof/>
        <w:color w:val="000000"/>
      </w:rPr>
      <w:drawing>
        <wp:anchor distT="0" distB="0" distL="114300" distR="114300" simplePos="0" relativeHeight="251659264" behindDoc="0" locked="0" layoutInCell="1" allowOverlap="1" wp14:anchorId="631AB384" wp14:editId="1265ADE4">
          <wp:simplePos x="0" y="0"/>
          <wp:positionH relativeFrom="column">
            <wp:posOffset>0</wp:posOffset>
          </wp:positionH>
          <wp:positionV relativeFrom="paragraph">
            <wp:posOffset>0</wp:posOffset>
          </wp:positionV>
          <wp:extent cx="2125980" cy="708660"/>
          <wp:effectExtent l="0" t="0" r="0" b="0"/>
          <wp:wrapNone/>
          <wp:docPr id="5" name="Picture 5">
            <a:extLst xmlns:a="http://schemas.openxmlformats.org/drawingml/2006/main">
              <a:ext uri="{FF2B5EF4-FFF2-40B4-BE49-F238E27FC236}">
                <a16:creationId xmlns:a16="http://schemas.microsoft.com/office/drawing/2014/main" id="{9AF1EA0B-B025-427A-BFC8-0A233EEEB3CF}"/>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AF1EA0B-B025-427A-BFC8-0A233EEEB3CF}"/>
                      </a:ext>
                    </a:extLst>
                  </pic:cNvPr>
                  <pic:cNvPicPr/>
                </pic:nvPicPr>
                <pic:blipFill>
                  <a:blip r:embed="rId1"/>
                  <a:stretch>
                    <a:fillRect/>
                  </a:stretch>
                </pic:blipFill>
                <pic:spPr>
                  <a:xfrm>
                    <a:off x="0" y="0"/>
                    <a:ext cx="2128324" cy="717843"/>
                  </a:xfrm>
                  <a:prstGeom prst="rect">
                    <a:avLst/>
                  </a:prstGeom>
                </pic:spPr>
              </pic:pic>
            </a:graphicData>
          </a:graphic>
          <wp14:sizeRelH relativeFrom="page">
            <wp14:pctWidth>0</wp14:pctWidth>
          </wp14:sizeRelH>
          <wp14:sizeRelV relativeFrom="page">
            <wp14:pctHeight>0</wp14:pctHeight>
          </wp14:sizeRelV>
        </wp:anchor>
      </w:drawing>
    </w:r>
  </w:p>
  <w:p w:rsidR="00B87E09" w:rsidRDefault="002C7FAF" w:rsidP="00B87E09">
    <w:pPr>
      <w:pStyle w:val="Header"/>
      <w:ind w:left="2520" w:firstLine="4680"/>
    </w:pPr>
  </w:p>
  <w:p w:rsidR="00B87E09" w:rsidRDefault="002C7FAF" w:rsidP="00B87E09">
    <w:pPr>
      <w:pStyle w:val="Header"/>
      <w:ind w:left="2520" w:firstLine="4680"/>
    </w:pPr>
  </w:p>
  <w:p w:rsidR="00B87E09" w:rsidRPr="00606492" w:rsidRDefault="002739B6" w:rsidP="00B87E09">
    <w:pPr>
      <w:pStyle w:val="Header"/>
      <w:ind w:left="2520"/>
      <w:jc w:val="right"/>
      <w:rPr>
        <w:rFonts w:ascii="Garamond" w:hAnsi="Garamond"/>
        <w:sz w:val="28"/>
        <w:szCs w:val="28"/>
      </w:rPr>
    </w:pPr>
    <w:r>
      <w:rPr>
        <w:rFonts w:ascii="Garamond" w:hAnsi="Garamond"/>
        <w:sz w:val="28"/>
        <w:szCs w:val="28"/>
      </w:rPr>
      <w:t>JULY</w:t>
    </w:r>
    <w:r w:rsidR="000702A5" w:rsidRPr="00606492">
      <w:rPr>
        <w:rFonts w:ascii="Garamond" w:hAnsi="Garamond"/>
        <w:sz w:val="28"/>
        <w:szCs w:val="28"/>
      </w:rPr>
      <w:t xml:space="preserve"> 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2C9D" w:rsidRPr="00F427BA" w:rsidRDefault="000702A5" w:rsidP="009C2C9D">
    <w:pPr>
      <w:pStyle w:val="Header"/>
      <w:ind w:left="2520" w:firstLine="4680"/>
      <w:rPr>
        <w:sz w:val="28"/>
        <w:szCs w:val="28"/>
      </w:rPr>
    </w:pPr>
    <w:r w:rsidRPr="00F427BA">
      <w:rPr>
        <w:rFonts w:ascii="Calibri" w:eastAsia="Times New Roman" w:hAnsi="Calibri" w:cs="Times New Roman"/>
        <w:noProof/>
        <w:color w:val="000000"/>
        <w:sz w:val="28"/>
        <w:szCs w:val="28"/>
      </w:rPr>
      <w:drawing>
        <wp:anchor distT="0" distB="0" distL="114300" distR="114300" simplePos="0" relativeHeight="251660288" behindDoc="0" locked="0" layoutInCell="1" allowOverlap="1" wp14:anchorId="61CCBC9F" wp14:editId="066D13D4">
          <wp:simplePos x="0" y="0"/>
          <wp:positionH relativeFrom="column">
            <wp:posOffset>0</wp:posOffset>
          </wp:positionH>
          <wp:positionV relativeFrom="paragraph">
            <wp:posOffset>0</wp:posOffset>
          </wp:positionV>
          <wp:extent cx="2125980" cy="708660"/>
          <wp:effectExtent l="0" t="0" r="0" b="0"/>
          <wp:wrapNone/>
          <wp:docPr id="6" name="Picture 6">
            <a:extLst xmlns:a="http://schemas.openxmlformats.org/drawingml/2006/main">
              <a:ext uri="{FF2B5EF4-FFF2-40B4-BE49-F238E27FC236}">
                <a16:creationId xmlns:a16="http://schemas.microsoft.com/office/drawing/2014/main" id="{9AF1EA0B-B025-427A-BFC8-0A233EEEB3CF}"/>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AF1EA0B-B025-427A-BFC8-0A233EEEB3CF}"/>
                      </a:ext>
                    </a:extLst>
                  </pic:cNvPr>
                  <pic:cNvPicPr/>
                </pic:nvPicPr>
                <pic:blipFill>
                  <a:blip r:embed="rId1"/>
                  <a:stretch>
                    <a:fillRect/>
                  </a:stretch>
                </pic:blipFill>
                <pic:spPr>
                  <a:xfrm>
                    <a:off x="0" y="0"/>
                    <a:ext cx="2128324" cy="717843"/>
                  </a:xfrm>
                  <a:prstGeom prst="rect">
                    <a:avLst/>
                  </a:prstGeom>
                </pic:spPr>
              </pic:pic>
            </a:graphicData>
          </a:graphic>
          <wp14:sizeRelH relativeFrom="page">
            <wp14:pctWidth>0</wp14:pctWidth>
          </wp14:sizeRelH>
          <wp14:sizeRelV relativeFrom="page">
            <wp14:pctHeight>0</wp14:pctHeight>
          </wp14:sizeRelV>
        </wp:anchor>
      </w:drawing>
    </w:r>
  </w:p>
  <w:p w:rsidR="009C2C9D" w:rsidRPr="00F427BA" w:rsidRDefault="002C7FAF" w:rsidP="009C2C9D">
    <w:pPr>
      <w:pStyle w:val="Header"/>
      <w:ind w:left="2520" w:firstLine="4680"/>
      <w:rPr>
        <w:sz w:val="42"/>
        <w:szCs w:val="28"/>
      </w:rPr>
    </w:pPr>
  </w:p>
  <w:p w:rsidR="009C2C9D" w:rsidRPr="00F427BA" w:rsidRDefault="008A60E3" w:rsidP="009C2C9D">
    <w:pPr>
      <w:pStyle w:val="Header"/>
      <w:ind w:left="2520"/>
      <w:jc w:val="right"/>
      <w:rPr>
        <w:rFonts w:ascii="Garamond" w:hAnsi="Garamond"/>
        <w:color w:val="385623" w:themeColor="accent6" w:themeShade="80"/>
        <w:sz w:val="28"/>
        <w:szCs w:val="28"/>
      </w:rPr>
    </w:pPr>
    <w:r>
      <w:rPr>
        <w:rFonts w:ascii="Garamond" w:hAnsi="Garamond"/>
        <w:color w:val="385623" w:themeColor="accent6" w:themeShade="80"/>
        <w:sz w:val="28"/>
        <w:szCs w:val="28"/>
      </w:rPr>
      <w:t>JULY</w:t>
    </w:r>
    <w:r w:rsidR="000702A5">
      <w:rPr>
        <w:rFonts w:ascii="Garamond" w:hAnsi="Garamond"/>
        <w:color w:val="385623" w:themeColor="accent6" w:themeShade="80"/>
        <w:sz w:val="28"/>
        <w:szCs w:val="28"/>
      </w:rPr>
      <w:t xml:space="preserve"> </w:t>
    </w:r>
    <w:r w:rsidR="000702A5" w:rsidRPr="00F427BA">
      <w:rPr>
        <w:rFonts w:ascii="Garamond" w:hAnsi="Garamond"/>
        <w:color w:val="385623" w:themeColor="accent6" w:themeShade="80"/>
        <w:sz w:val="28"/>
        <w:szCs w:val="28"/>
      </w:rPr>
      <w:t>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62FAE"/>
    <w:multiLevelType w:val="hybridMultilevel"/>
    <w:tmpl w:val="A828B2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F017FC"/>
    <w:multiLevelType w:val="hybridMultilevel"/>
    <w:tmpl w:val="A38A7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6126CA"/>
    <w:multiLevelType w:val="hybridMultilevel"/>
    <w:tmpl w:val="76228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2A5"/>
    <w:rsid w:val="000702A5"/>
    <w:rsid w:val="001D2F49"/>
    <w:rsid w:val="002739B6"/>
    <w:rsid w:val="002B0DFE"/>
    <w:rsid w:val="002C7FAF"/>
    <w:rsid w:val="003C106F"/>
    <w:rsid w:val="00453084"/>
    <w:rsid w:val="00517675"/>
    <w:rsid w:val="00604A68"/>
    <w:rsid w:val="00606492"/>
    <w:rsid w:val="008A60E3"/>
    <w:rsid w:val="009257E4"/>
    <w:rsid w:val="009431EE"/>
    <w:rsid w:val="00A30BA6"/>
    <w:rsid w:val="00AA7022"/>
    <w:rsid w:val="00BD5A81"/>
    <w:rsid w:val="00D76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23F8E6D3"/>
  <w15:chartTrackingRefBased/>
  <w15:docId w15:val="{1F8F8FA2-B93A-4921-A7FD-95062A0C0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702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0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2A5"/>
  </w:style>
  <w:style w:type="character" w:styleId="Hyperlink">
    <w:name w:val="Hyperlink"/>
    <w:basedOn w:val="DefaultParagraphFont"/>
    <w:uiPriority w:val="99"/>
    <w:unhideWhenUsed/>
    <w:rsid w:val="000702A5"/>
    <w:rPr>
      <w:color w:val="0563C1" w:themeColor="hyperlink"/>
      <w:u w:val="single"/>
    </w:rPr>
  </w:style>
  <w:style w:type="paragraph" w:styleId="ListParagraph">
    <w:name w:val="List Paragraph"/>
    <w:basedOn w:val="Normal"/>
    <w:uiPriority w:val="34"/>
    <w:qFormat/>
    <w:rsid w:val="000702A5"/>
    <w:pPr>
      <w:ind w:left="720"/>
      <w:contextualSpacing/>
    </w:pPr>
  </w:style>
  <w:style w:type="paragraph" w:styleId="Footer">
    <w:name w:val="footer"/>
    <w:basedOn w:val="Normal"/>
    <w:link w:val="FooterChar"/>
    <w:uiPriority w:val="99"/>
    <w:unhideWhenUsed/>
    <w:rsid w:val="00070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2A5"/>
  </w:style>
  <w:style w:type="paragraph" w:styleId="BalloonText">
    <w:name w:val="Balloon Text"/>
    <w:basedOn w:val="Normal"/>
    <w:link w:val="BalloonTextChar"/>
    <w:uiPriority w:val="99"/>
    <w:semiHidden/>
    <w:unhideWhenUsed/>
    <w:rsid w:val="009431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31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sv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dnabena@nggovernorsforum.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dnabena.NGF\Documents\IGR%20DATA%20DASHBOAR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1" i="0" u="none" strike="noStrike" kern="1200" spc="0" baseline="0">
                <a:solidFill>
                  <a:schemeClr val="bg2">
                    <a:lumMod val="10000"/>
                  </a:schemeClr>
                </a:solidFill>
                <a:latin typeface="Garamond" panose="02020404030301010803" pitchFamily="18" charset="0"/>
                <a:ea typeface="+mn-ea"/>
                <a:cs typeface="+mn-cs"/>
              </a:defRPr>
            </a:pPr>
            <a:r>
              <a:rPr lang="en-US" b="1"/>
              <a:t>Yobe State's Recurrent Revenue, Jan - Apr, 2017</a:t>
            </a:r>
          </a:p>
        </c:rich>
      </c:tx>
      <c:overlay val="0"/>
      <c:spPr>
        <a:noFill/>
        <a:ln>
          <a:noFill/>
        </a:ln>
        <a:effectLst/>
      </c:spPr>
      <c:txPr>
        <a:bodyPr rot="0" spcFirstLastPara="1" vertOverflow="ellipsis" vert="horz" wrap="square" anchor="ctr" anchorCtr="1"/>
        <a:lstStyle/>
        <a:p>
          <a:pPr>
            <a:defRPr sz="1320" b="1" i="0" u="none" strike="noStrike" kern="1200" spc="0" baseline="0">
              <a:solidFill>
                <a:schemeClr val="bg2">
                  <a:lumMod val="10000"/>
                </a:schemeClr>
              </a:solidFill>
              <a:latin typeface="Garamond" panose="02020404030301010803" pitchFamily="18" charset="0"/>
              <a:ea typeface="+mn-ea"/>
              <a:cs typeface="+mn-cs"/>
            </a:defRPr>
          </a:pPr>
          <a:endParaRPr lang="en-US"/>
        </a:p>
      </c:txPr>
    </c:title>
    <c:autoTitleDeleted val="0"/>
    <c:plotArea>
      <c:layout/>
      <c:barChart>
        <c:barDir val="col"/>
        <c:grouping val="stacked"/>
        <c:varyColors val="0"/>
        <c:ser>
          <c:idx val="0"/>
          <c:order val="0"/>
          <c:tx>
            <c:strRef>
              <c:f>Sheet1!$B$3</c:f>
              <c:strCache>
                <c:ptCount val="1"/>
                <c:pt idx="0">
                  <c:v>IGR</c:v>
                </c:pt>
              </c:strCache>
            </c:strRef>
          </c:tx>
          <c:spPr>
            <a:pattFill prst="wdUpDiag">
              <a:fgClr>
                <a:schemeClr val="accent6">
                  <a:lumMod val="50000"/>
                </a:schemeClr>
              </a:fgClr>
              <a:bgClr>
                <a:schemeClr val="bg1"/>
              </a:bgClr>
            </a:pattFill>
            <a:ln>
              <a:noFill/>
            </a:ln>
            <a:effectLst/>
          </c:spPr>
          <c:invertIfNegative val="0"/>
          <c:cat>
            <c:strRef>
              <c:f>Sheet1!$C$1:$G$1</c:f>
              <c:strCache>
                <c:ptCount val="5"/>
                <c:pt idx="0">
                  <c:v>Jan</c:v>
                </c:pt>
                <c:pt idx="1">
                  <c:v>Feb</c:v>
                </c:pt>
                <c:pt idx="2">
                  <c:v>Mar</c:v>
                </c:pt>
                <c:pt idx="3">
                  <c:v>Apr</c:v>
                </c:pt>
                <c:pt idx="4">
                  <c:v>May</c:v>
                </c:pt>
              </c:strCache>
            </c:strRef>
          </c:cat>
          <c:val>
            <c:numRef>
              <c:f>Sheet1!$C$9:$F$9</c:f>
              <c:numCache>
                <c:formatCode>#,##0</c:formatCode>
                <c:ptCount val="4"/>
                <c:pt idx="0">
                  <c:v>270890870</c:v>
                </c:pt>
                <c:pt idx="1">
                  <c:v>196074749</c:v>
                </c:pt>
                <c:pt idx="2">
                  <c:v>233784940</c:v>
                </c:pt>
                <c:pt idx="3">
                  <c:v>1139050626</c:v>
                </c:pt>
              </c:numCache>
            </c:numRef>
          </c:val>
          <c:extLst>
            <c:ext xmlns:c16="http://schemas.microsoft.com/office/drawing/2014/chart" uri="{C3380CC4-5D6E-409C-BE32-E72D297353CC}">
              <c16:uniqueId val="{00000000-2AE0-4CBD-94B1-690D29C8CB3C}"/>
            </c:ext>
          </c:extLst>
        </c:ser>
        <c:ser>
          <c:idx val="1"/>
          <c:order val="1"/>
          <c:tx>
            <c:strRef>
              <c:f>Sheet1!$B$14</c:f>
              <c:strCache>
                <c:ptCount val="1"/>
                <c:pt idx="0">
                  <c:v>Federation Allocation</c:v>
                </c:pt>
              </c:strCache>
            </c:strRef>
          </c:tx>
          <c:spPr>
            <a:solidFill>
              <a:schemeClr val="accent6">
                <a:lumMod val="50000"/>
              </a:schemeClr>
            </a:solidFill>
            <a:ln>
              <a:noFill/>
            </a:ln>
            <a:effectLst/>
          </c:spPr>
          <c:invertIfNegative val="0"/>
          <c:cat>
            <c:strRef>
              <c:f>Sheet1!$C$1:$G$1</c:f>
              <c:strCache>
                <c:ptCount val="5"/>
                <c:pt idx="0">
                  <c:v>Jan</c:v>
                </c:pt>
                <c:pt idx="1">
                  <c:v>Feb</c:v>
                </c:pt>
                <c:pt idx="2">
                  <c:v>Mar</c:v>
                </c:pt>
                <c:pt idx="3">
                  <c:v>Apr</c:v>
                </c:pt>
                <c:pt idx="4">
                  <c:v>May</c:v>
                </c:pt>
              </c:strCache>
            </c:strRef>
          </c:cat>
          <c:val>
            <c:numRef>
              <c:f>Sheet1!$C$20:$F$20</c:f>
              <c:numCache>
                <c:formatCode>#,##0</c:formatCode>
                <c:ptCount val="4"/>
                <c:pt idx="0">
                  <c:v>2745513577.6100001</c:v>
                </c:pt>
                <c:pt idx="1">
                  <c:v>3129598410.3400002</c:v>
                </c:pt>
                <c:pt idx="2">
                  <c:v>2834607939.0300002</c:v>
                </c:pt>
                <c:pt idx="3">
                  <c:v>3104124309.04</c:v>
                </c:pt>
              </c:numCache>
            </c:numRef>
          </c:val>
          <c:extLst>
            <c:ext xmlns:c16="http://schemas.microsoft.com/office/drawing/2014/chart" uri="{C3380CC4-5D6E-409C-BE32-E72D297353CC}">
              <c16:uniqueId val="{00000001-2AE0-4CBD-94B1-690D29C8CB3C}"/>
            </c:ext>
          </c:extLst>
        </c:ser>
        <c:dLbls>
          <c:showLegendKey val="0"/>
          <c:showVal val="0"/>
          <c:showCatName val="0"/>
          <c:showSerName val="0"/>
          <c:showPercent val="0"/>
          <c:showBubbleSize val="0"/>
        </c:dLbls>
        <c:gapWidth val="95"/>
        <c:overlap val="100"/>
        <c:axId val="379581112"/>
        <c:axId val="379580784"/>
      </c:barChart>
      <c:catAx>
        <c:axId val="379581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crossAx val="379580784"/>
        <c:crosses val="autoZero"/>
        <c:auto val="1"/>
        <c:lblAlgn val="ctr"/>
        <c:lblOffset val="100"/>
        <c:noMultiLvlLbl val="0"/>
      </c:catAx>
      <c:valAx>
        <c:axId val="379580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r>
                  <a:rPr lang="en-US"/>
                  <a:t>NGN</a:t>
                </a:r>
              </a:p>
            </c:rich>
          </c:tx>
          <c:overlay val="0"/>
          <c:spPr>
            <a:noFill/>
            <a:ln>
              <a:noFill/>
            </a:ln>
            <a:effectLst/>
          </c:spPr>
          <c:txPr>
            <a:bodyPr rot="-54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crossAx val="37958111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bg2">
              <a:lumMod val="10000"/>
            </a:schemeClr>
          </a:solidFill>
          <a:latin typeface="Garamond" panose="02020404030301010803"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72</TotalTime>
  <Pages>2</Pages>
  <Words>420</Words>
  <Characters>2400</Characters>
  <Application>Microsoft Office Word</Application>
  <DocSecurity>0</DocSecurity>
  <Lines>20</Lines>
  <Paragraphs>5</Paragraphs>
  <ScaleCrop>false</ScaleCrop>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Nabena David</dc:creator>
  <cp:keywords/>
  <dc:description/>
  <cp:lastModifiedBy>Nabena David</cp:lastModifiedBy>
  <cp:revision>12</cp:revision>
  <cp:lastPrinted>2017-07-19T17:20:00Z</cp:lastPrinted>
  <dcterms:created xsi:type="dcterms:W3CDTF">2017-06-27T20:52:00Z</dcterms:created>
  <dcterms:modified xsi:type="dcterms:W3CDTF">2017-07-19T17:21:00Z</dcterms:modified>
</cp:coreProperties>
</file>