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00467F"/>
          <w:sz w:val="64"/>
        </w:rPr>
        <w:t>APPSolve (Pty) Ltd</w:t>
      </w:r>
    </w:p>
    <w:p>
      <w:pPr>
        <w:spacing w:after="960"/>
        <w:jc w:val="center"/>
      </w:pPr>
      <w:r>
        <w:rPr>
          <w:rFonts w:ascii="Calibri" w:hAnsi="Calibri"/>
          <w:b w:val="0"/>
          <w:color w:val="0070C0"/>
          <w:sz w:val="22"/>
        </w:rPr>
        <w:t>Enterprise Technology Services  |  Oracle  |  Acumatica  |  BeBanking</w:t>
      </w:r>
    </w:p>
    <w:p>
      <w:pPr>
        <w:spacing w:after="80"/>
        <w:jc w:val="center"/>
      </w:pPr>
      <w:r>
        <w:rPr>
          <w:rFonts w:ascii="Calibri" w:hAnsi="Calibri"/>
          <w:b/>
          <w:color w:val="404040"/>
          <w:sz w:val="36"/>
        </w:rPr>
        <w:t>ORACLE FUSION HCM CLOUD</w:t>
      </w:r>
    </w:p>
    <w:p>
      <w:pPr>
        <w:spacing w:after="80"/>
        <w:jc w:val="center"/>
      </w:pPr>
      <w:r>
        <w:rPr>
          <w:rFonts w:ascii="Calibri" w:hAnsi="Calibri"/>
          <w:b/>
          <w:color w:val="404040"/>
          <w:sz w:val="28"/>
        </w:rPr>
        <w:t>IMPLEMENTATION PROPOSAL</w:t>
      </w:r>
    </w:p>
    <w:p>
      <w:pPr>
        <w:spacing w:after="800"/>
        <w:jc w:val="center"/>
      </w:pPr>
      <w:r>
        <w:rPr>
          <w:rFonts w:ascii="Calibri" w:hAnsi="Calibri"/>
          <w:b/>
          <w:color w:val="00467F"/>
          <w:sz w:val="32"/>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Oracle Fusion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Full Suite HCM 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Client Proposal — PAE v1.0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bl>
    <w:p>
      <w:pPr>
        <w:spacing w:before="960"/>
        <w:jc w:val="center"/>
      </w:pPr>
      <w:r>
        <w:rPr>
          <w:rFonts w:ascii="Calibri" w:hAnsi="Calibri"/>
          <w:b/>
          <w:color w:val="707070"/>
          <w:sz w:val="20"/>
        </w:rPr>
        <w:t>COMMERCIAL IN CONFIDENCE  |  Proposal Authoring Engine v1.0</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1. Executive Summary</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120" w:after="120"/>
            </w:pPr>
            <w:r>
              <w:rPr>
                <w:rFonts w:ascii="Calibri" w:hAnsi="Calibri"/>
                <w:i/>
                <w:color w:val="707070"/>
                <w:sz w:val="20"/>
              </w:rPr>
              <w:t>[ Executive Summary — content to be completed before submission ]</w:t>
            </w:r>
          </w:p>
        </w:tc>
      </w:tr>
    </w:tbl>
    <w:p>
      <w:pPr>
        <w:spacing w:after="120"/>
      </w:pPr>
    </w:p>
    <w:p>
      <w:pPr>
        <w:spacing w:before="0" w:after="0"/>
      </w:pPr>
      <w:r>
        <w:br w:type="page"/>
      </w:r>
    </w:p>
    <w:p>
      <w:pPr>
        <w:pStyle w:val="Heading2"/>
        <w:keepNext/>
      </w:pPr>
      <w:r>
        <w:t>2. Understanding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120" w:after="120"/>
            </w:pPr>
            <w:r>
              <w:rPr>
                <w:rFonts w:ascii="Calibri" w:hAnsi="Calibri"/>
                <w:i/>
                <w:color w:val="707070"/>
                <w:sz w:val="20"/>
              </w:rPr>
              <w:t>[ Understanding Plennegy's Requirements — content to be completed before submission ]</w:t>
            </w:r>
          </w:p>
        </w:tc>
      </w:tr>
    </w:tbl>
    <w:p>
      <w:pPr>
        <w:spacing w:after="120"/>
      </w:pPr>
    </w:p>
    <w:p>
      <w:pPr>
        <w:spacing w:before="0" w:after="0"/>
      </w:pPr>
      <w:r>
        <w:br w:type="page"/>
      </w:r>
    </w:p>
    <w:p>
      <w:pPr>
        <w:pStyle w:val="Heading2"/>
        <w:keepNext/>
      </w:pPr>
      <w:r>
        <w:t>3. The Solution We Propose</w:t>
      </w:r>
    </w:p>
    <w:p>
      <w:pPr/>
      <w:r>
        <w:rPr>
          <w:rFonts w:ascii="Calibri" w:hAnsi="Calibri"/>
          <w:b w:val="0"/>
          <w:sz w:val="22"/>
        </w:rPr>
        <w:t>APPSolve proposes a phased Oracle Fusion HCM Cloud implementation for Plennegy Group, delivering core human capital management, talent acquisition, and integration services in Phase 1, followed by learning and talent management in Phase 2. The following scope is indicative, pending confirmation of final entity count, headcount, and go-live target from Plennegy.</w:t>
      </w:r>
    </w:p>
    <w:p>
      <w:pPr>
        <w:pStyle w:val="Heading3"/>
        <w:keepNext/>
      </w:pPr>
      <w:r>
        <w:rPr>
          <w:rFonts w:ascii="Calibri" w:hAnsi="Calibri"/>
          <w:b w:val="0"/>
          <w:sz w:val="26"/>
        </w:rPr>
        <w:t>Proposed Implementation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Business Capability Delivered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Single employee record — lifecycle, positions, absence, payroll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recruitment — from vacancy to onboarding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 interface, third-party system connections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learning, certifications, compliance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reviews,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bl>
    <w:p>
      <w:pPr>
        <w:spacing w:before="0" w:after="120"/>
      </w:pPr>
    </w:p>
    <w:p>
      <w:pPr>
        <w:pStyle w:val="Heading3"/>
        <w:keepNext/>
      </w:pPr>
      <w:r>
        <w:rPr>
          <w:rFonts w:ascii="Calibri" w:hAnsi="Calibri"/>
          <w:b w:val="0"/>
          <w:sz w:val="26"/>
        </w:rPr>
        <w:t>What Is Not in This Scope</w:t>
      </w:r>
    </w:p>
    <w:p>
      <w:pPr/>
      <w:r>
        <w:rPr>
          <w:rFonts w:ascii="Calibri" w:hAnsi="Calibri"/>
          <w:b w:val="0"/>
          <w:sz w:val="22"/>
        </w:rPr>
        <w:t>Final scope, commercial proposal, and payment model will be confirmed in a separate Commercial Proposal document issued by APPSolve's Commercial Director.</w:t>
      </w:r>
    </w:p>
    <w:p>
      <w:pPr>
        <w:spacing w:before="0" w:after="0"/>
      </w:pPr>
      <w:r>
        <w:br w:type="page"/>
      </w:r>
    </w:p>
    <w:p>
      <w:pPr>
        <w:pStyle w:val="Heading2"/>
        <w:keepNext/>
      </w:pPr>
      <w:r>
        <w:t>4. Why APPSolve</w:t>
      </w:r>
    </w:p>
    <w:p>
      <w:pPr/>
      <w:r>
        <w:rPr>
          <w:rFonts w:ascii="Calibri" w:hAnsi="Calibri"/>
          <w:b w:val="0"/>
          <w:sz w:val="22"/>
        </w:rPr>
        <w:t>Oracle implementations succeed or fail on the quality of the implementation partner — not the technology. Over more than two decades, APPSolve has helped South African and international organisations realise the full value of Oracle technology by combining deep technical expertise with practical business implementation experience.</w:t>
      </w:r>
    </w:p>
    <w:p>
      <w:pPr/>
      <w:r>
        <w:rPr>
          <w:rFonts w:ascii="Calibri" w:hAnsi="Calibri"/>
          <w:b w:val="0"/>
          <w:sz w:val="22"/>
        </w:rPr>
        <w:t>Oracle is at the core of what APPSolve does. Our team of more than 50 Senior Consultants brings Oracle HCM, ERP, Integration Cloud, Database Administration, and Cloud Infrastructure experience across hundreds of engagements in multiple sectors and geographies.</w:t>
      </w:r>
    </w:p>
    <w:p>
      <w:pPr>
        <w:pStyle w:val="Heading3"/>
        <w:keepNext/>
      </w:pPr>
      <w:r>
        <w:rPr>
          <w:rFonts w:ascii="Calibri" w:hAnsi="Calibri"/>
          <w:b w:val="0"/>
          <w:sz w:val="26"/>
        </w:rPr>
        <w:t>Our Oracle Recognition</w:t>
      </w:r>
    </w:p>
    <w:p>
      <w:pPr>
        <w:pStyle w:val="Heading3"/>
        <w:keepNext/>
      </w:pPr>
      <w:r>
        <w:rPr>
          <w:rFonts w:ascii="Calibri" w:hAnsi="Calibri"/>
          <w:b w:val="0"/>
          <w:sz w:val="26"/>
        </w:rPr>
        <w:t>Why Clients Choose APPSolve</w:t>
      </w:r>
    </w:p>
    <w:p>
      <w:pPr/>
      <w:r>
        <w:rPr>
          <w:rFonts w:ascii="Calibri" w:hAnsi="Calibri"/>
          <w:b w:val="0"/>
          <w:sz w:val="22"/>
        </w:rPr>
        <w:t>Four commitments distinguish APPSolve from other Oracle implementation partners in the South African market:</w:t>
      </w:r>
    </w:p>
    <w:p>
      <w:pPr>
        <w:pStyle w:val="Heading3"/>
        <w:keepNext/>
      </w:pPr>
      <w:r>
        <w:rPr>
          <w:rFonts w:ascii="Calibri" w:hAnsi="Calibri"/>
          <w:b w:val="0"/>
          <w:sz w:val="26"/>
        </w:rPr>
        <w:t>Our Delivery Footprint</w:t>
      </w:r>
    </w:p>
    <w:p>
      <w:pPr/>
      <w:r>
        <w:rPr>
          <w:rFonts w:ascii="Calibri" w:hAnsi="Calibri"/>
          <w:b w:val="0"/>
          <w:sz w:val="22"/>
        </w:rPr>
        <w:t>APPSolve delivers Oracle implementations across South Africa (Gauteng and Western Cape), Sub-Saharan Africa (Botswana, Namibia, Mozambique, Zambia, Tanzania), and internationally (USA, France, Abu Dhabi). Our Oracle HCM portfolio spans gaming, retail, agribusiness, financial services, and professional services.</w:t>
      </w:r>
    </w:p>
    <w:p>
      <w:pPr/>
      <w:r>
        <w:rPr>
          <w:rFonts w:ascii="Calibri" w:hAnsi="Calibri"/>
          <w:b w:val="0"/>
          <w:sz w:val="22"/>
        </w:rPr>
        <w:t>Reference project details are available on request, subject to individual client approval. Contact your APPSolve Account Manager.</w:t>
      </w:r>
    </w:p>
    <w:p>
      <w:pPr>
        <w:spacing w:before="0" w:after="0"/>
      </w:pPr>
      <w:r>
        <w:br w:type="page"/>
      </w:r>
    </w:p>
    <w:p>
      <w:pPr>
        <w:pStyle w:val="Heading2"/>
        <w:keepNext/>
      </w:pPr>
      <w:r>
        <w:t>5. How We Deliver</w:t>
      </w:r>
    </w:p>
    <w:p>
      <w:pPr/>
      <w:r>
        <w:rPr>
          <w:rFonts w:ascii="Calibri" w:hAnsi="Calibri"/>
          <w:b w:val="0"/>
          <w:sz w:val="22"/>
        </w:rPr>
        <w:t>APPSolve's delivery approach for Oracle Fusion HCM Cloud is built on Oracle's Modern Best Practices and Oracle Success Navigator — the adoption framework Oracle has designed specifically for cloud SaaS implementations. We do not apply a legacy ERP methodology to Oracle Fusion Cloud.</w:t>
      </w:r>
    </w:p>
    <w:p>
      <w:pPr/>
      <w:r>
        <w:rPr>
          <w:rFonts w:ascii="Calibri" w:hAnsi="Calibri"/>
          <w:b w:val="0"/>
          <w:sz w:val="22"/>
        </w:rPr>
        <w:t>Oracle Fusion HCM is a continuously evolving cloud platform, not a customised on-premises system. Our delivery philosophy is to configure Oracle's built-in best-practice processes to fit your organisation — rather than rebuilding your current HR processes in a new technology at higher risk and cost.</w:t>
      </w:r>
    </w:p>
    <w:p>
      <w:pPr>
        <w:pStyle w:val="Heading3"/>
        <w:keepNext/>
      </w:pPr>
      <w:r>
        <w:rPr>
          <w:rFonts w:ascii="Calibri" w:hAnsi="Calibri"/>
          <w:b w:val="0"/>
          <w:sz w:val="26"/>
        </w:rPr>
        <w:t>Our Delivery Philosophy</w:t>
      </w:r>
    </w:p>
    <w:p>
      <w:pPr>
        <w:pStyle w:val="Heading3"/>
        <w:keepNext/>
      </w:pPr>
      <w:r>
        <w:rPr>
          <w:rFonts w:ascii="Calibri" w:hAnsi="Calibri"/>
          <w:b w:val="0"/>
          <w:sz w:val="26"/>
        </w:rPr>
        <w:t>The Six Delivery Phases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Happens for You</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project team is established, governance is in place, Oracle environments are provisioned, and the project is formally kicked 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runs Solution Design Workshops with your HR and IT teams to configure Oracle to your organisation — policies, structures, workflows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 see your configured Oracle system for the first time in CRP-2 — a full prototype demonstration. Integration development begins.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team tests the configured system against real scenarios. Data migration is rehearsed. Go-live readiness is formally assessed.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is executed with APPSolve on-site support. Hypercare begins immediately.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manages Oracle quarterly cloud updates, optimises your configuration, and provides Application Managed Services</w:t>
            </w:r>
          </w:p>
        </w:tc>
      </w:tr>
    </w:tbl>
    <w:p>
      <w:pPr>
        <w:spacing w:before="0" w:after="120"/>
      </w:pPr>
    </w:p>
    <w:p>
      <w:pPr>
        <w:pStyle w:val="Heading3"/>
        <w:keepNext/>
      </w:pPr>
      <w:r>
        <w:rPr>
          <w:rFonts w:ascii="Calibri" w:hAnsi="Calibri"/>
          <w:b w:val="0"/>
          <w:sz w:val="26"/>
        </w:rPr>
        <w:t>Quality and Change Management</w:t>
      </w:r>
    </w:p>
    <w:p>
      <w:pPr/>
      <w:r>
        <w:rPr>
          <w:rFonts w:ascii="Calibri" w:hAnsi="Calibri"/>
          <w:b w:val="0"/>
          <w:sz w:val="22"/>
        </w:rPr>
        <w:t>APPSolve assigns a dedicated Quality Assurance review at the end of each phase. Design decisions are formally documented and signed off before configuration begins. Change management — communicating the change, training your team, and supporting adoption — is built into our delivery model from Scope &amp; Design onwards, not added as an afterthought before go-live.</w:t>
      </w:r>
    </w:p>
    <w:p>
      <w:pPr>
        <w:spacing w:before="0" w:after="0"/>
      </w:pPr>
      <w:r>
        <w:br w:type="page"/>
      </w:r>
    </w:p>
    <w:p>
      <w:pPr>
        <w:pStyle w:val="Heading2"/>
        <w:keepNext/>
      </w:pPr>
      <w:r>
        <w:t>6. What We Deliver for You — Oracle Fusion HCM</w:t>
      </w:r>
    </w:p>
    <w:p>
      <w:pPr/>
      <w:r>
        <w:rPr>
          <w:rFonts w:ascii="Calibri" w:hAnsi="Calibri"/>
          <w:b w:val="0"/>
          <w:sz w:val="22"/>
        </w:rPr>
        <w:t>Oracle Fusion HCM Cloud gives Plennegy Group a single, unified human capital management platform — from a candidate's first application to an employee's last day. The following describes what APPSolve will deliver for you and the outcomes you can expect.</w:t>
      </w:r>
    </w:p>
    <w:p>
      <w:pPr>
        <w:pStyle w:val="Heading3"/>
        <w:keepNext/>
      </w:pPr>
      <w:r>
        <w:rPr>
          <w:rFonts w:ascii="Calibri" w:hAnsi="Calibri"/>
          <w:b w:val="0"/>
          <w:sz w:val="26"/>
        </w:rPr>
        <w:t>Core Human Resource Management</w:t>
      </w:r>
    </w:p>
    <w:p>
      <w:pPr/>
      <w:r>
        <w:rPr>
          <w:rFonts w:ascii="Calibri" w:hAnsi="Calibri"/>
          <w:b w:val="0"/>
          <w:sz w:val="22"/>
        </w:rPr>
        <w:t>Your HR team will manage the complete employee lifecycle in one system. Organisation structures, position management, employment terms, personal data, and document management are all maintained in Oracle — with configurable approval workflows, full audit history, and manager and employee self-service available from day one.</w:t>
      </w:r>
    </w:p>
    <w:p>
      <w:pPr/>
      <w:r>
        <w:rPr>
          <w:rFonts w:ascii="Calibri" w:hAnsi="Calibri"/>
          <w:b w:val="0"/>
          <w:sz w:val="22"/>
        </w:rPr>
        <w:t>Absence management is a frequent compliance and payroll risk for multi-entity organisations. Oracle HCM manages all absence types — annual leave, sick leave, parental leave, and statutory absences — with accurate accrual calculations, approval routing, and manager visibility. Absence data flows automatically to payroll processing, eliminating manual reconciliation.</w:t>
      </w:r>
    </w:p>
    <w:p>
      <w:pPr>
        <w:pStyle w:val="Heading3"/>
        <w:keepNext/>
      </w:pPr>
      <w:r>
        <w:rPr>
          <w:rFonts w:ascii="Calibri" w:hAnsi="Calibri"/>
          <w:b w:val="0"/>
          <w:sz w:val="26"/>
        </w:rPr>
        <w:t>Talent Acquisition</w:t>
      </w:r>
    </w:p>
    <w:p>
      <w:pPr/>
      <w:r>
        <w:rPr>
          <w:rFonts w:ascii="Calibri" w:hAnsi="Calibri"/>
          <w:b w:val="0"/>
          <w:sz w:val="22"/>
        </w:rPr>
        <w:t>Oracle Recruiting Cloud replaces disconnected, email-based recruitment with a structured, trackable hiring process. From vacancy creation to offer acceptance, every step is in one system. Candidates experience a professional, mobile-friendly application process. Hiring managers see their pipeline in real time. HR reports on time-to-hire, source effectiveness, and offer outcomes from go-live.</w:t>
      </w:r>
    </w:p>
    <w:p>
      <w:pPr/>
      <w:r>
        <w:rPr>
          <w:rFonts w:ascii="Calibri" w:hAnsi="Calibri"/>
          <w:b w:val="0"/>
          <w:sz w:val="22"/>
        </w:rPr>
        <w:t>Approved candidates move directly from Oracle Recruiting into Oracle HCM Core — eliminating duplicate data entry, onboarding errors, and the delay between offer acceptance and system record creation. APPSolve has implemented Oracle Recruiting Cloud in large South African organisations and brings practical knowledge of the configuration, integrations, and adoption practices that make it work.</w:t>
      </w:r>
    </w:p>
    <w:p>
      <w:pPr>
        <w:pStyle w:val="Heading3"/>
        <w:keepNext/>
      </w:pPr>
      <w:r>
        <w:rPr>
          <w:rFonts w:ascii="Calibri" w:hAnsi="Calibri"/>
          <w:b w:val="0"/>
          <w:sz w:val="26"/>
        </w:rPr>
        <w:t>Learning and Development</w:t>
      </w:r>
    </w:p>
    <w:p>
      <w:pPr/>
      <w:r>
        <w:rPr>
          <w:rFonts w:ascii="Calibri" w:hAnsi="Calibri"/>
          <w:b w:val="0"/>
          <w:sz w:val="22"/>
        </w:rPr>
        <w:t>Oracle Learning Cloud gives Plennegy a structured learning environment without additional third-party tools. Course catalogues, learning paths, certifications, mandatory compliance training, and instructor-led training scheduling are all managed in Oracle. Employees access their learning through Oracle's self-service interface on desktop or mobile. Completion records and certification status are maintained against each employee's profile and visible to managers and HR in real time.</w:t>
      </w:r>
    </w:p>
    <w:p>
      <w:pPr>
        <w:pStyle w:val="Heading3"/>
        <w:keepNext/>
      </w:pPr>
      <w:r>
        <w:rPr>
          <w:rFonts w:ascii="Calibri" w:hAnsi="Calibri"/>
          <w:b w:val="0"/>
          <w:sz w:val="26"/>
        </w:rPr>
        <w:t>Talent Management</w:t>
      </w:r>
    </w:p>
    <w:p>
      <w:pPr/>
      <w:r>
        <w:rPr>
          <w:rFonts w:ascii="Calibri" w:hAnsi="Calibri"/>
          <w:b w:val="0"/>
          <w:sz w:val="22"/>
        </w:rPr>
        <w:t>Oracle's performance management, goal-setting, and succession planning modules give Plennegy's managers and HR teams a structured approach to employee development. Managers set goals with employees in Oracle, track progress through the year, and complete performance reviews in a single, consistent workflow. HR and leadership gain cross-functional talent visibility through talent profiles, succession dashboards, and calibration tools.</w:t>
      </w:r>
    </w:p>
    <w:p>
      <w:pPr>
        <w:pStyle w:val="Heading3"/>
        <w:keepNext/>
      </w:pPr>
      <w:r>
        <w:rPr>
          <w:rFonts w:ascii="Calibri" w:hAnsi="Calibri"/>
          <w:b w:val="0"/>
          <w:sz w:val="26"/>
        </w:rPr>
        <w:t>Payroll Integration and Integration Services</w:t>
      </w:r>
    </w:p>
    <w:p>
      <w:pPr/>
      <w:r>
        <w:rPr>
          <w:rFonts w:ascii="Calibri" w:hAnsi="Calibri"/>
          <w:b w:val="0"/>
          <w:sz w:val="22"/>
        </w:rPr>
        <w:t>Oracle Integration Cloud (OIC) connects Oracle Fusion HCM to Plennegy's payroll provider. APPSolve's proven bidirectional payroll integration moves employee and position data from Oracle HCM into payroll processing, and returns confirmed pay results and statutory data to Oracle. The integration includes exception handling, real-time monitoring, and alerting — so that payroll accuracy does not depend on manual reconciliation.</w:t>
      </w:r>
    </w:p>
    <w:p>
      <w:pPr/>
      <w:r>
        <w:rPr>
          <w:rFonts w:ascii="Calibri" w:hAnsi="Calibri"/>
          <w:b w:val="0"/>
          <w:sz w:val="22"/>
        </w:rPr>
        <w:t>APPSolve has implemented Oracle Integration Cloud payroll interfaces in multiple South African production environments and brings proven integration patterns, testing frameworks, and operational runbooks to every engagement.</w:t>
      </w:r>
    </w:p>
    <w:p>
      <w:pPr>
        <w:pStyle w:val="Heading3"/>
        <w:keepNext/>
      </w:pPr>
      <w:r>
        <w:rPr>
          <w:rFonts w:ascii="Calibri" w:hAnsi="Calibri"/>
          <w:b w:val="0"/>
          <w:sz w:val="26"/>
        </w:rPr>
        <w:t>Workforce Reporting and Intelligence</w:t>
      </w:r>
    </w:p>
    <w:p>
      <w:pPr/>
      <w:r>
        <w:rPr>
          <w:rFonts w:ascii="Calibri" w:hAnsi="Calibri"/>
          <w:b w:val="0"/>
          <w:sz w:val="22"/>
        </w:rPr>
        <w:t>Oracle OTBI (Transactional Business Intelligence) and BI Publisher are included in every Oracle HCM implementation. APPSolve delivers a standard set of HR operational reports — headcount, absence analysis, recruitment pipeline, and learning completion — configured from go-live. Additional reports can be developed during the project or as part of post-go-live AMS.</w:t>
      </w:r>
    </w:p>
    <w:p>
      <w:pPr>
        <w:spacing w:before="0" w:after="0"/>
      </w:pPr>
      <w:r>
        <w:br w:type="page"/>
      </w:r>
    </w:p>
    <w:p>
      <w:pPr>
        <w:pStyle w:val="Heading2"/>
        <w:keepNext/>
      </w:pPr>
      <w:r>
        <w:t>7. Project Governance</w:t>
      </w:r>
    </w:p>
    <w:p>
      <w:pPr/>
      <w:r>
        <w:rPr>
          <w:rFonts w:ascii="Calibri" w:hAnsi="Calibri"/>
          <w:b w:val="0"/>
          <w:sz w:val="22"/>
        </w:rPr>
        <w:t>APPSolve's project governance model provides clear accountability, rapid decision-making, and transparent risk management throughout the engagement. The framework operates at three levels: strategic, operational, and workstream.</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Level</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Executive Sponsors (client +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 ownership</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progress, design decisions, CRP planning</w:t>
            </w:r>
          </w:p>
        </w:tc>
      </w:tr>
    </w:tbl>
    <w:p>
      <w:pPr>
        <w:spacing w:before="0" w:after="120"/>
      </w:pPr>
    </w:p>
    <w:p>
      <w:pPr/>
      <w:r>
        <w:rPr>
          <w:rFonts w:ascii="Calibri" w:hAnsi="Calibri"/>
          <w:b w:val="0"/>
          <w:sz w:val="22"/>
        </w:rPr>
        <w:t>APPSolve issues a weekly project status report to all stakeholders covering RAG status by workstream, upcoming milestones, open risks, and pending client decisions. All scope changes are processed through a formal Change Request — assessed for commercial and timeline impact before any approval is given.</w:t>
      </w:r>
    </w:p>
    <w:p>
      <w:pPr/>
      <w:r>
        <w:rPr>
          <w:rFonts w:ascii="Calibri" w:hAnsi="Calibri"/>
          <w:b w:val="0"/>
          <w:sz w:val="22"/>
        </w:rPr>
        <w:t>A project-specific RAID Register (Risks, Assumptions, Issues, Dependencies) is maintained throughout the engagement and reviewed at each Project Management meeting. Specific RAID content, Change Control procedures, and the Cutover Plan will be developed during the Mobilise phase with Plennegy's project sponsor and APPSolve's Project Manager.</w:t>
      </w:r>
    </w:p>
    <w:p>
      <w:pPr>
        <w:spacing w:before="0" w:after="0"/>
      </w:pPr>
      <w:r>
        <w:br w:type="page"/>
      </w:r>
    </w:p>
    <w:p>
      <w:pPr>
        <w:pStyle w:val="Heading2"/>
        <w:keepNext/>
      </w:pPr>
      <w:r>
        <w:t>8. Your Implementation Roadmap</w:t>
      </w:r>
    </w:p>
    <w:p>
      <w:pPr/>
      <w:r>
        <w:rPr>
          <w:rFonts w:ascii="Calibri" w:hAnsi="Calibri"/>
          <w:b w:val="0"/>
          <w:sz w:val="22"/>
        </w:rPr>
        <w:t>The following roadmap provides indicative timelines for Plennegy's Oracle Fusion HCM Cloud implementation. Durations are subject to scope confirmation, Oracle environment provisioning timelines, and Plennegy resource availability.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Client Milestones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sign-off; project team confirmed; kick-off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documents approved; CRP-1 complete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prototype sign-off; integration approved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sign-off; data migration approved; go-live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active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active; quarterly updates managed</w:t>
            </w:r>
          </w:p>
        </w:tc>
      </w:tr>
    </w:tbl>
    <w:p>
      <w:pPr>
        <w:spacing w:before="0" w:after="120"/>
      </w:pPr>
    </w:p>
    <w:p>
      <w:pPr>
        <w:spacing w:before="0" w:after="0"/>
      </w:pPr>
      <w:r>
        <w:br w:type="page"/>
      </w:r>
    </w:p>
    <w:p>
      <w:pPr>
        <w:pStyle w:val="Heading2"/>
        <w:keepNext/>
      </w:pPr>
      <w:r>
        <w:t>9. Key Assumptions</w:t>
      </w:r>
    </w:p>
    <w:p>
      <w:pPr/>
      <w:r>
        <w:rPr>
          <w:rFonts w:ascii="Calibri" w:hAnsi="Calibri"/>
          <w:b w:val="0"/>
          <w:sz w:val="22"/>
        </w:rPr>
        <w:t>APPSolve's proposal is governed by a comprehensive set of commercial assumptions that define the contractual basis for scope, cost, and timeline. The following categories apply to this engagement. Full detail is in Appendix 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Most Material to Scope and Cost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(Core HR, Absence, Payroll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Entity count, headcount, payroll system, data migration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volume, pre-employment check requirements, onboarding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size, delivery methods, certification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design, succession scope, performance rating model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Number of integrations, payroll provider, third-party systems</w:t>
            </w:r>
          </w:p>
        </w:tc>
      </w:tr>
    </w:tbl>
    <w:p>
      <w:pPr>
        <w:spacing w:before="0" w:after="120"/>
      </w:pPr>
    </w:p>
    <w:p>
      <w:pPr/>
      <w:r>
        <w:rPr>
          <w:rFonts w:ascii="Calibri" w:hAnsi="Calibri"/>
          <w:b w:val="0"/>
          <w:sz w:val="22"/>
        </w:rPr>
        <w:t xml:space="preserve">The complete Assumption Schedule is in </w:t>
      </w:r>
      <w:r>
        <w:rPr>
          <w:rFonts w:ascii="Calibri" w:hAnsi="Calibri"/>
          <w:sz w:val="22"/>
        </w:rPr>
        <w:t>**Appendix A**</w:t>
      </w:r>
      <w:r>
        <w:rPr>
          <w:rFonts w:ascii="Calibri" w:hAnsi="Calibri"/>
          <w:b w:val="0"/>
          <w:sz w:val="22"/>
        </w:rPr>
        <w:t>. All assumptions govern this proposal and the subsequent Statement of Work.</w:t>
      </w:r>
    </w:p>
    <w:p>
      <w:pPr>
        <w:spacing w:before="0" w:after="0"/>
      </w:pPr>
      <w:r>
        <w:br w:type="page"/>
      </w:r>
    </w:p>
    <w:p>
      <w:pPr>
        <w:pStyle w:val="Heading2"/>
        <w:keepNext/>
      </w:pPr>
      <w:r>
        <w:t>10. Commercial</w:t>
      </w:r>
    </w:p>
    <w:p>
      <w:pPr/>
      <w:r>
        <w:rPr>
          <w:rFonts w:ascii="Calibri" w:hAnsi="Calibri"/>
          <w:b w:val="0"/>
          <w:sz w:val="22"/>
        </w:rPr>
        <w:t>APPSolve's formal commercial proposal will be issued by our Commercial Director once the scope inputs below are confirmed. The commercial document constitutes the binding offer and must be counter-signed by both parties before work commences.</w:t>
      </w:r>
    </w:p>
    <w:p>
      <w:pPr>
        <w:pStyle w:val="Heading3"/>
        <w:keepNext/>
      </w:pPr>
      <w:r>
        <w:rPr>
          <w:rFonts w:ascii="Calibri" w:hAnsi="Calibri"/>
          <w:b w:val="0"/>
          <w:sz w:val="26"/>
        </w:rPr>
        <w:t>Information Required Before Commercial Proposal</w:t>
      </w:r>
    </w:p>
    <w:p>
      <w:pPr>
        <w:pStyle w:val="Heading3"/>
        <w:keepNext/>
      </w:pPr>
      <w:r>
        <w:rPr>
          <w:rFonts w:ascii="Calibri" w:hAnsi="Calibri"/>
          <w:b w:val="0"/>
          <w:sz w:val="26"/>
        </w:rPr>
        <w:t>APPSolve's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Best Suited To</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a fixed cost; Change Requests separately priced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Defined HCM Cloud scope with low likelihood of scope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at agreed rates per day; no fixed cost ceiling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expected to evolve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Predictable cost management; APPSolve's preferred model for sustained engagements</w:t>
            </w:r>
          </w:p>
        </w:tc>
      </w:tr>
    </w:tbl>
    <w:p>
      <w:pPr>
        <w:spacing w:before="0" w:after="120"/>
      </w:pPr>
    </w:p>
    <w:p>
      <w:pPr/>
      <w:r>
        <w:rPr>
          <w:rFonts w:ascii="Calibri" w:hAnsi="Calibri"/>
          <w:b w:val="0"/>
          <w:sz w:val="22"/>
        </w:rPr>
        <w:t>_Pricing is provided exclusively in APPSolve's formal Commercial Proposal document. No rates, estimates, or pricing terms in this document are binding until the Commercial Proposal is issued and counter-signed._</w:t>
      </w:r>
    </w:p>
    <w:p>
      <w:pPr>
        <w:spacing w:before="0" w:after="0"/>
      </w:pPr>
      <w:r>
        <w:br w:type="page"/>
      </w:r>
    </w:p>
    <w:p>
      <w:pPr>
        <w:pStyle w:val="Heading2"/>
        <w:keepNext/>
      </w:pPr>
      <w:r>
        <w:t>11. Your Next Steps</w:t>
      </w:r>
    </w:p>
    <w:p>
      <w:pPr/>
      <w:r>
        <w:rPr>
          <w:rFonts w:ascii="Calibri" w:hAnsi="Calibri"/>
          <w:b w:val="0"/>
          <w:sz w:val="22"/>
        </w:rPr>
        <w:t>APPSolve is ready to progress this engagement. The following actions are Plennegy's to complete before APPSolve can issue the final commercial proposal: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Timeline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Oracle HCM scope**</w:t>
            </w:r>
            <w:r>
              <w:rPr>
                <w:rFonts w:ascii="Calibri" w:hAnsi="Calibri"/>
                <w:b w:val="0"/>
                <w:sz w:val="20"/>
              </w:rPr>
              <w:t xml:space="preserve"> — which modules, how many legal entities, employee headcount, payroll provider, go-live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**Nominate your Project Sponsor**</w:t>
            </w:r>
            <w:r>
              <w:rPr>
                <w:rFonts w:ascii="Calibri" w:hAnsi="Calibri"/>
                <w:b w:val="0"/>
                <w:sz w:val="20"/>
              </w:rPr>
              <w:t xml:space="preserve"> — a Plennegy executive with authority to approve scope, design decisions, and commercial terms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your preferred commercial model**</w:t>
            </w:r>
            <w:r>
              <w:rPr>
                <w:rFonts w:ascii="Calibri" w:hAnsi="Calibri"/>
                <w:b w:val="0"/>
                <w:sz w:val="20"/>
              </w:rPr>
              <w:t xml:space="preserve"> — Fixed Price, Time and Materials, or 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 reference client usage**</w:t>
            </w:r>
            <w:r>
              <w:rPr>
                <w:rFonts w:ascii="Calibri" w:hAnsi="Calibri"/>
                <w:b w:val="0"/>
                <w:sz w:val="20"/>
              </w:rPr>
              <w:t xml:space="preserve"> — advise your APPSolve Account Manager which reference clients may be named in this submission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any RFP or scoring requirements**</w:t>
            </w:r>
            <w:r>
              <w:rPr>
                <w:rFonts w:ascii="Calibri" w:hAnsi="Calibri"/>
                <w:b w:val="0"/>
                <w:sz w:val="20"/>
              </w:rPr>
              <w:t xml:space="preserve"> — if this submission must address specific evaluation criteria, advise your Account 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a scope confirmation call**</w:t>
            </w:r>
            <w:r>
              <w:rPr>
                <w:rFonts w:ascii="Calibri" w:hAnsi="Calibri"/>
                <w:b w:val="0"/>
                <w:sz w:val="20"/>
              </w:rPr>
              <w:t xml:space="preserve"> — APPSolve's Account Manager and Business Unit Lead will attend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week</w:t>
            </w:r>
          </w:p>
        </w:tc>
      </w:tr>
    </w:tbl>
    <w:p>
      <w:pPr>
        <w:spacing w:before="0" w:after="120"/>
      </w:pPr>
    </w:p>
    <w:p>
      <w:pPr/>
      <w:r>
        <w:rPr>
          <w:rFonts w:ascii="Calibri" w:hAnsi="Calibri"/>
          <w:b w:val="0"/>
          <w:sz w:val="22"/>
        </w:rPr>
        <w:t>Once scope is confirmed, APPSolve will produce the final commercial proposal within 5–10 business days. The final proposal, APPSolve's formal Statement of Work, and relevant compliance certificates will be submitted together as a complete submission package.</w:t>
      </w:r>
    </w:p>
    <w:p>
      <w:pPr>
        <w:spacing w:before="0" w:after="0"/>
      </w:pPr>
      <w:r>
        <w:br w:type="page"/>
      </w:r>
    </w:p>
    <w:p>
      <w:pPr>
        <w:pStyle w:val="Heading2"/>
        <w:keepNext/>
      </w:pPr>
      <w:r>
        <w:t>Appendix A — Assumption Schedule</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pBdr>
          <w:bottom w:val="single" w:sz="4" w:space="1" w:color="CCCCCC"/>
        </w:pBdr>
        <w:spacing w:before="80" w:after="80"/>
      </w:pPr>
    </w:p>
    <w:p>
      <w:pPr>
        <w:pStyle w:val="Heading4"/>
        <w:keepNext/>
      </w:pPr>
      <w:r>
        <w:rPr>
          <w:rFonts w:ascii="Calibri" w:hAnsi="Calibri"/>
          <w:b w:val="0"/>
          <w:sz w:val="22"/>
        </w:rPr>
        <w:t>17. Requisition Assumptions</w:t>
      </w:r>
    </w:p>
    <w:p>
      <w:pPr>
        <w:pBdr>
          <w:bottom w:val="single" w:sz="4" w:space="1" w:color="CCCCCC"/>
        </w:pBdr>
        <w:spacing w:before="80" w:after="80"/>
      </w:pPr>
    </w:p>
    <w:p>
      <w:pPr>
        <w:pStyle w:val="Heading4"/>
        <w:keepNext/>
      </w:pPr>
      <w:r>
        <w:rPr>
          <w:rFonts w:ascii="Calibri" w:hAnsi="Calibri"/>
          <w:b w:val="0"/>
          <w:sz w:val="22"/>
        </w:rPr>
        <w:t>18. Candidate Migration Assumptions</w:t>
      </w:r>
    </w:p>
    <w:p>
      <w:pPr>
        <w:pBdr>
          <w:bottom w:val="single" w:sz="4" w:space="1" w:color="CCCCCC"/>
        </w:pBdr>
        <w:spacing w:before="80" w:after="80"/>
      </w:pPr>
    </w:p>
    <w:p>
      <w:pPr>
        <w:pStyle w:val="Heading4"/>
        <w:keepNext/>
      </w:pPr>
      <w:r>
        <w:rPr>
          <w:rFonts w:ascii="Calibri" w:hAnsi="Calibri"/>
          <w:b w:val="0"/>
          <w:sz w:val="22"/>
        </w:rPr>
        <w:t>19. Recruiting Agency Assumptions</w:t>
      </w:r>
    </w:p>
    <w:p>
      <w:pPr>
        <w:pBdr>
          <w:bottom w:val="single" w:sz="4" w:space="1" w:color="CCCCCC"/>
        </w:pBdr>
        <w:spacing w:before="80" w:after="80"/>
      </w:pPr>
    </w:p>
    <w:p>
      <w:pPr>
        <w:pStyle w:val="Heading4"/>
        <w:keepNext/>
      </w:pPr>
      <w:r>
        <w:rPr>
          <w:rFonts w:ascii="Calibri" w:hAnsi="Calibri"/>
          <w:b w:val="0"/>
          <w:sz w:val="22"/>
        </w:rPr>
        <w:t>20. Offer Management Assumptions</w:t>
      </w:r>
    </w:p>
    <w:p>
      <w:pPr>
        <w:pBdr>
          <w:bottom w:val="single" w:sz="4" w:space="1" w:color="CCCCCC"/>
        </w:pBdr>
        <w:spacing w:before="80" w:after="80"/>
      </w:pPr>
    </w:p>
    <w:p>
      <w:pPr>
        <w:pStyle w:val="Heading4"/>
        <w:keepNext/>
      </w:pPr>
      <w:r>
        <w:rPr>
          <w:rFonts w:ascii="Calibri" w:hAnsi="Calibri"/>
          <w:b w:val="0"/>
          <w:sz w:val="22"/>
        </w:rPr>
        <w:t>21. Interview Scheduling Assumptions</w:t>
      </w:r>
    </w:p>
    <w:p>
      <w:pPr>
        <w:pBdr>
          <w:bottom w:val="single" w:sz="4" w:space="1" w:color="CCCCCC"/>
        </w:pBdr>
        <w:spacing w:before="80" w:after="80"/>
      </w:pPr>
    </w:p>
    <w:p>
      <w:pPr>
        <w:pStyle w:val="Heading4"/>
        <w:keepNext/>
      </w:pPr>
      <w:r>
        <w:rPr>
          <w:rFonts w:ascii="Calibri" w:hAnsi="Calibri"/>
          <w:b w:val="0"/>
          <w:sz w:val="22"/>
        </w:rPr>
        <w:t>22. LinkedIn Integration Assumptions</w:t>
      </w:r>
    </w:p>
    <w:p>
      <w:pPr>
        <w:pBdr>
          <w:bottom w:val="single" w:sz="4" w:space="1" w:color="CCCCCC"/>
        </w:pBdr>
        <w:spacing w:before="80" w:after="80"/>
      </w:pPr>
    </w:p>
    <w:p>
      <w:pPr>
        <w:pStyle w:val="Heading4"/>
        <w:keepNext/>
      </w:pPr>
      <w:r>
        <w:rPr>
          <w:rFonts w:ascii="Calibri" w:hAnsi="Calibri"/>
          <w:b w:val="0"/>
          <w:sz w:val="22"/>
        </w:rPr>
        <w:t>23. Recruiting Reporting Assumptions</w:t>
      </w:r>
    </w:p>
    <w:p>
      <w:pPr>
        <w:pBdr>
          <w:bottom w:val="single" w:sz="4" w:space="1" w:color="CCCCCC"/>
        </w:pBdr>
        <w:spacing w:before="80" w:after="80"/>
      </w:pPr>
    </w:p>
    <w:p>
      <w:pPr>
        <w:pStyle w:val="Heading4"/>
        <w:keepNext/>
      </w:pPr>
      <w:r>
        <w:rPr>
          <w:rFonts w:ascii="Calibri" w:hAnsi="Calibri"/>
          <w:b w:val="0"/>
          <w:sz w:val="22"/>
        </w:rPr>
        <w:t>24. Recruiting Booster Assumptions</w:t>
      </w:r>
    </w:p>
    <w:p>
      <w:pPr>
        <w:pBdr>
          <w:bottom w:val="single" w:sz="4" w:space="1" w:color="CCCCCC"/>
        </w:pBdr>
        <w:spacing w:before="80" w:after="80"/>
      </w:pPr>
    </w:p>
    <w:p>
      <w:pPr>
        <w:pStyle w:val="Heading4"/>
        <w:keepNext/>
      </w:pPr>
      <w:r>
        <w:rPr>
          <w:rFonts w:ascii="Calibri" w:hAnsi="Calibri"/>
          <w:b w:val="0"/>
          <w:sz w:val="22"/>
        </w:rPr>
        <w:t>25. Recruiting Security Assumptions</w:t>
      </w:r>
    </w:p>
    <w:p>
      <w:pPr>
        <w:pBdr>
          <w:bottom w:val="single" w:sz="4" w:space="1" w:color="CCCCCC"/>
        </w:pBdr>
        <w:spacing w:before="80" w:after="80"/>
      </w:pPr>
    </w:p>
    <w:p>
      <w:pPr>
        <w:pStyle w:val="Heading4"/>
        <w:keepNext/>
      </w:pPr>
      <w:r>
        <w:rPr>
          <w:rFonts w:ascii="Calibri" w:hAnsi="Calibri"/>
          <w:b w:val="0"/>
          <w:sz w:val="22"/>
        </w:rPr>
        <w:t>26. Recruiting Training Assumptions</w:t>
      </w:r>
    </w:p>
    <w:p>
      <w:pPr>
        <w:pBdr>
          <w:bottom w:val="single" w:sz="4" w:space="1" w:color="CCCCCC"/>
        </w:pBdr>
        <w:spacing w:before="80" w:after="80"/>
      </w:pPr>
    </w:p>
    <w:p>
      <w:pPr>
        <w:pStyle w:val="Heading4"/>
        <w:keepNext/>
      </w:pPr>
      <w:r>
        <w:rPr>
          <w:rFonts w:ascii="Calibri" w:hAnsi="Calibri"/>
          <w:b w:val="0"/>
          <w:sz w:val="22"/>
        </w:rPr>
        <w:t>27. Recruiting Exclusions</w:t>
      </w:r>
    </w:p>
    <w:p>
      <w:pPr>
        <w:pStyle w:val="Heading3"/>
        <w:keepNext/>
      </w:pPr>
      <w:r>
        <w:rPr>
          <w:rFonts w:ascii="Calibri" w:hAnsi="Calibri"/>
          <w:b w:val="0"/>
          <w:sz w:val="26"/>
        </w:rPr>
        <w:t>Oracle Fusion Learning Cloud — Assumptions V1.0</w:t>
      </w:r>
    </w:p>
    <w:p>
      <w:pPr>
        <w:pBdr>
          <w:bottom w:val="single" w:sz="4" w:space="1" w:color="CCCCCC"/>
        </w:pBdr>
        <w:spacing w:before="80" w:after="80"/>
      </w:pPr>
    </w:p>
    <w:p>
      <w:pPr>
        <w:pStyle w:val="Heading4"/>
        <w:keepNext/>
      </w:pPr>
      <w:r>
        <w:rPr>
          <w:rFonts w:ascii="Calibri" w:hAnsi="Calibri"/>
          <w:b w:val="0"/>
          <w:sz w:val="22"/>
        </w:rPr>
        <w:t>28. Learning Content Assumptions</w:t>
      </w:r>
    </w:p>
    <w:p>
      <w:pPr>
        <w:pBdr>
          <w:bottom w:val="single" w:sz="4" w:space="1" w:color="CCCCCC"/>
        </w:pBdr>
        <w:spacing w:before="80" w:after="80"/>
      </w:pPr>
    </w:p>
    <w:p>
      <w:pPr>
        <w:pStyle w:val="Heading4"/>
        <w:keepNext/>
      </w:pPr>
      <w:r>
        <w:rPr>
          <w:rFonts w:ascii="Calibri" w:hAnsi="Calibri"/>
          <w:b w:val="0"/>
          <w:sz w:val="22"/>
        </w:rPr>
        <w:t>29. Learning Platform Configuration</w:t>
      </w:r>
    </w:p>
    <w:p>
      <w:pPr>
        <w:pBdr>
          <w:bottom w:val="single" w:sz="4" w:space="1" w:color="CCCCCC"/>
        </w:pBdr>
        <w:spacing w:before="80" w:after="80"/>
      </w:pPr>
    </w:p>
    <w:p>
      <w:pPr>
        <w:pStyle w:val="Heading4"/>
        <w:keepNext/>
      </w:pPr>
      <w:r>
        <w:rPr>
          <w:rFonts w:ascii="Calibri" w:hAnsi="Calibri"/>
          <w:b w:val="0"/>
          <w:sz w:val="22"/>
        </w:rPr>
        <w:t>30. AI and Personalised Learning</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pBdr>
          <w:bottom w:val="single" w:sz="4" w:space="1" w:color="CCCCCC"/>
        </w:pBdr>
        <w:spacing w:before="80" w:after="80"/>
      </w:pPr>
    </w:p>
    <w:p>
      <w:pPr>
        <w:pStyle w:val="Heading4"/>
        <w:keepNext/>
      </w:pPr>
      <w:r>
        <w:rPr>
          <w:rFonts w:ascii="Calibri" w:hAnsi="Calibri"/>
          <w:b w:val="0"/>
          <w:sz w:val="22"/>
        </w:rPr>
        <w:t>33. Learning Data Migration</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pBdr>
          <w:bottom w:val="single" w:sz="4" w:space="1" w:color="CCCCCC"/>
        </w:pBdr>
        <w:spacing w:before="80" w:after="80"/>
      </w:pPr>
    </w:p>
    <w:p>
      <w:pPr>
        <w:pStyle w:val="Heading4"/>
        <w:keepNext/>
      </w:pPr>
      <w:r>
        <w:rPr>
          <w:rFonts w:ascii="Calibri" w:hAnsi="Calibri"/>
          <w:b w:val="0"/>
          <w:sz w:val="22"/>
        </w:rPr>
        <w:t>35. Learning Exclusions</w:t>
      </w:r>
    </w:p>
    <w:p>
      <w:pPr>
        <w:pStyle w:val="Heading3"/>
        <w:keepNext/>
      </w:pPr>
      <w:r>
        <w:rPr>
          <w:rFonts w:ascii="Calibri" w:hAnsi="Calibri"/>
          <w:b w:val="0"/>
          <w:sz w:val="26"/>
        </w:rPr>
        <w:t>Oracle Fusion Talent Management — Assumptions V1.0</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pBdr>
          <w:bottom w:val="single" w:sz="4" w:space="1" w:color="CCCCCC"/>
        </w:pBdr>
        <w:spacing w:before="80" w:after="80"/>
      </w:pPr>
    </w:p>
    <w:p>
      <w:pPr>
        <w:pStyle w:val="Heading4"/>
        <w:keepNext/>
      </w:pPr>
      <w:r>
        <w:rPr>
          <w:rFonts w:ascii="Calibri" w:hAnsi="Calibri"/>
          <w:b w:val="0"/>
          <w:sz w:val="22"/>
        </w:rPr>
        <w:t>37. Goal Management Assumptions</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pBdr>
          <w:bottom w:val="single" w:sz="4" w:space="1" w:color="CCCCCC"/>
        </w:pBdr>
        <w:spacing w:before="80" w:after="80"/>
      </w:pPr>
    </w:p>
    <w:p>
      <w:pPr>
        <w:pStyle w:val="Heading4"/>
        <w:keepNext/>
      </w:pPr>
      <w:r>
        <w:rPr>
          <w:rFonts w:ascii="Calibri" w:hAnsi="Calibri"/>
          <w:b w:val="0"/>
          <w:sz w:val="22"/>
        </w:rPr>
        <w:t>39. Career Development Assumptions</w:t>
      </w:r>
    </w:p>
    <w:p>
      <w:pPr>
        <w:pBdr>
          <w:bottom w:val="single" w:sz="4" w:space="1" w:color="CCCCCC"/>
        </w:pBdr>
        <w:spacing w:before="80" w:after="80"/>
      </w:pPr>
    </w:p>
    <w:p>
      <w:pPr>
        <w:pStyle w:val="Heading4"/>
        <w:keepNext/>
      </w:pPr>
      <w:r>
        <w:rPr>
          <w:rFonts w:ascii="Calibri" w:hAnsi="Calibri"/>
          <w:b w:val="0"/>
          <w:sz w:val="22"/>
        </w:rPr>
        <w:t>40. Talent Profile Assumptions</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pBdr>
          <w:bottom w:val="single" w:sz="4" w:space="1" w:color="CCCCCC"/>
        </w:pBdr>
        <w:spacing w:before="80" w:after="80"/>
      </w:pPr>
    </w:p>
    <w:p>
      <w:pPr>
        <w:pStyle w:val="Heading4"/>
        <w:keepNext/>
      </w:pPr>
      <w:r>
        <w:rPr>
          <w:rFonts w:ascii="Calibri" w:hAnsi="Calibri"/>
          <w:b w:val="0"/>
          <w:sz w:val="22"/>
        </w:rPr>
        <w:t>42. Talent Management Exclusions</w:t>
      </w:r>
    </w:p>
    <w:p>
      <w:pPr>
        <w:pStyle w:val="Heading3"/>
        <w:keepNext/>
      </w:pPr>
      <w:r>
        <w:rPr>
          <w:rFonts w:ascii="Calibri" w:hAnsi="Calibri"/>
          <w:b w:val="0"/>
          <w:sz w:val="26"/>
        </w:rPr>
        <w:t>Oracle Integration Cloud (OIC) — Assumptions V1.0</w:t>
      </w:r>
    </w:p>
    <w:p>
      <w:pPr>
        <w:pBdr>
          <w:bottom w:val="single" w:sz="4" w:space="1" w:color="CCCCCC"/>
        </w:pBdr>
        <w:spacing w:before="80" w:after="80"/>
      </w:pPr>
    </w:p>
    <w:p>
      <w:pPr>
        <w:pStyle w:val="Heading4"/>
        <w:keepNext/>
      </w:pPr>
      <w:r>
        <w:rPr>
          <w:rFonts w:ascii="Calibri" w:hAnsi="Calibri"/>
          <w:b w:val="0"/>
          <w:sz w:val="22"/>
        </w:rPr>
        <w:t>51. Scope Assumptions</w:t>
      </w:r>
    </w:p>
    <w:p>
      <w:pPr>
        <w:pBdr>
          <w:bottom w:val="single" w:sz="4" w:space="1" w:color="CCCCCC"/>
        </w:pBdr>
        <w:spacing w:before="80" w:after="80"/>
      </w:pPr>
    </w:p>
    <w:p>
      <w:pPr>
        <w:pStyle w:val="Heading4"/>
        <w:keepNext/>
      </w:pPr>
      <w:r>
        <w:rPr>
          <w:rFonts w:ascii="Calibri" w:hAnsi="Calibri"/>
          <w:b w:val="0"/>
          <w:sz w:val="22"/>
        </w:rPr>
        <w:t>52. Integration Design Assumptions</w:t>
      </w:r>
    </w:p>
    <w:p>
      <w:pPr>
        <w:pBdr>
          <w:bottom w:val="single" w:sz="4" w:space="1" w:color="CCCCCC"/>
        </w:pBdr>
        <w:spacing w:before="80" w:after="80"/>
      </w:pPr>
    </w:p>
    <w:p>
      <w:pPr>
        <w:pStyle w:val="Heading4"/>
        <w:keepNext/>
      </w:pPr>
      <w:r>
        <w:rPr>
          <w:rFonts w:ascii="Calibri" w:hAnsi="Calibri"/>
          <w:b w:val="0"/>
          <w:sz w:val="22"/>
        </w:rPr>
        <w:t>53. Endpoint Assumptions</w:t>
      </w:r>
    </w:p>
    <w:p>
      <w:pPr>
        <w:pBdr>
          <w:bottom w:val="single" w:sz="4" w:space="1" w:color="CCCCCC"/>
        </w:pBdr>
        <w:spacing w:before="80" w:after="80"/>
      </w:pPr>
    </w:p>
    <w:p>
      <w:pPr>
        <w:pStyle w:val="Heading4"/>
        <w:keepNext/>
      </w:pPr>
      <w:r>
        <w:rPr>
          <w:rFonts w:ascii="Calibri" w:hAnsi="Calibri"/>
          <w:b w:val="0"/>
          <w:sz w:val="22"/>
        </w:rPr>
        <w:t>54. Security Assumptions</w:t>
      </w:r>
    </w:p>
    <w:p>
      <w:pPr>
        <w:pBdr>
          <w:bottom w:val="single" w:sz="4" w:space="1" w:color="CCCCCC"/>
        </w:pBdr>
        <w:spacing w:before="80" w:after="80"/>
      </w:pPr>
    </w:p>
    <w:p>
      <w:pPr>
        <w:pStyle w:val="Heading4"/>
        <w:keepNext/>
      </w:pPr>
      <w:r>
        <w:rPr>
          <w:rFonts w:ascii="Calibri" w:hAnsi="Calibri"/>
          <w:b w:val="0"/>
          <w:sz w:val="22"/>
        </w:rPr>
        <w:t>55. Certificate Assumptions</w:t>
      </w:r>
    </w:p>
    <w:p>
      <w:pPr>
        <w:pBdr>
          <w:bottom w:val="single" w:sz="4" w:space="1" w:color="CCCCCC"/>
        </w:pBdr>
        <w:spacing w:before="80" w:after="80"/>
      </w:pPr>
    </w:p>
    <w:p>
      <w:pPr>
        <w:pStyle w:val="Heading4"/>
        <w:keepNext/>
      </w:pPr>
      <w:r>
        <w:rPr>
          <w:rFonts w:ascii="Calibri" w:hAnsi="Calibri"/>
          <w:b w:val="0"/>
          <w:sz w:val="22"/>
        </w:rPr>
        <w:t>56. Data Mapping Assumptions</w:t>
      </w:r>
    </w:p>
    <w:p>
      <w:pPr>
        <w:pBdr>
          <w:bottom w:val="single" w:sz="4" w:space="1" w:color="CCCCCC"/>
        </w:pBdr>
        <w:spacing w:before="80" w:after="80"/>
      </w:pPr>
    </w:p>
    <w:p>
      <w:pPr>
        <w:pStyle w:val="Heading4"/>
        <w:keepNext/>
      </w:pPr>
      <w:r>
        <w:rPr>
          <w:rFonts w:ascii="Calibri" w:hAnsi="Calibri"/>
          <w:b w:val="0"/>
          <w:sz w:val="22"/>
        </w:rPr>
        <w:t>57. Testing Assumptions</w:t>
      </w:r>
    </w:p>
    <w:p>
      <w:pPr>
        <w:pBdr>
          <w:bottom w:val="single" w:sz="4" w:space="1" w:color="CCCCCC"/>
        </w:pBdr>
        <w:spacing w:before="80" w:after="80"/>
      </w:pPr>
    </w:p>
    <w:p>
      <w:pPr>
        <w:pStyle w:val="Heading4"/>
        <w:keepNext/>
      </w:pPr>
      <w:r>
        <w:rPr>
          <w:rFonts w:ascii="Calibri" w:hAnsi="Calibri"/>
          <w:b w:val="0"/>
          <w:sz w:val="22"/>
        </w:rPr>
        <w:t>58. Performance Assumptions</w:t>
      </w:r>
    </w:p>
    <w:p>
      <w:pPr>
        <w:pBdr>
          <w:bottom w:val="single" w:sz="4" w:space="1" w:color="CCCCCC"/>
        </w:pBdr>
        <w:spacing w:before="80" w:after="80"/>
      </w:pPr>
    </w:p>
    <w:p>
      <w:pPr>
        <w:pStyle w:val="Heading4"/>
        <w:keepNext/>
      </w:pPr>
      <w:r>
        <w:rPr>
          <w:rFonts w:ascii="Calibri" w:hAnsi="Calibri"/>
          <w:b w:val="0"/>
          <w:sz w:val="22"/>
        </w:rPr>
        <w:t>59. Cutover Assumptions</w:t>
      </w:r>
    </w:p>
    <w:p>
      <w:pPr>
        <w:pBdr>
          <w:bottom w:val="single" w:sz="4" w:space="1" w:color="CCCCCC"/>
        </w:pBdr>
        <w:spacing w:before="80" w:after="80"/>
      </w:pPr>
    </w:p>
    <w:p>
      <w:pPr>
        <w:pStyle w:val="Heading4"/>
        <w:keepNext/>
      </w:pPr>
      <w:r>
        <w:rPr>
          <w:rFonts w:ascii="Calibri" w:hAnsi="Calibri"/>
          <w:b w:val="0"/>
          <w:sz w:val="22"/>
        </w:rPr>
        <w:t>60. Monitoring Assumptions</w:t>
      </w:r>
    </w:p>
    <w:p>
      <w:pPr>
        <w:pBdr>
          <w:bottom w:val="single" w:sz="4" w:space="1" w:color="CCCCCC"/>
        </w:pBdr>
        <w:spacing w:before="80" w:after="80"/>
      </w:pPr>
    </w:p>
    <w:p>
      <w:pPr>
        <w:pStyle w:val="Heading4"/>
        <w:keepNext/>
      </w:pPr>
      <w:r>
        <w:rPr>
          <w:rFonts w:ascii="Calibri" w:hAnsi="Calibri"/>
          <w:b w:val="0"/>
          <w:sz w:val="22"/>
        </w:rPr>
        <w:t>61. Support Assumptions</w:t>
      </w:r>
    </w:p>
    <w:p>
      <w:pPr>
        <w:pBdr>
          <w:bottom w:val="single" w:sz="4" w:space="1" w:color="CCCCCC"/>
        </w:pBdr>
        <w:spacing w:before="80" w:after="80"/>
      </w:pPr>
    </w:p>
    <w:p>
      <w:pPr>
        <w:pStyle w:val="Heading4"/>
        <w:keepNext/>
      </w:pPr>
      <w:r>
        <w:rPr>
          <w:rFonts w:ascii="Calibri" w:hAnsi="Calibri"/>
          <w:b w:val="0"/>
          <w:sz w:val="22"/>
        </w:rPr>
        <w:t>62. Customer Responsibilities</w:t>
      </w:r>
    </w:p>
    <w:p>
      <w:pPr>
        <w:pBdr>
          <w:bottom w:val="single" w:sz="4" w:space="1" w:color="CCCCCC"/>
        </w:pBdr>
        <w:spacing w:before="80" w:after="80"/>
      </w:pPr>
    </w:p>
    <w:p>
      <w:pPr>
        <w:pStyle w:val="Heading4"/>
        <w:keepNext/>
      </w:pPr>
      <w:r>
        <w:rPr>
          <w:rFonts w:ascii="Calibri" w:hAnsi="Calibri"/>
          <w:b w:val="0"/>
          <w:sz w:val="22"/>
        </w:rPr>
        <w:t>63. Dependencies</w:t>
      </w:r>
    </w:p>
    <w:p>
      <w:pPr>
        <w:pBdr>
          <w:bottom w:val="single" w:sz="4" w:space="1" w:color="CCCCCC"/>
        </w:pBdr>
        <w:spacing w:before="80" w:after="80"/>
      </w:pPr>
    </w:p>
    <w:p>
      <w:pPr>
        <w:pStyle w:val="Heading4"/>
        <w:keepNext/>
      </w:pPr>
      <w:r>
        <w:rPr>
          <w:rFonts w:ascii="Calibri" w:hAnsi="Calibri"/>
          <w:b w:val="0"/>
          <w:sz w:val="22"/>
        </w:rPr>
        <w:t>64. Constraints</w:t>
      </w:r>
    </w:p>
    <w:p>
      <w:pPr>
        <w:pBdr>
          <w:bottom w:val="single" w:sz="4" w:space="1" w:color="CCCCCC"/>
        </w:pBdr>
        <w:spacing w:before="80" w:after="80"/>
      </w:pPr>
    </w:p>
    <w:p>
      <w:pPr>
        <w:pStyle w:val="Heading4"/>
        <w:keepNext/>
      </w:pPr>
      <w:r>
        <w:rPr>
          <w:rFonts w:ascii="Calibri" w:hAnsi="Calibri"/>
          <w:b w:val="0"/>
          <w:sz w:val="22"/>
        </w:rPr>
        <w:t>65. Exclusions</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pBdr>
          <w:bottom w:val="single" w:sz="4" w:space="1" w:color="CCCCCC"/>
        </w:pBdr>
        <w:spacing w:before="80" w:after="80"/>
      </w:pPr>
    </w:p>
    <w:p>
      <w:pPr>
        <w:spacing w:before="0" w:after="0"/>
      </w:pPr>
      <w:r>
        <w:br w:type="page"/>
      </w:r>
    </w:p>
    <w:p>
      <w:pPr>
        <w:pStyle w:val="Heading2"/>
        <w:keepNext/>
      </w:pPr>
      <w:r>
        <w:t>Appendix B — Reference Summary</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 Implementation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