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00467F"/>
          <w:sz w:val="64"/>
        </w:rPr>
        <w:t>APPSolve (Pty) Ltd</w:t>
      </w:r>
    </w:p>
    <w:p>
      <w:pPr>
        <w:spacing w:after="960"/>
        <w:jc w:val="center"/>
      </w:pPr>
      <w:r>
        <w:rPr>
          <w:rFonts w:ascii="Calibri" w:hAnsi="Calibri"/>
          <w:b w:val="0"/>
          <w:color w:val="0070C0"/>
          <w:sz w:val="22"/>
        </w:rPr>
        <w:t>Enterprise Technology Services  |  Oracle  |  Acumatica  |  BeBanking</w:t>
      </w:r>
    </w:p>
    <w:p>
      <w:pPr>
        <w:spacing w:after="80"/>
        <w:jc w:val="center"/>
      </w:pPr>
      <w:r>
        <w:rPr>
          <w:rFonts w:ascii="Calibri" w:hAnsi="Calibri"/>
          <w:b/>
          <w:color w:val="404040"/>
          <w:sz w:val="36"/>
        </w:rPr>
        <w:t>ORACLE FUSION HCM CLOUD</w:t>
      </w:r>
    </w:p>
    <w:p>
      <w:pPr>
        <w:spacing w:after="80"/>
        <w:jc w:val="center"/>
      </w:pPr>
      <w:r>
        <w:rPr>
          <w:rFonts w:ascii="Calibri" w:hAnsi="Calibri"/>
          <w:b/>
          <w:color w:val="404040"/>
          <w:sz w:val="28"/>
        </w:rPr>
        <w:t>IMPLEMENTATION PROPOSAL</w:t>
      </w:r>
    </w:p>
    <w:p>
      <w:pPr>
        <w:spacing w:after="800"/>
        <w:jc w:val="center"/>
      </w:pPr>
      <w:r>
        <w:rPr>
          <w:rFonts w:ascii="Calibri" w:hAnsi="Calibri"/>
          <w:b/>
          <w:color w:val="00467F"/>
          <w:sz w:val="32"/>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Oracle Fusion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PNE v1.0 — CLIENT</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PLENNEGY-HCM-001</w:t>
            </w:r>
          </w:p>
        </w:tc>
      </w:tr>
    </w:tbl>
    <w:p>
      <w:pPr>
        <w:spacing w:before="960"/>
        <w:jc w:val="center"/>
      </w:pPr>
      <w:r>
        <w:rPr>
          <w:rFonts w:ascii="Calibri" w:hAnsi="Calibri"/>
          <w:b/>
          <w:color w:val="707070"/>
          <w:sz w:val="20"/>
        </w:rPr>
        <w:t>COMMERCIAL IN CONFIDENCE  |  Proposal Narrative Engine v1.0</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Executive Summary</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120" w:after="120"/>
            </w:pPr>
            <w:r>
              <w:rPr>
                <w:rFonts w:ascii="Calibri" w:hAnsi="Calibri"/>
                <w:i/>
                <w:color w:val="707070"/>
                <w:sz w:val="20"/>
              </w:rPr>
              <w:t>[ Executive Summary — content to be authored before submission ]</w:t>
            </w:r>
          </w:p>
        </w:tc>
      </w:tr>
    </w:tbl>
    <w:p>
      <w:pPr>
        <w:spacing w:after="80"/>
      </w:pPr>
    </w:p>
    <w:p>
      <w:pPr>
        <w:spacing w:before="0" w:after="0"/>
      </w:pPr>
      <w:r>
        <w:br w:type="page"/>
      </w:r>
    </w:p>
    <w:p>
      <w:pPr>
        <w:pStyle w:val="Heading2"/>
        <w:keepNext/>
      </w:pPr>
      <w:r>
        <w:t>Understanding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120" w:after="120"/>
            </w:pPr>
            <w:r>
              <w:rPr>
                <w:rFonts w:ascii="Calibri" w:hAnsi="Calibri"/>
                <w:i/>
                <w:color w:val="707070"/>
                <w:sz w:val="20"/>
              </w:rPr>
              <w:t>[ Understanding Plennegy's Requirements — content to be authored before submission ]</w:t>
            </w:r>
          </w:p>
        </w:tc>
      </w:tr>
    </w:tbl>
    <w:p>
      <w:pPr>
        <w:spacing w:after="80"/>
      </w:pPr>
    </w:p>
    <w:p>
      <w:pPr>
        <w:spacing w:before="0" w:after="0"/>
      </w:pPr>
      <w:r>
        <w:br w:type="page"/>
      </w:r>
    </w:p>
    <w:p>
      <w:pPr>
        <w:pStyle w:val="Heading2"/>
        <w:keepNext/>
      </w:pPr>
      <w:r>
        <w:t>Proposed Oracle HCM Solution</w:t>
      </w:r>
    </w:p>
    <w:p>
      <w:pPr/>
      <w:r>
        <w:rPr>
          <w:rFonts w:ascii="Calibri" w:hAnsi="Calibri"/>
          <w:b w:val="0"/>
          <w:sz w:val="22"/>
        </w:rPr>
        <w:t>APPSolve proposes a phased Oracle Fusion HCM Cloud implementation that gives Plennegy Group a unified human capital management capability across all operating entities — from a candidate's first application to an employee's final day. Phase 1 delivers the core platform: HCM Core, Recruiting, and Payroll Integration. Phase 2 delivers Learning and Talent Management.</w:t>
      </w:r>
    </w:p>
    <w:p>
      <w:pPr>
        <w:pStyle w:val="Heading3"/>
        <w:keepNext/>
      </w:pPr>
      <w:r>
        <w:rPr>
          <w:rFonts w:ascii="Calibri" w:hAnsi="Calibri"/>
          <w:b w:val="0"/>
          <w:sz w:val="26"/>
        </w:rPr>
        <w:t>Proposed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Business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Single employee record across all entities — hire to retire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recruitment — from vacancy to onboarded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 interface; third-party system connections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learning, certifications, compliance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reviews,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bl>
    <w:p>
      <w:pPr>
        <w:spacing w:before="0" w:after="120"/>
      </w:pPr>
    </w:p>
    <w:p>
      <w:pPr>
        <w:pStyle w:val="Heading3"/>
        <w:keepNext/>
      </w:pPr>
      <w:r>
        <w:rPr>
          <w:rFonts w:ascii="Calibri" w:hAnsi="Calibri"/>
          <w:b w:val="0"/>
          <w:sz w:val="26"/>
        </w:rPr>
        <w:t>Oracle Fusion HCM Core — Your Workforce Foundation</w:t>
      </w:r>
    </w:p>
    <w:p>
      <w:pPr/>
      <w:r>
        <w:rPr>
          <w:rFonts w:ascii="Calibri" w:hAnsi="Calibri"/>
          <w:b w:val="0"/>
          <w:sz w:val="22"/>
        </w:rPr>
        <w:t>Plennegy's HR function manages employee data across multiple entities and systems. The compliance burden of absence management, position control, and employment contract management grows with every entity added to the group. Oracle Fusion HCM Core resolves this by establishing a single, authoritative employee record that the whole organisation works from.</w:t>
      </w:r>
    </w:p>
    <w:p>
      <w:pPr/>
      <w:r>
        <w:rPr>
          <w:rFonts w:ascii="Calibri" w:hAnsi="Calibri"/>
          <w:b w:val="0"/>
          <w:sz w:val="22"/>
        </w:rPr>
        <w:t>APPSolve configures Oracle HCM Core to reflect how Plennegy actually operates — your organisation structure, position hierarchies, employment categories, and absence policies — not a generic template. Your HR team gains real-time visibility of headcount, absence status, and employment data across all entities from day one. Managers gain self-service capability for leave approvals, position changes, and routine HR requests without HR as an intermediary.</w:t>
      </w:r>
    </w:p>
    <w:p>
      <w:pPr>
        <w:pStyle w:val="Heading3"/>
        <w:keepNext/>
      </w:pPr>
      <w:r>
        <w:rPr>
          <w:rFonts w:ascii="Calibri" w:hAnsi="Calibri"/>
          <w:b w:val="0"/>
          <w:sz w:val="26"/>
        </w:rPr>
        <w:t>Oracle Recruiting Cloud — Structured Talent Acquisition</w:t>
      </w:r>
    </w:p>
    <w:p>
      <w:pPr/>
      <w:r>
        <w:rPr>
          <w:rFonts w:ascii="Calibri" w:hAnsi="Calibri"/>
          <w:b w:val="0"/>
          <w:sz w:val="22"/>
        </w:rPr>
        <w:t>Oracle Recruiting Cloud replaces informal, email-based recruitment with a structured, trackable pipeline. Every hiring decision is logged, every candidate experience is consistent, and every hiring manager sees their pipeline in real time — from vacancy creation through to offer acceptance and onboarding.</w:t>
      </w:r>
    </w:p>
    <w:p>
      <w:pPr>
        <w:pStyle w:val="Heading3"/>
        <w:keepNext/>
      </w:pPr>
      <w:r>
        <w:rPr>
          <w:rFonts w:ascii="Calibri" w:hAnsi="Calibri"/>
          <w:b w:val="0"/>
          <w:sz w:val="26"/>
        </w:rPr>
        <w:t>Oracle Integration Cloud — Connected Operations</w:t>
      </w:r>
    </w:p>
    <w:p>
      <w:pPr/>
      <w:r>
        <w:rPr>
          <w:rFonts w:ascii="Calibri" w:hAnsi="Calibri"/>
          <w:b w:val="0"/>
          <w:sz w:val="22"/>
        </w:rPr>
        <w:t>Oracle Integration Cloud (OIC) connects Oracle Fusion HCM to Plennegy's payroll provider and any third-party HR systems. APPSolve's proven South African payroll integration pattern delivers bidirectional data flow — employee and position data from Oracle HCM to payroll processing, confirmed pay results back to Oracle — with exception handling and real-time monitoring built in.</w:t>
      </w:r>
    </w:p>
    <w:p>
      <w:pPr>
        <w:pStyle w:val="Heading3"/>
        <w:keepNext/>
      </w:pPr>
      <w:r>
        <w:rPr>
          <w:rFonts w:ascii="Calibri" w:hAnsi="Calibri"/>
          <w:b w:val="0"/>
          <w:sz w:val="26"/>
        </w:rPr>
        <w:t>Oracle Learning Cloud — Structured Learning at Scale</w:t>
      </w:r>
    </w:p>
    <w:p>
      <w:pPr/>
      <w:r>
        <w:rPr>
          <w:rFonts w:ascii="Calibri" w:hAnsi="Calibri"/>
          <w:b w:val="0"/>
          <w:sz w:val="22"/>
        </w:rPr>
        <w:t>A multi-entity organisation like Plennegy faces increasing compliance training requirements across varied employment categories. Oracle Learning Cloud brings mandatory compliance training, skills development programmes, and certifications into a single platform — within Oracle HCM, without additional software licences.</w:t>
      </w:r>
    </w:p>
    <w:p>
      <w:pPr>
        <w:pStyle w:val="Heading3"/>
        <w:keepNext/>
      </w:pPr>
      <w:r>
        <w:rPr>
          <w:rFonts w:ascii="Calibri" w:hAnsi="Calibri"/>
          <w:b w:val="0"/>
          <w:sz w:val="26"/>
        </w:rPr>
        <w:t>Oracle Talent Management — People Development at Scale</w:t>
      </w:r>
    </w:p>
    <w:p>
      <w:pPr/>
      <w:r>
        <w:rPr>
          <w:rFonts w:ascii="Calibri" w:hAnsi="Calibri"/>
          <w:b w:val="0"/>
          <w:sz w:val="22"/>
        </w:rPr>
        <w:t>Oracle Talent Management gives Plennegy a structured, consistent performance cycle across all entities — goal setting, mid-year check-ins, year-end reviews — in a single system. Succession planning, talent profiling, and calibration tools give HR and executive leadership visibility of the people pipeline.</w:t>
      </w:r>
    </w:p>
    <w:p>
      <w:pPr>
        <w:pStyle w:val="Heading3"/>
        <w:keepNext/>
      </w:pPr>
      <w:r>
        <w:rPr>
          <w:rFonts w:ascii="Calibri" w:hAnsi="Calibri"/>
          <w:b w:val="0"/>
          <w:sz w:val="26"/>
        </w:rPr>
        <w:t>What Is Not in This Scope</w:t>
      </w:r>
    </w:p>
    <w:p>
      <w:pPr/>
      <w:r>
        <w:rPr>
          <w:rFonts w:ascii="Calibri" w:hAnsi="Calibri"/>
          <w:b w:val="0"/>
          <w:sz w:val="22"/>
        </w:rPr>
        <w:t>Final scope, commercial proposal, and payment schedule will be confirmed in APPSolve's Commercial Proposal — issued separately once scope inputs are confirmed by Plennegy.</w:t>
      </w:r>
    </w:p>
    <w:p>
      <w:pPr>
        <w:spacing w:before="0" w:after="0"/>
      </w:pPr>
      <w:r>
        <w:br w:type="page"/>
      </w:r>
    </w:p>
    <w:p>
      <w:pPr>
        <w:pStyle w:val="Heading2"/>
        <w:keepNext/>
      </w:pPr>
      <w:r>
        <w:t>Why APPSolve</w:t>
      </w:r>
    </w:p>
    <w:p>
      <w:pPr/>
      <w:r>
        <w:rPr>
          <w:rFonts w:ascii="Calibri" w:hAnsi="Calibri"/>
          <w:b w:val="0"/>
          <w:sz w:val="22"/>
        </w:rPr>
        <w:t>Oracle implementations succeed or fail on the quality of the implementation partner. The technology is Oracle's. The configuration decisions, the delivery discipline, the knowledge transfer, and the long-term support are the partner's. These are the factors that determine whether Plennegy realises the full value of Oracle HCM Cloud.</w:t>
      </w:r>
    </w:p>
    <w:p>
      <w:pPr>
        <w:pStyle w:val="Heading3"/>
        <w:keepNext/>
      </w:pPr>
      <w:r>
        <w:rPr>
          <w:rFonts w:ascii="Calibri" w:hAnsi="Calibri"/>
          <w:b w:val="0"/>
          <w:sz w:val="26"/>
        </w:rPr>
        <w:t>Our Oracle Capability</w:t>
      </w:r>
    </w:p>
    <w:p>
      <w:pPr/>
      <w:r>
        <w:rPr>
          <w:rFonts w:ascii="Calibri" w:hAnsi="Calibri"/>
          <w:b w:val="0"/>
          <w:sz w:val="22"/>
        </w:rPr>
        <w:t>Oracle is not a product we sell alongside others. It is the core of what APPSolve does. Our team of more than 50 Senior Consultants carries Oracle HCM, ERP, Integration Cloud, Database Administration, and Cloud Infrastructure expertise built across more than two decades and hundreds of engagements.</w:t>
      </w:r>
    </w:p>
    <w:p>
      <w:pPr>
        <w:pStyle w:val="Heading3"/>
        <w:keepNext/>
      </w:pPr>
      <w:r>
        <w:rPr>
          <w:rFonts w:ascii="Calibri" w:hAnsi="Calibri"/>
          <w:b w:val="0"/>
          <w:sz w:val="26"/>
        </w:rPr>
        <w:t>Our South African Enterprise Track Record</w:t>
      </w:r>
    </w:p>
    <w:p>
      <w:pPr/>
      <w:r>
        <w:rPr>
          <w:rFonts w:ascii="Calibri" w:hAnsi="Calibri"/>
          <w:b w:val="0"/>
          <w:sz w:val="22"/>
        </w:rPr>
        <w:t>We have implemented Oracle HCM Cloud in South African enterprise organisations across gaming, retail, agribusiness, and financial services. We understand the specific requirements of South African HCM — employment equity, SARS compliance, BCEA leave rules, and bargaining council agreements — and how they translate into Oracle configuration. We are not learning these requirements on Plennegy's time.</w:t>
      </w:r>
    </w:p>
    <w:p>
      <w:pPr/>
      <w:r>
        <w:rPr>
          <w:rFonts w:ascii="Calibri" w:hAnsi="Calibri"/>
          <w:b w:val="0"/>
          <w:sz w:val="22"/>
        </w:rPr>
        <w:t>Our delivery footprint extends to Sub-Saharan Africa (Botswana, Namibia, Mozambique, Zambia, Tanzania) and internationally (USA, France, Abu Dhabi). For organisations operating across borders, we understand the multi-entity, multi-jurisdiction complexity that comes with scale.</w:t>
      </w:r>
    </w:p>
    <w:p>
      <w:pPr>
        <w:pStyle w:val="Heading3"/>
        <w:keepNext/>
      </w:pPr>
      <w:r>
        <w:rPr>
          <w:rFonts w:ascii="Calibri" w:hAnsi="Calibri"/>
          <w:b w:val="0"/>
          <w:sz w:val="26"/>
        </w:rPr>
        <w:t>Our Accountability Model</w:t>
      </w:r>
    </w:p>
    <w:p>
      <w:pPr/>
      <w:r>
        <w:rPr>
          <w:rFonts w:ascii="Calibri" w:hAnsi="Calibri"/>
          <w:b w:val="0"/>
          <w:sz w:val="22"/>
        </w:rPr>
        <w:t>Reference project details are available on request, subject to individual client approval. Contact your APPSolve Account Manager.</w:t>
      </w:r>
    </w:p>
    <w:p>
      <w:pPr>
        <w:spacing w:before="0" w:after="0"/>
      </w:pPr>
      <w:r>
        <w:br w:type="page"/>
      </w:r>
    </w:p>
    <w:p>
      <w:pPr>
        <w:pStyle w:val="Heading2"/>
        <w:keepNext/>
      </w:pPr>
      <w:r>
        <w:t>How We Deliver</w:t>
      </w:r>
    </w:p>
    <w:p>
      <w:pPr/>
      <w:r>
        <w:rPr>
          <w:rFonts w:ascii="Calibri" w:hAnsi="Calibri"/>
          <w:b w:val="0"/>
          <w:sz w:val="22"/>
        </w:rPr>
        <w:t>APPSolve delivers Oracle Fusion HCM Cloud using Oracle's Modern Best Practices and Oracle Success Navigator — the adoption framework Oracle has designed specifically for SaaS cloud implementations. We do not apply a traditional ERP implementation methodology to an Oracle Cloud engagement.</w:t>
      </w:r>
    </w:p>
    <w:p>
      <w:pPr/>
      <w:r>
        <w:rPr>
          <w:rFonts w:ascii="Calibri" w:hAnsi="Calibri"/>
          <w:b w:val="0"/>
          <w:sz w:val="22"/>
        </w:rPr>
        <w:t>The distinction matters. Oracle Fusion HCM is a continuously evolving cloud platform — not a custom system. Our delivery philosophy is to configure Oracle to work for Plennegy, not to rebuild Plennegy's current processes in new technology. This approach produces faster go-lives, lower configuration risk, and lower long-term maintenance cost.</w:t>
      </w:r>
    </w:p>
    <w:p>
      <w:pPr>
        <w:pStyle w:val="Heading3"/>
        <w:keepNext/>
      </w:pPr>
      <w:r>
        <w:rPr>
          <w:rFonts w:ascii="Calibri" w:hAnsi="Calibri"/>
          <w:b w:val="0"/>
          <w:sz w:val="26"/>
        </w:rPr>
        <w:t>Our Delivery Philosophy</w:t>
      </w:r>
    </w:p>
    <w:p>
      <w:pPr>
        <w:pStyle w:val="Heading3"/>
        <w:keepNext/>
      </w:pPr>
      <w:r>
        <w:rPr>
          <w:rFonts w:ascii="Calibri" w:hAnsi="Calibri"/>
          <w:b w:val="0"/>
          <w:sz w:val="26"/>
        </w:rPr>
        <w:t>The Six Delivery Phases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Plennegy Experiences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established; team confirmed; Oracle environments provisioned;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Solution Design Workshops; Oracle configured to your organisation; CRP-1</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configured Oracle system demonstrated in CRP-2; integrations built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team tests; data migration rehearsed; go-live readiness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APPSolve on-site hypercare support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quarterly updates managed; configuration optimised; AMS active</w:t>
            </w:r>
          </w:p>
        </w:tc>
      </w:tr>
    </w:tbl>
    <w:p>
      <w:pPr>
        <w:spacing w:before="0" w:after="120"/>
      </w:pPr>
    </w:p>
    <w:p>
      <w:pPr>
        <w:pStyle w:val="Heading3"/>
        <w:keepNext/>
      </w:pPr>
      <w:r>
        <w:rPr>
          <w:rFonts w:ascii="Calibri" w:hAnsi="Calibri"/>
          <w:b w:val="0"/>
          <w:sz w:val="26"/>
        </w:rPr>
        <w:t>What Plennegy Can Expect</w:t>
      </w:r>
    </w:p>
    <w:p>
      <w:pPr>
        <w:pStyle w:val="Heading3"/>
        <w:keepNext/>
      </w:pPr>
      <w:r>
        <w:rPr>
          <w:rFonts w:ascii="Calibri" w:hAnsi="Calibri"/>
          <w:b w:val="0"/>
          <w:sz w:val="26"/>
        </w:rPr>
        <w:t>Change Management</w:t>
      </w:r>
    </w:p>
    <w:p>
      <w:pPr/>
      <w:r>
        <w:rPr>
          <w:rFonts w:ascii="Calibri" w:hAnsi="Calibri"/>
          <w:b w:val="0"/>
          <w:sz w:val="22"/>
        </w:rPr>
        <w:t>Oracle HCM implementations succeed or fail on change management — the degree to which your people adopt the new system. APPSolve builds change management into every phase: stakeholder engagement in Mobilise, end-user training programme in Validate, structured support during Deploy. Change management is not a workshop before go-live. It is a continuous activity throughout the project.</w:t>
      </w:r>
    </w:p>
    <w:p>
      <w:pPr>
        <w:spacing w:before="0" w:after="0"/>
      </w:pPr>
      <w:r>
        <w:br w:type="page"/>
      </w:r>
    </w:p>
    <w:p>
      <w:pPr>
        <w:pStyle w:val="Heading2"/>
        <w:keepNext/>
      </w:pPr>
      <w:r>
        <w:t>Project Governance</w:t>
      </w:r>
    </w:p>
    <w:p>
      <w:pPr/>
      <w:r>
        <w:rPr>
          <w:rFonts w:ascii="Calibri" w:hAnsi="Calibri"/>
          <w:b w:val="0"/>
          <w:sz w:val="22"/>
        </w:rPr>
        <w:t>APPSolve's project governance model provides clear accountability and transparent risk management at three levels: strategic, operational, and workstream. The model is established during the Mobilise phase and documented in the project charter.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Level</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Forum</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Led By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Executive Sponsors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authority, commercial decisions, strategic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 APPSolve PM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 risks, actions, pending decisions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Reviews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decisions, CRP planning, testing sign-off</w:t>
            </w:r>
          </w:p>
        </w:tc>
      </w:tr>
    </w:tbl>
    <w:p>
      <w:pPr>
        <w:spacing w:before="0" w:after="120"/>
      </w:pPr>
    </w:p>
    <w:p>
      <w:pPr>
        <w:pStyle w:val="Heading3"/>
        <w:keepNext/>
      </w:pPr>
      <w:r>
        <w:rPr>
          <w:rFonts w:ascii="Calibri" w:hAnsi="Calibri"/>
          <w:b w:val="0"/>
          <w:sz w:val="26"/>
        </w:rPr>
        <w:t>Reporting Commitments</w:t>
      </w:r>
    </w:p>
    <w:p>
      <w:pPr/>
      <w:r>
        <w:rPr>
          <w:rFonts w:ascii="Calibri" w:hAnsi="Calibri"/>
          <w:b w:val="0"/>
          <w:sz w:val="22"/>
        </w:rPr>
        <w:t>Governance details, RAID Register template, Change Control procedure, and Cutover Plan are developed with Plennegy's Project Sponsor during the Mobilise phase.</w:t>
      </w:r>
    </w:p>
    <w:p>
      <w:pPr>
        <w:spacing w:before="0" w:after="0"/>
      </w:pPr>
      <w:r>
        <w:br w:type="page"/>
      </w:r>
    </w:p>
    <w:p>
      <w:pPr>
        <w:pStyle w:val="Heading2"/>
        <w:keepNext/>
      </w:pPr>
      <w:r>
        <w:t>Implementation Roadmap</w:t>
      </w:r>
    </w:p>
    <w:p>
      <w:pPr/>
      <w:r>
        <w:rPr>
          <w:rFonts w:ascii="Calibri" w:hAnsi="Calibri"/>
          <w:b w:val="0"/>
          <w:sz w:val="22"/>
        </w:rPr>
        <w:t>The following roadmap provides indicative phase timelines. Durations are subject to confirmed scope, Oracle environment provisioning, and Plennegy resource availability. A detailed project plan with named milestones and resource assignments is developed in Mobilise.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 Milestone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signed; project team confirmed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Solution design documents approved; CRP-1 complete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demonstrated and signed 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signed off; data migration approved; go-live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begins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active; Oracle quarterly updates managed</w:t>
            </w:r>
          </w:p>
        </w:tc>
      </w:tr>
    </w:tbl>
    <w:p>
      <w:pPr>
        <w:spacing w:before="0" w:after="120"/>
      </w:pPr>
    </w:p>
    <w:p>
      <w:pPr>
        <w:spacing w:before="0" w:after="0"/>
      </w:pPr>
      <w:r>
        <w:br w:type="page"/>
      </w:r>
    </w:p>
    <w:p>
      <w:pPr>
        <w:pStyle w:val="Heading2"/>
        <w:keepNext/>
      </w:pPr>
      <w:r>
        <w:t>Key Commercial Assumptions</w:t>
      </w:r>
    </w:p>
    <w:p>
      <w:pPr/>
      <w:r>
        <w:rPr>
          <w:rFonts w:ascii="Calibri" w:hAnsi="Calibri"/>
          <w:b w:val="0"/>
          <w:sz w:val="22"/>
        </w:rPr>
        <w:t>This proposal is governed by a comprehensive assumption schedule that defines the contractual basis for scope, timeline, and cost. The following five commercial assumptions are the most material — they have the greatest impact on scope and pricing. The full assumption schedule is available on request and will form part of the Statement of Work.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Commercial Assumption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w:t>
            </w:r>
            <w:r>
              <w:rPr>
                <w:rFonts w:ascii="Calibri" w:hAnsi="Calibri"/>
                <w:b w:val="0"/>
                <w:sz w:val="20"/>
              </w:rPr>
              <w:t xml:space="preserve"> Oracle provisions Oracle Fusion HCM Cloud SaaS environments; APPSolve's timeline commences from environment access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environment provisioning timelines are outside APPSolve's control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w:t>
            </w:r>
            <w:r>
              <w:rPr>
                <w:rFonts w:ascii="Calibri" w:hAnsi="Calibri"/>
                <w:b w:val="0"/>
                <w:sz w:val="20"/>
              </w:rPr>
              <w:t xml:space="preserve"> Implementation scope, timeline, and pricing are based on entity count, headcount, and module list confirmed at Mobilise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Any additions after Mobilise require a formal Change Request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w:t>
            </w:r>
            <w:r>
              <w:rPr>
                <w:rFonts w:ascii="Calibri" w:hAnsi="Calibri"/>
                <w:b w:val="0"/>
                <w:sz w:val="20"/>
              </w:rPr>
              <w:t xml:space="preserve"> Employee data extraction, cleansing, and validation are Plennegy's responsibility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templates and guidance; Plennegy's team owns data quality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r>
              <w:rPr>
                <w:rFonts w:ascii="Calibri" w:hAnsi="Calibri"/>
                <w:b w:val="0"/>
                <w:sz w:val="20"/>
              </w:rPr>
              <w:t xml:space="preserve"> Each third-party integration point is separately scoped and priced; payroll provider participates in design and testing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Undocumented APIs or legacy system access are out of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w:t>
            </w:r>
            <w:r>
              <w:rPr>
                <w:rFonts w:ascii="Calibri" w:hAnsi="Calibri"/>
                <w:b w:val="0"/>
                <w:sz w:val="20"/>
              </w:rPr>
              <w:t xml:space="preserve"> Plennegy provides a nominated project team with confirmed availability for design workshops, testing, and sign-off decisions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Decision delays extend project timelines</w:t>
            </w:r>
          </w:p>
        </w:tc>
      </w:tr>
    </w:tbl>
    <w:p>
      <w:pPr>
        <w:spacing w:before="0" w:after="120"/>
      </w:pPr>
    </w:p>
    <w:p>
      <w:pPr/>
      <w:r>
        <w:rPr>
          <w:rFonts w:ascii="Calibri" w:hAnsi="Calibri"/>
          <w:b w:val="0"/>
          <w:sz w:val="22"/>
        </w:rPr>
        <w:t>A detailed Assumption Schedule covering all commercial, technical, functional, and operational assumptions will form part of APPSolve's Statement of Work. No scope item excluded from the Assumption Schedule is in scope unless explicitly added by Change Request.</w:t>
      </w:r>
    </w:p>
    <w:p>
      <w:pPr>
        <w:spacing w:before="0" w:after="0"/>
      </w:pPr>
      <w:r>
        <w:br w:type="page"/>
      </w:r>
    </w:p>
    <w:p>
      <w:pPr>
        <w:pStyle w:val="Heading2"/>
        <w:keepNext/>
      </w:pPr>
      <w:r>
        <w:t>Key Delivery Risks and Mitigations</w:t>
      </w:r>
    </w:p>
    <w:p>
      <w:pPr/>
      <w:r>
        <w:rPr>
          <w:rFonts w:ascii="Calibri" w:hAnsi="Calibri"/>
          <w:b w:val="0"/>
          <w:sz w:val="22"/>
        </w:rPr>
        <w:t>The following risks are the most material delivery risks for this engagement. Each has been identified from APPSolve's experience with similar Oracle HCM implementations in South African enterprise environments. A full Risk Register will be maintained throughout the engagement.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Probability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Mitigation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ambiguity**</w:t>
            </w:r>
            <w:r>
              <w:rPr>
                <w:rFonts w:ascii="Calibri" w:hAnsi="Calibri"/>
                <w:b w:val="0"/>
                <w:sz w:val="20"/>
              </w:rPr>
              <w:t xml:space="preserve"> — scope not confirmed before 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scope confirmation session at contract signature; written confirmation of entity count, headcount, modules, and go-live date before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quality**</w:t>
            </w:r>
            <w:r>
              <w:rPr>
                <w:rFonts w:ascii="Calibri" w:hAnsi="Calibri"/>
                <w:b w:val="0"/>
                <w:sz w:val="20"/>
              </w:rPr>
              <w:t xml:space="preserve"> — migration data provided late or with errors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in Scope &amp; Design; data validation rehearsed in Prototype; final migration approved in Validate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 availability**</w:t>
            </w:r>
            <w:r>
              <w:rPr>
                <w:rFonts w:ascii="Calibri" w:hAnsi="Calibri"/>
                <w:b w:val="0"/>
                <w:sz w:val="20"/>
              </w:rPr>
              <w:t xml:space="preserve"> — client team not available for workshops or decisions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client project team confirmed before Mobilise; availability commitments documented in project charter</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complexity**</w:t>
            </w:r>
            <w:r>
              <w:rPr>
                <w:rFonts w:ascii="Calibri" w:hAnsi="Calibri"/>
                <w:b w:val="0"/>
                <w:sz w:val="20"/>
              </w:rPr>
              <w:t xml:space="preserve"> — undocumented APIs or unresponsive third-party vendors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integration separately scoped and vendor participation confirmed before build; contingency in integration timeline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adoption**</w:t>
            </w:r>
            <w:r>
              <w:rPr>
                <w:rFonts w:ascii="Calibri" w:hAnsi="Calibri"/>
                <w:b w:val="0"/>
                <w:sz w:val="20"/>
              </w:rPr>
              <w:t xml:space="preserve"> — end users revert to previous systems after go-live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management built into all phases from Mobilise; end-user training delivered in Validate; hypercare support in Deploy</w:t>
            </w:r>
          </w:p>
        </w:tc>
      </w:tr>
    </w:tbl>
    <w:p>
      <w:pPr>
        <w:spacing w:before="0" w:after="120"/>
      </w:pPr>
    </w:p>
    <w:p>
      <w:pPr/>
      <w:r>
        <w:rPr>
          <w:rFonts w:ascii="Calibri" w:hAnsi="Calibri"/>
          <w:b w:val="0"/>
          <w:sz w:val="22"/>
        </w:rPr>
        <w:t>A full Risk Register with detailed risk ratings, individual risk owners, mitigation actions, and residual risk assessments will be established during Mobilise and maintained throughout the engagement.</w:t>
      </w:r>
    </w:p>
    <w:p>
      <w:pPr>
        <w:spacing w:before="0" w:after="0"/>
      </w:pPr>
      <w:r>
        <w:br w:type="page"/>
      </w:r>
    </w:p>
    <w:p>
      <w:pPr>
        <w:pStyle w:val="Heading2"/>
        <w:keepNext/>
      </w:pPr>
      <w:r>
        <w:t>Commercial Position</w:t>
      </w:r>
    </w:p>
    <w:p>
      <w:pPr/>
      <w:r>
        <w:rPr>
          <w:rFonts w:ascii="Calibri" w:hAnsi="Calibri"/>
          <w:b w:val="0"/>
          <w:sz w:val="22"/>
        </w:rPr>
        <w:t>APPSolve's formal commercial proposal will be issued by our Commercial Director once scope inputs are confirmed. The commercial proposal constitutes the binding offer and must be counter-signed before work commences. No pricing, rate, or commercial estimate in this document is binding.</w:t>
      </w:r>
    </w:p>
    <w:p>
      <w:pPr>
        <w:pStyle w:val="Heading3"/>
        <w:keepNext/>
      </w:pPr>
      <w:r>
        <w:rPr>
          <w:rFonts w:ascii="Calibri" w:hAnsi="Calibri"/>
          <w:b w:val="0"/>
          <w:sz w:val="26"/>
        </w:rPr>
        <w:t>Commercial Models Available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Best Suited To</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a fixed cost; changes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Defined scope with low likelihood of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rates per day; no fixed ceiling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expected to evolve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carries over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Predictable cost management; APPSolve's preferred model for sustained engagements</w:t>
            </w:r>
          </w:p>
        </w:tc>
      </w:tr>
    </w:tbl>
    <w:p>
      <w:pPr>
        <w:spacing w:before="0" w:after="120"/>
      </w:pPr>
    </w:p>
    <w:p>
      <w:pPr>
        <w:spacing w:before="0" w:after="0"/>
      </w:pPr>
      <w:r>
        <w:br w:type="page"/>
      </w:r>
    </w:p>
    <w:p>
      <w:pPr>
        <w:pStyle w:val="Heading2"/>
        <w:keepNext/>
      </w:pPr>
      <w:r>
        <w:t>Your Next Steps</w:t>
      </w:r>
    </w:p>
    <w:p>
      <w:pPr/>
      <w:r>
        <w:rPr>
          <w:rFonts w:ascii="Calibri" w:hAnsi="Calibri"/>
          <w:b w:val="0"/>
          <w:sz w:val="22"/>
        </w:rPr>
        <w:t>APPSolve is ready to advance this engagement. The following actions are Plennegy's to complete: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 — Urgent**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Oracle HCM scope: modules, legal entities, headcount, payroll provider, go-live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before commercial proposal can be issued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 — Urgent**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 a Plennegy Project Sponsor with authority over scope and commercial approval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requires an identified decision-maker before mobilisation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preferred commercial model: Fixed Price, Time and Materials, or 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structures commercial proposal accordingly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any client references for inclusion in this submission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reference requires individual client sign-off — advise your APPSolve Account Manager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target go-live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to plan phase timelines and resource availability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scope confirmation call with APPSolve BU Lead and Account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commercial proposal within 5–10 business days</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Proposal — Plennegy Group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