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jc w:val="center"/>
      </w:pPr>
      <w:r>
        <w:rPr>
          <w:rFonts w:ascii="Calibri" w:hAnsi="Calibri"/>
          <w:b/>
          <w:color w:val="00467F"/>
          <w:sz w:val="64"/>
        </w:rPr>
        <w:t>APPSolve (Pty) Ltd</w:t>
      </w:r>
    </w:p>
    <w:p>
      <w:pPr>
        <w:spacing w:after="960"/>
        <w:jc w:val="center"/>
      </w:pPr>
      <w:r>
        <w:rPr>
          <w:rFonts w:ascii="Calibri" w:hAnsi="Calibri"/>
          <w:color w:val="0070C0"/>
          <w:sz w:val="22"/>
        </w:rPr>
        <w:t>Enterprise Technology Services  |  Oracle  |  Acumatica  |  BeBanking</w:t>
      </w:r>
    </w:p>
    <w:p>
      <w:pPr>
        <w:spacing w:after="120"/>
        <w:jc w:val="center"/>
      </w:pPr>
      <w:r>
        <w:rPr>
          <w:rFonts w:ascii="Calibri" w:hAnsi="Calibri"/>
          <w:b/>
          <w:color w:val="404040"/>
          <w:sz w:val="36"/>
        </w:rPr>
        <w:t>ORACLE HCM CLOUD — IMPLEMENTATION PROPOSAL</w:t>
      </w:r>
    </w:p>
    <w:p>
      <w:pPr>
        <w:spacing w:after="960"/>
        <w:jc w:val="center"/>
      </w:pPr>
      <w:r>
        <w:rPr>
          <w:rFonts w:ascii="Calibri" w:hAnsi="Calibri"/>
          <w:b/>
          <w:color w:val="00467F"/>
          <w:sz w:val="30"/>
        </w:rPr>
        <w:t>Plennegy Group</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Prepared For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sz w:val="22"/>
              </w:rPr>
              <w:t>Plennegy Group</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Platform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sz w:val="22"/>
              </w:rPr>
              <w:t>Oracle HCM Cloud</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Engagement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sz w:val="22"/>
              </w:rPr>
              <w:t>Full Suite Implementation</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Prepared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sz w:val="22"/>
              </w:rPr>
              <w:t>APPSolve (Pty) Ltd</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Version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sz w:val="22"/>
              </w:rPr>
              <w:t>4.0 — Proposal Draft</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sz w:val="22"/>
              </w:rPr>
              <w:t>2026-06-30</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Tender ID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sz w:val="22"/>
              </w:rPr>
              <w:t>PLENNEGY-HCM-001</w:t>
            </w:r>
          </w:p>
        </w:tc>
      </w:tr>
    </w:tbl>
    <w:p>
      <w:pPr>
        <w:spacing w:before="960"/>
        <w:jc w:val="center"/>
      </w:pPr>
      <w:r>
        <w:rPr>
          <w:rFonts w:ascii="Calibri" w:hAnsi="Calibri"/>
          <w:b/>
          <w:color w:val="707070"/>
          <w:sz w:val="20"/>
        </w:rPr>
        <w:t>COMMERCIAL IN CONFIDENCE  |  Version 4.0</w:t>
      </w:r>
    </w:p>
    <w:p>
      <w:pPr>
        <w:spacing w:before="0" w:after="0"/>
      </w:pPr>
      <w:r>
        <w:br w:type="page"/>
      </w:r>
    </w:p>
    <w:p>
      <w:pPr>
        <w:pStyle w:val="Heading1"/>
        <w:spacing w:before="0"/>
      </w:pPr>
      <w:r>
        <w:t>Table of Contents</w:t>
      </w:r>
    </w:p>
    <w:p>
      <w:pPr>
        <w:spacing w:before="120" w:after="360"/>
      </w:pPr>
      <w:r>
        <w:rPr>
          <w:rFonts w:ascii="Calibri" w:hAnsi="Calibri"/>
          <w:i/>
          <w:color w:val="808080"/>
          <w:sz w:val="20"/>
        </w:rPr>
        <w:fldChar w:fldCharType="begin"/>
        <w:instrText xml:space="preserve"> TOC \o "1-3" \h \z \u </w:instrText>
        <w:fldChar w:fldCharType="separate"/>
        <w:r>
          <w:t>[Right-click &gt; Update Field to generate the Table of Contents]</w:t>
        </w:r>
        <w:fldChar w:fldCharType="end"/>
      </w:r>
    </w:p>
    <w:p>
      <w:pPr>
        <w:spacing w:before="0" w:after="0"/>
      </w:pPr>
      <w:r>
        <w:br w:type="page"/>
      </w:r>
    </w:p>
    <w:p>
      <w:pPr>
        <w:spacing w:before="0" w:after="0"/>
      </w:pPr>
      <w:r>
        <w:br w:type="page"/>
      </w:r>
    </w:p>
    <w:p>
      <w:pPr>
        <w:pStyle w:val="Heading2"/>
        <w:keepNext/>
      </w:pPr>
      <w:r>
        <w:t>1. Executive Summary</w:t>
      </w:r>
    </w:p>
    <w:tbl>
      <w:tblPr>
        <w:tblStyle w:val="TableGrid"/>
        <w:tblW w:type="auto" w:w="0"/>
        <w:tblLook w:firstColumn="1" w:firstRow="1" w:lastColumn="0" w:lastRow="0" w:noHBand="0" w:noVBand="1" w:val="04A0"/>
      </w:tblPr>
      <w:tblGrid>
        <w:gridCol w:w="9026"/>
      </w:tblGrid>
      <w:tr>
        <w:tc>
          <w:tcPr>
            <w:tcW w:type="dxa" w:w="9026"/>
            <w:shd w:val="clear" w:color="auto" w:fill="F7F7F7"/>
            <w:tcBorders>
              <w:top w:val="single" w:sz="6" w:space="0" w:color="AAAAAA"/>
              <w:left w:val="single" w:sz="6" w:space="0" w:color="AAAAAA"/>
              <w:bottom w:val="single" w:sz="6" w:space="0" w:color="AAAAAA"/>
              <w:right w:val="single" w:sz="6" w:space="0" w:color="AAAAAA"/>
            </w:tcBorders>
          </w:tcPr>
          <w:p>
            <w:pPr>
              <w:spacing w:before="80" w:after="80"/>
            </w:pPr>
            <w:r>
              <w:rPr>
                <w:rFonts w:ascii="Calibri" w:hAnsi="Calibri"/>
                <w:i/>
                <w:color w:val="707070"/>
                <w:sz w:val="20"/>
              </w:rPr>
              <w:t>[ Executive Summary — to be completed before submission ]</w:t>
            </w:r>
          </w:p>
          <w:p>
            <w:pPr>
              <w:spacing w:before="40" w:after="80"/>
            </w:pPr>
            <w:r>
              <w:rPr>
                <w:rFonts w:ascii="Calibri" w:hAnsi="Calibri"/>
                <w:color w:val="707070"/>
                <w:sz w:val="18"/>
              </w:rPr>
              <w:t>Requires BU Lead drafting before submission.</w:t>
            </w:r>
          </w:p>
        </w:tc>
      </w:tr>
    </w:tbl>
    <w:p>
      <w:pPr>
        <w:spacing w:after="120"/>
      </w:pPr>
    </w:p>
    <w:p>
      <w:pPr>
        <w:spacing w:before="0" w:after="0"/>
      </w:pPr>
      <w:r>
        <w:br w:type="page"/>
      </w:r>
    </w:p>
    <w:p>
      <w:pPr>
        <w:pStyle w:val="Heading2"/>
        <w:keepNext/>
      </w:pPr>
      <w:r>
        <w:t>2. Understanding Plennegy's Requirements</w:t>
      </w:r>
    </w:p>
    <w:tbl>
      <w:tblPr>
        <w:tblStyle w:val="TableGrid"/>
        <w:tblW w:type="auto" w:w="0"/>
        <w:tblLook w:firstColumn="1" w:firstRow="1" w:lastColumn="0" w:lastRow="0" w:noHBand="0" w:noVBand="1" w:val="04A0"/>
      </w:tblPr>
      <w:tblGrid>
        <w:gridCol w:w="9026"/>
      </w:tblGrid>
      <w:tr>
        <w:tc>
          <w:tcPr>
            <w:tcW w:type="dxa" w:w="9026"/>
            <w:shd w:val="clear" w:color="auto" w:fill="F7F7F7"/>
            <w:tcBorders>
              <w:top w:val="single" w:sz="6" w:space="0" w:color="AAAAAA"/>
              <w:left w:val="single" w:sz="6" w:space="0" w:color="AAAAAA"/>
              <w:bottom w:val="single" w:sz="6" w:space="0" w:color="AAAAAA"/>
              <w:right w:val="single" w:sz="6" w:space="0" w:color="AAAAAA"/>
            </w:tcBorders>
          </w:tcPr>
          <w:p>
            <w:pPr>
              <w:spacing w:before="80" w:after="80"/>
            </w:pPr>
            <w:r>
              <w:rPr>
                <w:rFonts w:ascii="Calibri" w:hAnsi="Calibri"/>
                <w:i/>
                <w:color w:val="707070"/>
                <w:sz w:val="20"/>
              </w:rPr>
              <w:t>[ Understanding Plennegy's Requirements — to be completed before submission ]</w:t>
            </w:r>
          </w:p>
          <w:p>
            <w:pPr>
              <w:spacing w:before="40" w:after="80"/>
            </w:pPr>
            <w:r>
              <w:rPr>
                <w:rFonts w:ascii="Calibri" w:hAnsi="Calibri"/>
                <w:color w:val="707070"/>
                <w:sz w:val="18"/>
              </w:rPr>
              <w:t>Requires BU Lead drafting before submission.</w:t>
            </w:r>
          </w:p>
        </w:tc>
      </w:tr>
    </w:tbl>
    <w:p>
      <w:pPr>
        <w:spacing w:after="120"/>
      </w:pPr>
    </w:p>
    <w:p>
      <w:pPr>
        <w:spacing w:before="0" w:after="0"/>
      </w:pPr>
      <w:r>
        <w:br w:type="page"/>
      </w:r>
    </w:p>
    <w:p>
      <w:pPr>
        <w:pStyle w:val="Heading2"/>
        <w:keepNext/>
      </w:pPr>
      <w:r>
        <w:t>3. Proposed Oracle HCM Solution</w:t>
      </w:r>
    </w:p>
    <w:p>
      <w:pPr/>
      <w:r>
        <w:rPr>
          <w:rFonts w:ascii="Calibri" w:hAnsi="Calibri"/>
          <w:b w:val="0"/>
          <w:sz w:val="22"/>
        </w:rPr>
        <w:t>Based on the scope discussed with Plennegy Group, APPSolve recommends a phased Oracle HCM Cloud implementation delivering Core HCM and integration capability in Phase 1, followed by Talent and Learning modules in Phase 2.</w:t>
      </w:r>
    </w:p>
    <w:p>
      <w:pPr>
        <w:pStyle w:val="Heading3"/>
        <w:keepNext/>
      </w:pPr>
      <w:r>
        <w:rPr>
          <w:rFonts w:ascii="Calibri" w:hAnsi="Calibri"/>
          <w:b w:val="0"/>
          <w:sz w:val="26"/>
        </w:rPr>
        <w:t>Proposed Implementation Scope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Oracle Module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Proposed Coverage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Core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Core HR, Organisation Structure, Employee Lifecycle, Position Management, Absence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Cloud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Vacancy Management, Candidate Sourcing, Offer Management, Pre-Employment, Onboarding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(OIC)</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Interface, Third-Party Integrations, Middleware Architecture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 + Phase 2</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Learning Cloud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Course Catalogue, Certifications, Instructor-Led Training, Learning Paths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2</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Talent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Management, Goals Framework, Succession Planning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2</w:t>
            </w:r>
          </w:p>
        </w:tc>
      </w:tr>
    </w:tbl>
    <w:p>
      <w:pPr>
        <w:spacing w:before="0" w:after="120"/>
      </w:pPr>
    </w:p>
    <w:p>
      <w:pPr>
        <w:pStyle w:val="Heading3"/>
        <w:keepNext/>
      </w:pPr>
      <w:r>
        <w:rPr>
          <w:rFonts w:ascii="Calibri" w:hAnsi="Calibri"/>
          <w:b w:val="0"/>
          <w:sz w:val="26"/>
        </w:rPr>
        <w:t>Scope Basis</w:t>
      </w:r>
    </w:p>
    <w:p>
      <w:pPr/>
      <w:r>
        <w:rPr>
          <w:rFonts w:ascii="Calibri" w:hAnsi="Calibri"/>
          <w:b w:val="0"/>
          <w:sz w:val="22"/>
        </w:rPr>
        <w:t>The above scope is indicative pending confirmation of legal entity count, employee headcount, go-live target date, and payroll provider from Plennegy Group. Pricing and timeline will be confirmed in the formal Commercial Proposal once scope parameters are agreed.</w:t>
      </w:r>
    </w:p>
    <w:p>
      <w:pPr>
        <w:pStyle w:val="Heading3"/>
        <w:keepNext/>
      </w:pPr>
      <w:r>
        <w:rPr>
          <w:rFonts w:ascii="Calibri" w:hAnsi="Calibri"/>
          <w:b w:val="0"/>
          <w:sz w:val="26"/>
        </w:rPr>
        <w:t>What Is Not Included in This Proposal</w:t>
      </w:r>
    </w:p>
    <w:p>
      <w:pPr/>
      <w:r>
        <w:rPr>
          <w:rFonts w:ascii="Calibri" w:hAnsi="Calibri"/>
          <w:b w:val="0"/>
          <w:sz w:val="22"/>
        </w:rPr>
        <w:t xml:space="preserve">Oracle HCM Cloud module capability summaries are provided in </w:t>
      </w:r>
      <w:r>
        <w:rPr>
          <w:rFonts w:ascii="Calibri" w:hAnsi="Calibri"/>
          <w:sz w:val="22"/>
        </w:rPr>
        <w:t>**Appendix A**</w:t>
      </w:r>
      <w:r>
        <w:rPr>
          <w:rFonts w:ascii="Calibri" w:hAnsi="Calibri"/>
          <w:b w:val="0"/>
          <w:sz w:val="22"/>
        </w:rPr>
        <w:t xml:space="preserve">. Full module-level feature descriptions and delivery evidence are in </w:t>
      </w:r>
      <w:r>
        <w:rPr>
          <w:rFonts w:ascii="Calibri" w:hAnsi="Calibri"/>
          <w:sz w:val="22"/>
        </w:rPr>
        <w:t>**Appendix B**</w:t>
      </w:r>
      <w:r>
        <w:rPr>
          <w:rFonts w:ascii="Calibri" w:hAnsi="Calibri"/>
          <w:b w:val="0"/>
          <w:sz w:val="22"/>
        </w:rPr>
        <w:t>.</w:t>
      </w:r>
    </w:p>
    <w:p>
      <w:pPr>
        <w:spacing w:before="0" w:after="0"/>
      </w:pPr>
      <w:r>
        <w:br w:type="page"/>
      </w:r>
    </w:p>
    <w:p>
      <w:pPr>
        <w:pStyle w:val="Heading2"/>
        <w:keepNext/>
      </w:pPr>
      <w:r>
        <w:t>4. Why APPSolve</w:t>
      </w:r>
    </w:p>
    <w:p>
      <w:pPr>
        <w:pStyle w:val="Heading3"/>
        <w:keepNext/>
      </w:pPr>
      <w:r>
        <w:rPr>
          <w:rFonts w:ascii="Calibri" w:hAnsi="Calibri"/>
          <w:b w:val="0"/>
          <w:sz w:val="26"/>
        </w:rPr>
        <w:t>APPSolve Company Overview</w:t>
      </w:r>
    </w:p>
    <w:p>
      <w:pPr/>
      <w:r>
        <w:rPr>
          <w:rFonts w:ascii="Calibri" w:hAnsi="Calibri"/>
          <w:b w:val="0"/>
          <w:sz w:val="22"/>
        </w:rPr>
        <w:t>APPSolve is a software technology support company that specialises in providing cutting-edge support techniques, resources, and models to deliver competitive offers that are difficult for competitors to match.</w:t>
      </w:r>
    </w:p>
    <w:p>
      <w:pPr/>
      <w:r>
        <w:rPr>
          <w:rFonts w:ascii="Calibri" w:hAnsi="Calibri"/>
          <w:b w:val="0"/>
          <w:sz w:val="22"/>
        </w:rPr>
        <w:t>APPSolve was established in 2002 as an IT Technology Services and Support provider, focusing on consulting services, support, and development. Over more than 23 years, APPSolve has acquired some of the best IT Technology skills in South Africa. We operate from offices in Gauteng and the Western Cape.</w:t>
      </w:r>
    </w:p>
    <w:p>
      <w:pPr/>
      <w:r>
        <w:rPr>
          <w:rFonts w:ascii="Calibri" w:hAnsi="Calibri"/>
          <w:b w:val="0"/>
          <w:sz w:val="22"/>
        </w:rPr>
        <w:t>APPSolve employs more than 50 Senior Consultants, each with 10 or more years' experience in the Enterprise Technology sphere. We have been especially valuable as a solution partner in the Public Sector, Telco, Agriculture, Financial Services, and Higher Education industries.</w:t>
      </w:r>
    </w:p>
    <w:p>
      <w:pPr>
        <w:pStyle w:val="Heading4"/>
        <w:keepNext/>
      </w:pPr>
      <w:r>
        <w:rPr>
          <w:rFonts w:ascii="Calibri" w:hAnsi="Calibri"/>
          <w:b w:val="0"/>
          <w:sz w:val="22"/>
        </w:rPr>
        <w:t>Our Approach</w:t>
      </w:r>
    </w:p>
    <w:p>
      <w:pPr/>
      <w:r>
        <w:rPr>
          <w:rFonts w:ascii="Calibri" w:hAnsi="Calibri"/>
          <w:b w:val="0"/>
          <w:sz w:val="22"/>
        </w:rPr>
        <w:t>APPSolve's unique business model has a strong "trusted partner" focus, offering experienced business and IT resources to clients. This has been one of the main reasons for the company's continued growth. Our track record of satisfied customers and a team of motivated and highly skilled employees is our proud legacy.</w:t>
      </w:r>
    </w:p>
    <w:p>
      <w:pPr/>
      <w:r>
        <w:rPr>
          <w:rFonts w:ascii="Calibri" w:hAnsi="Calibri"/>
          <w:b w:val="0"/>
          <w:sz w:val="22"/>
        </w:rPr>
        <w:t>One of APPSolve's core strengths is understanding our clients' expectations. We ensure that our clients receive the most value from their IT investment. Our proactive approach of making software function optimally has saved our clients a considerable amount of money, thus enabling growth. Our reputation is built on delivering on-time, within budget, and exceeding client expectations.</w:t>
      </w:r>
    </w:p>
    <w:p>
      <w:pPr>
        <w:pStyle w:val="Heading4"/>
        <w:keepNext/>
      </w:pPr>
      <w:r>
        <w:rPr>
          <w:rFonts w:ascii="Calibri" w:hAnsi="Calibri"/>
          <w:b w:val="0"/>
          <w:sz w:val="22"/>
        </w:rPr>
        <w:t>International Footprint</w:t>
      </w:r>
    </w:p>
    <w:p>
      <w:pPr/>
      <w:r>
        <w:rPr>
          <w:rFonts w:ascii="Calibri" w:hAnsi="Calibri"/>
          <w:b w:val="0"/>
          <w:sz w:val="22"/>
        </w:rPr>
        <w:t>APPSolve has active and recent client engagements across the sub-Saharan African market, including Botswana, Zambia, Mozambique, Namibia, and Tanzania. APPSolve has also delivered projects in the USA, France, Abu Dhabi, and Pakistan.</w:t>
      </w:r>
    </w:p>
    <w:p>
      <w:pPr>
        <w:pStyle w:val="Heading4"/>
        <w:keepNext/>
      </w:pPr>
      <w:r>
        <w:rPr>
          <w:rFonts w:ascii="Calibri" w:hAnsi="Calibri"/>
          <w:b w:val="0"/>
          <w:sz w:val="22"/>
        </w:rPr>
        <w:t>Industries Served</w:t>
      </w:r>
    </w:p>
    <w:p>
      <w:pPr/>
      <w:r>
        <w:rPr>
          <w:rFonts w:ascii="Calibri" w:hAnsi="Calibri"/>
          <w:b w:val="0"/>
          <w:sz w:val="22"/>
        </w:rPr>
        <w:t>APPSolve has delivered professional services across a broad range of industries:</w:t>
      </w:r>
    </w:p>
    <w:p>
      <w:pPr>
        <w:pStyle w:val="ListBullet"/>
        <w:spacing w:before="20" w:after="20"/>
      </w:pPr>
      <w:r>
        <w:rPr>
          <w:rFonts w:ascii="Calibri" w:hAnsi="Calibri"/>
          <w:b w:val="0"/>
          <w:sz w:val="22"/>
        </w:rPr>
        <w:t>Oil and Gas</w:t>
      </w:r>
    </w:p>
    <w:p>
      <w:pPr>
        <w:pStyle w:val="ListBullet"/>
        <w:spacing w:before="20" w:after="20"/>
      </w:pPr>
      <w:r>
        <w:rPr>
          <w:rFonts w:ascii="Calibri" w:hAnsi="Calibri"/>
          <w:b w:val="0"/>
          <w:sz w:val="22"/>
        </w:rPr>
        <w:t>Non-Profit Organisations</w:t>
      </w:r>
    </w:p>
    <w:p>
      <w:pPr>
        <w:pStyle w:val="ListBullet"/>
        <w:spacing w:before="20" w:after="20"/>
      </w:pPr>
      <w:r>
        <w:rPr>
          <w:rFonts w:ascii="Calibri" w:hAnsi="Calibri"/>
          <w:b w:val="0"/>
          <w:sz w:val="22"/>
        </w:rPr>
        <w:t>Telecommunications</w:t>
      </w:r>
    </w:p>
    <w:p>
      <w:pPr>
        <w:pStyle w:val="ListBullet"/>
        <w:spacing w:before="20" w:after="20"/>
      </w:pPr>
      <w:r>
        <w:rPr>
          <w:rFonts w:ascii="Calibri" w:hAnsi="Calibri"/>
          <w:b w:val="0"/>
          <w:sz w:val="22"/>
        </w:rPr>
        <w:t>Manufacturing</w:t>
      </w:r>
    </w:p>
    <w:p>
      <w:pPr>
        <w:pStyle w:val="ListBullet"/>
        <w:spacing w:before="20" w:after="20"/>
      </w:pPr>
      <w:r>
        <w:rPr>
          <w:rFonts w:ascii="Calibri" w:hAnsi="Calibri"/>
          <w:b w:val="0"/>
          <w:sz w:val="22"/>
        </w:rPr>
        <w:t>Distribution</w:t>
      </w:r>
    </w:p>
    <w:p>
      <w:pPr>
        <w:pStyle w:val="ListBullet"/>
        <w:spacing w:before="20" w:after="20"/>
      </w:pPr>
      <w:r>
        <w:rPr>
          <w:rFonts w:ascii="Calibri" w:hAnsi="Calibri"/>
          <w:b w:val="0"/>
          <w:sz w:val="22"/>
        </w:rPr>
        <w:t>Public Sector</w:t>
      </w:r>
    </w:p>
    <w:p>
      <w:pPr>
        <w:pStyle w:val="ListBullet"/>
        <w:spacing w:before="20" w:after="20"/>
      </w:pPr>
      <w:r>
        <w:rPr>
          <w:rFonts w:ascii="Calibri" w:hAnsi="Calibri"/>
          <w:b w:val="0"/>
          <w:sz w:val="22"/>
        </w:rPr>
        <w:t>Agriculture</w:t>
      </w:r>
    </w:p>
    <w:p>
      <w:pPr>
        <w:pStyle w:val="ListBullet"/>
        <w:spacing w:before="20" w:after="20"/>
      </w:pPr>
      <w:r>
        <w:rPr>
          <w:rFonts w:ascii="Calibri" w:hAnsi="Calibri"/>
          <w:b w:val="0"/>
          <w:sz w:val="22"/>
        </w:rPr>
        <w:t>Medical Insurance</w:t>
      </w:r>
    </w:p>
    <w:p>
      <w:pPr>
        <w:pStyle w:val="ListBullet"/>
        <w:spacing w:before="20" w:after="20"/>
      </w:pPr>
      <w:r>
        <w:rPr>
          <w:rFonts w:ascii="Calibri" w:hAnsi="Calibri"/>
          <w:b w:val="0"/>
          <w:sz w:val="22"/>
        </w:rPr>
        <w:t>Pharmaceutical</w:t>
      </w:r>
    </w:p>
    <w:p>
      <w:pPr>
        <w:pStyle w:val="ListBullet"/>
        <w:spacing w:before="20" w:after="20"/>
      </w:pPr>
      <w:r>
        <w:rPr>
          <w:rFonts w:ascii="Calibri" w:hAnsi="Calibri"/>
          <w:b w:val="0"/>
          <w:sz w:val="22"/>
        </w:rPr>
        <w:t>Financial Services</w:t>
      </w:r>
    </w:p>
    <w:p>
      <w:pPr>
        <w:pStyle w:val="ListBullet"/>
        <w:spacing w:before="20" w:after="20"/>
      </w:pPr>
      <w:r>
        <w:rPr>
          <w:rFonts w:ascii="Calibri" w:hAnsi="Calibri"/>
          <w:b w:val="0"/>
          <w:sz w:val="22"/>
        </w:rPr>
        <w:t>Transport</w:t>
      </w:r>
    </w:p>
    <w:p>
      <w:pPr>
        <w:pStyle w:val="ListBullet"/>
        <w:spacing w:before="20" w:after="20"/>
      </w:pPr>
      <w:r>
        <w:rPr>
          <w:rFonts w:ascii="Calibri" w:hAnsi="Calibri"/>
          <w:b w:val="0"/>
          <w:sz w:val="22"/>
        </w:rPr>
        <w:t>Professional Services</w:t>
      </w:r>
    </w:p>
    <w:p>
      <w:pPr>
        <w:pStyle w:val="ListBullet"/>
        <w:spacing w:before="20" w:after="20"/>
      </w:pPr>
      <w:r>
        <w:rPr>
          <w:rFonts w:ascii="Calibri" w:hAnsi="Calibri"/>
          <w:b w:val="0"/>
          <w:sz w:val="22"/>
        </w:rPr>
        <w:t>Technology</w:t>
      </w:r>
    </w:p>
    <w:p>
      <w:pPr>
        <w:pStyle w:val="ListBullet"/>
        <w:spacing w:before="20" w:after="20"/>
      </w:pPr>
      <w:r>
        <w:rPr>
          <w:rFonts w:ascii="Calibri" w:hAnsi="Calibri"/>
          <w:b w:val="0"/>
          <w:sz w:val="22"/>
        </w:rPr>
        <w:t>Fast Moving Consumer Goods (FMCG)</w:t>
      </w:r>
    </w:p>
    <w:p>
      <w:pPr>
        <w:pStyle w:val="ListBullet"/>
        <w:spacing w:before="20" w:after="20"/>
      </w:pPr>
      <w:r>
        <w:rPr>
          <w:rFonts w:ascii="Calibri" w:hAnsi="Calibri"/>
          <w:b w:val="0"/>
          <w:sz w:val="22"/>
        </w:rPr>
        <w:t>Higher Education</w:t>
      </w:r>
    </w:p>
    <w:p>
      <w:pPr>
        <w:pStyle w:val="ListBullet"/>
        <w:spacing w:before="20" w:after="20"/>
      </w:pPr>
      <w:r>
        <w:rPr>
          <w:rFonts w:ascii="Calibri" w:hAnsi="Calibri"/>
          <w:b w:val="0"/>
          <w:sz w:val="22"/>
        </w:rPr>
        <w:t>Wholesale Distribution</w:t>
      </w:r>
    </w:p>
    <w:p>
      <w:pPr>
        <w:pStyle w:val="ListBullet"/>
        <w:spacing w:before="20" w:after="20"/>
      </w:pPr>
      <w:r>
        <w:rPr>
          <w:rFonts w:ascii="Calibri" w:hAnsi="Calibri"/>
          <w:b w:val="0"/>
          <w:sz w:val="22"/>
        </w:rPr>
        <w:t>Engineering and Construction</w:t>
      </w:r>
    </w:p>
    <w:p>
      <w:pPr>
        <w:pStyle w:val="ListBullet"/>
        <w:spacing w:before="20" w:after="20"/>
      </w:pPr>
      <w:r>
        <w:rPr>
          <w:rFonts w:ascii="Calibri" w:hAnsi="Calibri"/>
          <w:b w:val="0"/>
          <w:sz w:val="22"/>
        </w:rPr>
        <w:t>Retail</w:t>
      </w:r>
    </w:p>
    <w:p>
      <w:pPr>
        <w:pStyle w:val="Heading3"/>
        <w:keepNext/>
      </w:pPr>
      <w:r>
        <w:rPr>
          <w:rFonts w:ascii="Calibri" w:hAnsi="Calibri"/>
          <w:b w:val="0"/>
          <w:sz w:val="26"/>
        </w:rPr>
        <w:t>APPSolve Company History</w:t>
      </w:r>
    </w:p>
    <w:p>
      <w:pPr/>
      <w:r>
        <w:rPr>
          <w:rFonts w:ascii="Calibri" w:hAnsi="Calibri"/>
          <w:b w:val="0"/>
          <w:sz w:val="22"/>
        </w:rPr>
        <w:t>APPSolve was established in 2002 as an IT Technology Services and Support provider, focusing on consulting services, support, and development.</w:t>
      </w:r>
    </w:p>
    <w:p>
      <w:pPr/>
      <w:r>
        <w:rPr>
          <w:rFonts w:ascii="Calibri" w:hAnsi="Calibri"/>
          <w:b w:val="0"/>
          <w:sz w:val="22"/>
        </w:rPr>
        <w:t>The company was founded by Hein Blignaut, who developed APPSolve from an Oracle Applications DBA-focused company into an end-to-end technology services provider.</w:t>
      </w:r>
    </w:p>
    <w:p>
      <w:pPr/>
      <w:r>
        <w:rPr>
          <w:rFonts w:ascii="Calibri" w:hAnsi="Calibri"/>
          <w:b w:val="0"/>
          <w:sz w:val="22"/>
        </w:rPr>
        <w:t>Over more than 23 years, APPSolve has acquired some of the best IT Technology skills in South Africa, growing to employ more than 50 Senior Consultants, each with 10 or more years' experience in the Enterprise Technology sphere.</w:t>
      </w:r>
    </w:p>
    <w:p>
      <w:pPr>
        <w:pStyle w:val="Heading4"/>
        <w:keepNext/>
      </w:pPr>
      <w:r>
        <w:rPr>
          <w:rFonts w:ascii="Calibri" w:hAnsi="Calibri"/>
          <w:b w:val="0"/>
          <w:sz w:val="22"/>
        </w:rPr>
        <w:t>Geographic Expansion</w:t>
      </w:r>
    </w:p>
    <w:p>
      <w:pPr/>
      <w:r>
        <w:rPr>
          <w:rFonts w:ascii="Calibri" w:hAnsi="Calibri"/>
          <w:b w:val="0"/>
          <w:sz w:val="22"/>
        </w:rPr>
        <w:t>APPSolve initially operated from offices in Gauteng and the Western Cape. Over subsequent years, the company extended operations into the sub-Saharan African market, with active and recent client engagements in Botswana, Zambia, Mozambique, Namibia, and Tanzania. APPSolve has also delivered projects in the USA, France, Abu Dhabi, and Pakistan.</w:t>
      </w:r>
    </w:p>
    <w:p>
      <w:pPr>
        <w:pStyle w:val="Heading4"/>
        <w:keepNext/>
      </w:pPr>
      <w:r>
        <w:rPr>
          <w:rFonts w:ascii="Calibri" w:hAnsi="Calibri"/>
          <w:b w:val="0"/>
          <w:sz w:val="22"/>
        </w:rPr>
        <w:t>Awards and Recognition</w:t>
      </w:r>
    </w:p>
    <w:p>
      <w:pPr/>
      <w:r>
        <w:rPr>
          <w:rFonts w:ascii="Calibri" w:hAnsi="Calibri"/>
          <w:b w:val="0"/>
          <w:sz w:val="22"/>
        </w:rPr>
        <w:t>APPSolve has been recognised by Oracle for innovation and partnership excellence:</w:t>
      </w:r>
    </w:p>
    <w:p>
      <w:pPr>
        <w:pStyle w:val="ListBullet"/>
        <w:spacing w:before="20" w:after="20"/>
      </w:pPr>
      <w:r>
        <w:rPr>
          <w:rFonts w:ascii="Calibri" w:hAnsi="Calibri"/>
          <w:sz w:val="22"/>
        </w:rPr>
        <w:t>**Oracle Innovation Sustainability Award**</w:t>
      </w:r>
      <w:r>
        <w:rPr>
          <w:rFonts w:ascii="Calibri" w:hAnsi="Calibri"/>
          <w:b w:val="0"/>
          <w:sz w:val="22"/>
        </w:rPr>
        <w:t xml:space="preserve"> — 2015 and 2016 (global award, for applications developed in Mozambique)</w:t>
      </w:r>
    </w:p>
    <w:p>
      <w:pPr>
        <w:pStyle w:val="ListBullet"/>
        <w:spacing w:before="20" w:after="20"/>
      </w:pPr>
      <w:r>
        <w:rPr>
          <w:rFonts w:ascii="Calibri" w:hAnsi="Calibri"/>
          <w:sz w:val="22"/>
        </w:rPr>
        <w:t>**Oracle SaaS Partner of the Year (SADC Region)**</w:t>
      </w:r>
      <w:r>
        <w:rPr>
          <w:rFonts w:ascii="Calibri" w:hAnsi="Calibri"/>
          <w:b w:val="0"/>
          <w:sz w:val="22"/>
        </w:rPr>
        <w:t xml:space="preserve"> — 2016</w:t>
      </w:r>
    </w:p>
    <w:p>
      <w:pPr>
        <w:pStyle w:val="ListBullet"/>
        <w:spacing w:before="20" w:after="20"/>
      </w:pPr>
      <w:r>
        <w:rPr>
          <w:rFonts w:ascii="Calibri" w:hAnsi="Calibri"/>
          <w:sz w:val="22"/>
        </w:rPr>
        <w:t>**Oracle SaaS Partner of the Year (SADC Region) — New Entrant**</w:t>
      </w:r>
      <w:r>
        <w:rPr>
          <w:rFonts w:ascii="Calibri" w:hAnsi="Calibri"/>
          <w:b w:val="0"/>
          <w:sz w:val="22"/>
        </w:rPr>
        <w:t xml:space="preserve"> — 2019</w:t>
      </w:r>
    </w:p>
    <w:p>
      <w:pPr>
        <w:pStyle w:val="ListBullet"/>
        <w:spacing w:before="20" w:after="20"/>
      </w:pPr>
      <w:r>
        <w:rPr>
          <w:rFonts w:ascii="Calibri" w:hAnsi="Calibri"/>
          <w:sz w:val="22"/>
        </w:rPr>
        <w:t>**Oracle Business Impact Award — EMEA**</w:t>
      </w:r>
      <w:r>
        <w:rPr>
          <w:rFonts w:ascii="Calibri" w:hAnsi="Calibri"/>
          <w:b w:val="0"/>
          <w:sz w:val="22"/>
        </w:rPr>
        <w:t xml:space="preserve"> — 2024</w:t>
      </w:r>
    </w:p>
    <w:p>
      <w:pPr>
        <w:pStyle w:val="ListBullet"/>
        <w:spacing w:before="20" w:after="20"/>
      </w:pPr>
      <w:r>
        <w:rPr>
          <w:rFonts w:ascii="Calibri" w:hAnsi="Calibri"/>
          <w:sz w:val="22"/>
        </w:rPr>
        <w:t>**Oracle Business Impact Award — ECEMEA Region**</w:t>
      </w:r>
      <w:r>
        <w:rPr>
          <w:rFonts w:ascii="Calibri" w:hAnsi="Calibri"/>
          <w:b w:val="0"/>
          <w:sz w:val="22"/>
        </w:rPr>
        <w:t xml:space="preserve"> — 2024</w:t>
      </w:r>
    </w:p>
    <w:p>
      <w:pPr>
        <w:pStyle w:val="Heading4"/>
        <w:keepNext/>
      </w:pPr>
      <w:r>
        <w:rPr>
          <w:rFonts w:ascii="Calibri" w:hAnsi="Calibri"/>
          <w:b w:val="0"/>
          <w:sz w:val="22"/>
        </w:rPr>
        <w:t>Oracle Partnership</w:t>
      </w:r>
    </w:p>
    <w:p>
      <w:pPr/>
      <w:r>
        <w:rPr>
          <w:rFonts w:ascii="Calibri" w:hAnsi="Calibri"/>
          <w:b w:val="0"/>
          <w:sz w:val="22"/>
        </w:rPr>
        <w:t>APPSolve has been an Oracle Partner for over two decades. The company holds Oracle Level 1 Partner status with published expertise in:</w:t>
      </w:r>
    </w:p>
    <w:p>
      <w:pPr>
        <w:pStyle w:val="ListBullet"/>
        <w:spacing w:before="20" w:after="20"/>
      </w:pPr>
      <w:r>
        <w:rPr>
          <w:rFonts w:ascii="Calibri" w:hAnsi="Calibri"/>
          <w:b w:val="0"/>
          <w:sz w:val="22"/>
        </w:rPr>
        <w:t>Oracle Fusion Cloud Financials</w:t>
      </w:r>
    </w:p>
    <w:p>
      <w:pPr>
        <w:pStyle w:val="ListBullet"/>
        <w:spacing w:before="20" w:after="20"/>
      </w:pPr>
      <w:r>
        <w:rPr>
          <w:rFonts w:ascii="Calibri" w:hAnsi="Calibri"/>
          <w:b w:val="0"/>
          <w:sz w:val="22"/>
        </w:rPr>
        <w:t>Oracle Fusion Cloud HCM Core</w:t>
      </w:r>
    </w:p>
    <w:p>
      <w:pPr>
        <w:pStyle w:val="ListBullet"/>
        <w:spacing w:before="20" w:after="20"/>
      </w:pPr>
      <w:r>
        <w:rPr>
          <w:rFonts w:ascii="Calibri" w:hAnsi="Calibri"/>
          <w:b w:val="0"/>
          <w:sz w:val="22"/>
        </w:rPr>
        <w:t>Oracle Integration</w:t>
      </w:r>
    </w:p>
    <w:p>
      <w:pPr>
        <w:pStyle w:val="ListBullet"/>
        <w:spacing w:before="20" w:after="20"/>
      </w:pPr>
      <w:r>
        <w:rPr>
          <w:rFonts w:ascii="Calibri" w:hAnsi="Calibri"/>
          <w:b w:val="0"/>
          <w:sz w:val="22"/>
        </w:rPr>
        <w:t>Oracle E-Business Suite Migration to OCI</w:t>
      </w:r>
    </w:p>
    <w:p>
      <w:pPr>
        <w:pStyle w:val="ListBullet"/>
        <w:spacing w:before="20" w:after="20"/>
      </w:pPr>
      <w:r>
        <w:rPr>
          <w:rFonts w:ascii="Calibri" w:hAnsi="Calibri"/>
          <w:b w:val="0"/>
          <w:sz w:val="22"/>
        </w:rPr>
        <w:t>Oracle Cloud Infrastructure Migration</w:t>
      </w:r>
    </w:p>
    <w:p>
      <w:pPr/>
      <w:r>
        <w:rPr>
          <w:rFonts w:ascii="Calibri" w:hAnsi="Calibri"/>
          <w:b w:val="0"/>
          <w:sz w:val="22"/>
        </w:rPr>
        <w:t>APPSolve is also:</w:t>
      </w:r>
    </w:p>
    <w:p>
      <w:pPr>
        <w:pStyle w:val="ListBullet"/>
        <w:spacing w:before="20" w:after="20"/>
      </w:pPr>
      <w:r>
        <w:rPr>
          <w:rFonts w:ascii="Calibri" w:hAnsi="Calibri"/>
          <w:b w:val="0"/>
          <w:sz w:val="22"/>
        </w:rPr>
        <w:t>An authorised Oracle Value-Added Reseller — licensed to sell and distribute Oracle products</w:t>
      </w:r>
    </w:p>
    <w:p>
      <w:pPr>
        <w:pStyle w:val="ListBullet"/>
        <w:spacing w:before="20" w:after="20"/>
      </w:pPr>
      <w:r>
        <w:rPr>
          <w:rFonts w:ascii="Calibri" w:hAnsi="Calibri"/>
          <w:b w:val="0"/>
          <w:sz w:val="22"/>
        </w:rPr>
        <w:t>A certified Oracle Cloud Excellence Implementer</w:t>
      </w:r>
    </w:p>
    <w:p>
      <w:pPr>
        <w:pStyle w:val="ListBullet"/>
        <w:spacing w:before="20" w:after="20"/>
      </w:pPr>
      <w:r>
        <w:rPr>
          <w:rFonts w:ascii="Calibri" w:hAnsi="Calibri"/>
          <w:b w:val="0"/>
          <w:sz w:val="22"/>
        </w:rPr>
        <w:t>Specialised on Oracle Enterprise Linux</w:t>
      </w:r>
    </w:p>
    <w:p>
      <w:pPr/>
      <w:r>
        <w:rPr>
          <w:rFonts w:ascii="Calibri" w:hAnsi="Calibri"/>
          <w:b w:val="0"/>
          <w:sz w:val="22"/>
        </w:rPr>
        <w:t>APPSolve's Oracle Level 1 Partner status entitles the company to sell and distribute Oracle licenses, provide clients with access to real-time global Oracle support, and implement solutions sustained by Oracle's global knowledge base.</w:t>
      </w:r>
    </w:p>
    <w:p>
      <w:pPr>
        <w:pStyle w:val="Heading3"/>
        <w:keepNext/>
      </w:pPr>
      <w:r>
        <w:rPr>
          <w:rFonts w:ascii="Calibri" w:hAnsi="Calibri"/>
          <w:b w:val="0"/>
          <w:sz w:val="26"/>
        </w:rPr>
        <w:t>APPSolve Awards and Recognition</w:t>
      </w:r>
    </w:p>
    <w:p>
      <w:pPr/>
      <w:r>
        <w:rPr>
          <w:rFonts w:ascii="Calibri" w:hAnsi="Calibri"/>
          <w:b w:val="0"/>
          <w:sz w:val="22"/>
        </w:rPr>
        <w:t>APPSolve has been recognised by Oracle and the broader technology industry for innovation and service excellence.</w:t>
      </w:r>
    </w:p>
    <w:p>
      <w:pPr>
        <w:pStyle w:val="Heading4"/>
        <w:keepNext/>
      </w:pPr>
      <w:r>
        <w:rPr>
          <w:rFonts w:ascii="Calibri" w:hAnsi="Calibri"/>
          <w:b w:val="0"/>
          <w:sz w:val="22"/>
        </w:rPr>
        <w:t>Approved Awards Content</w:t>
      </w:r>
    </w:p>
    <w:p>
      <w:pPr/>
      <w:r>
        <w:rPr>
          <w:rFonts w:ascii="Calibri" w:hAnsi="Calibri"/>
          <w:b w:val="0"/>
          <w:sz w:val="22"/>
        </w:rPr>
        <w:t>The following Oracle awards are confirmed and approved for unrestricted use in tender responses.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award — for applications developed in Mozambique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award — repeat winner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(SADC Region)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Regional award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 (SADC Region)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Regional award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pStyle w:val="Heading4"/>
        <w:keepNext/>
      </w:pPr>
      <w:r>
        <w:rPr>
          <w:rFonts w:ascii="Calibri" w:hAnsi="Calibri"/>
          <w:b w:val="0"/>
          <w:sz w:val="22"/>
        </w:rPr>
        <w:t>Success Story References — Pending URL Verification</w:t>
      </w:r>
    </w:p>
    <w:p>
      <w:pPr/>
      <w:r>
        <w:rPr>
          <w:rFonts w:ascii="Calibri" w:hAnsi="Calibri"/>
          <w:b w:val="0"/>
          <w:sz w:val="22"/>
        </w:rPr>
        <w:t>The following published success stories have been referenced in tender submissions. The award table above is approved for unrestricted use. Verify each item's URL and reference permission before citing it in a live tender response.</w:t>
      </w:r>
    </w:p>
    <w:p>
      <w:pPr>
        <w:pStyle w:val="ListBullet"/>
        <w:spacing w:before="20" w:after="20"/>
      </w:pPr>
      <w:r>
        <w:rPr>
          <w:rFonts w:ascii="Calibri" w:hAnsi="Calibri"/>
          <w:sz w:val="22"/>
        </w:rPr>
        <w:t>**Tiger Brands**</w:t>
      </w:r>
      <w:r>
        <w:rPr>
          <w:rFonts w:ascii="Calibri" w:hAnsi="Calibri"/>
          <w:b w:val="0"/>
          <w:sz w:val="22"/>
        </w:rPr>
        <w:t xml:space="preserve"> — Host-to-Host banking optimisation </w:t>
      </w:r>
      <w:r>
        <w:rPr>
          <w:rFonts w:ascii="Calibri" w:hAnsi="Calibri"/>
          <w:sz w:val="22"/>
        </w:rPr>
        <w:t>*(Pending URL Verification)*</w:t>
      </w:r>
    </w:p>
    <w:p>
      <w:pPr>
        <w:pStyle w:val="ListBullet"/>
        <w:spacing w:before="20" w:after="20"/>
      </w:pPr>
      <w:r>
        <w:rPr>
          <w:rFonts w:ascii="Calibri" w:hAnsi="Calibri"/>
          <w:sz w:val="22"/>
        </w:rPr>
        <w:t>**USAID Southern Africa**</w:t>
      </w:r>
      <w:r>
        <w:rPr>
          <w:rFonts w:ascii="Calibri" w:hAnsi="Calibri"/>
          <w:b w:val="0"/>
          <w:sz w:val="22"/>
        </w:rPr>
        <w:t xml:space="preserve"> — Oracle implementation </w:t>
      </w:r>
      <w:r>
        <w:rPr>
          <w:rFonts w:ascii="Calibri" w:hAnsi="Calibri"/>
          <w:sz w:val="22"/>
        </w:rPr>
        <w:t>*(Pending URL Verification)*</w:t>
      </w:r>
    </w:p>
    <w:p>
      <w:pPr>
        <w:pStyle w:val="ListBullet"/>
        <w:spacing w:before="20" w:after="20"/>
      </w:pPr>
      <w:r>
        <w:rPr>
          <w:rFonts w:ascii="Calibri" w:hAnsi="Calibri"/>
          <w:sz w:val="22"/>
        </w:rPr>
        <w:t>**UT Grain**</w:t>
      </w:r>
      <w:r>
        <w:rPr>
          <w:rFonts w:ascii="Calibri" w:hAnsi="Calibri"/>
          <w:b w:val="0"/>
          <w:sz w:val="22"/>
        </w:rPr>
        <w:t xml:space="preserve"> — Oracle Database </w:t>
      </w:r>
      <w:r>
        <w:rPr>
          <w:rFonts w:ascii="Calibri" w:hAnsi="Calibri"/>
          <w:sz w:val="22"/>
        </w:rPr>
        <w:t>*(Pending URL Verification)*</w:t>
      </w:r>
    </w:p>
    <w:p>
      <w:pPr>
        <w:pStyle w:val="Heading3"/>
        <w:keepNext/>
      </w:pPr>
      <w:r>
        <w:rPr>
          <w:rFonts w:ascii="Calibri" w:hAnsi="Calibri"/>
          <w:b w:val="0"/>
          <w:sz w:val="26"/>
        </w:rPr>
        <w:t>APPSolve Delivery Model</w:t>
      </w:r>
    </w:p>
    <w:p>
      <w:pPr>
        <w:pStyle w:val="Heading4"/>
        <w:keepNext/>
      </w:pPr>
      <w:r>
        <w:rPr>
          <w:rFonts w:ascii="Calibri" w:hAnsi="Calibri"/>
          <w:b w:val="0"/>
          <w:sz w:val="22"/>
        </w:rPr>
        <w:t>Products and Services</w:t>
      </w:r>
    </w:p>
    <w:p>
      <w:pPr>
        <w:pStyle w:val="Heading4"/>
        <w:keepNext/>
      </w:pPr>
      <w:r>
        <w:rPr>
          <w:rFonts w:ascii="Calibri" w:hAnsi="Calibri"/>
          <w:b w:val="0"/>
          <w:sz w:val="22"/>
        </w:rPr>
        <w:t>How APPSolve Delivers</w:t>
      </w:r>
    </w:p>
    <w:p>
      <w:pPr>
        <w:pStyle w:val="Heading5"/>
        <w:keepNext/>
      </w:pPr>
      <w:r>
        <w:rPr>
          <w:rFonts w:ascii="Calibri" w:hAnsi="Calibri"/>
          <w:b w:val="0"/>
          <w:sz w:val="22"/>
        </w:rPr>
        <w:t>Monthly Recurring Invoice Model</w:t>
      </w:r>
    </w:p>
    <w:p>
      <w:pPr>
        <w:pStyle w:val="Heading3"/>
        <w:keepNext/>
      </w:pPr>
      <w:r>
        <w:rPr>
          <w:rFonts w:ascii="Calibri" w:hAnsi="Calibri"/>
          <w:b w:val="0"/>
          <w:sz w:val="26"/>
        </w:rPr>
        <w:t>APPSolve Geographic Presence</w:t>
      </w:r>
    </w:p>
    <w:p>
      <w:pPr>
        <w:pStyle w:val="Heading4"/>
        <w:keepNext/>
      </w:pPr>
      <w:r>
        <w:rPr>
          <w:rFonts w:ascii="Calibri" w:hAnsi="Calibri"/>
          <w:b w:val="0"/>
          <w:sz w:val="22"/>
        </w:rPr>
        <w:t>Sub-Saharan Africa — Active and Recent Engagements</w:t>
      </w:r>
    </w:p>
    <w:p>
      <w:pPr>
        <w:pStyle w:val="Heading4"/>
        <w:keepNext/>
      </w:pPr>
      <w:r>
        <w:rPr>
          <w:rFonts w:ascii="Calibri" w:hAnsi="Calibri"/>
          <w:b w:val="0"/>
          <w:sz w:val="22"/>
        </w:rPr>
        <w:t>International Markets — Project Delivery</w:t>
      </w:r>
    </w:p>
    <w:p>
      <w:pPr>
        <w:pStyle w:val="Heading4"/>
        <w:keepNext/>
      </w:pPr>
      <w:r>
        <w:rPr>
          <w:rFonts w:ascii="Calibri" w:hAnsi="Calibri"/>
          <w:b w:val="0"/>
          <w:sz w:val="22"/>
        </w:rPr>
        <w:t>Industries by Geography</w:t>
      </w:r>
    </w:p>
    <w:p>
      <w:pPr>
        <w:pStyle w:val="Heading3"/>
        <w:keepNext/>
      </w:pPr>
      <w:r>
        <w:rPr>
          <w:rFonts w:ascii="Calibri" w:hAnsi="Calibri"/>
          <w:b w:val="0"/>
          <w:sz w:val="26"/>
        </w:rPr>
        <w:t>APPSolve Key Differentiators</w:t>
      </w:r>
    </w:p>
    <w:p>
      <w:pPr>
        <w:pStyle w:val="Heading4"/>
        <w:keepNext/>
      </w:pPr>
      <w:r>
        <w:rPr>
          <w:rFonts w:ascii="Calibri" w:hAnsi="Calibri"/>
          <w:b w:val="0"/>
          <w:sz w:val="22"/>
        </w:rPr>
        <w:t>Why Work with APPSolve?</w:t>
      </w:r>
    </w:p>
    <w:p>
      <w:pPr>
        <w:pStyle w:val="Heading5"/>
        <w:keepNext/>
      </w:pPr>
      <w:r>
        <w:rPr>
          <w:rFonts w:ascii="Calibri" w:hAnsi="Calibri"/>
          <w:b w:val="0"/>
          <w:sz w:val="22"/>
        </w:rPr>
        <w:t>1. Least Risk Option</w:t>
      </w:r>
    </w:p>
    <w:p>
      <w:pPr>
        <w:pStyle w:val="Heading5"/>
        <w:keepNext/>
      </w:pPr>
      <w:r>
        <w:rPr>
          <w:rFonts w:ascii="Calibri" w:hAnsi="Calibri"/>
          <w:b w:val="0"/>
          <w:sz w:val="22"/>
        </w:rPr>
        <w:t>2. Technical Expertise and Track Record</w:t>
      </w:r>
    </w:p>
    <w:p>
      <w:pPr>
        <w:pStyle w:val="Heading5"/>
        <w:keepNext/>
      </w:pPr>
      <w:r>
        <w:rPr>
          <w:rFonts w:ascii="Calibri" w:hAnsi="Calibri"/>
          <w:b w:val="0"/>
          <w:sz w:val="22"/>
        </w:rPr>
        <w:t>3. Service Delivery Management Team</w:t>
      </w:r>
    </w:p>
    <w:p>
      <w:pPr>
        <w:pStyle w:val="Heading5"/>
        <w:keepNext/>
      </w:pPr>
      <w:r>
        <w:rPr>
          <w:rFonts w:ascii="Calibri" w:hAnsi="Calibri"/>
          <w:b w:val="0"/>
          <w:sz w:val="22"/>
        </w:rPr>
        <w:t>4. On-site Expertise Support</w:t>
      </w:r>
    </w:p>
    <w:p>
      <w:pPr>
        <w:pStyle w:val="Heading5"/>
        <w:keepNext/>
      </w:pPr>
      <w:r>
        <w:rPr>
          <w:rFonts w:ascii="Calibri" w:hAnsi="Calibri"/>
          <w:b w:val="0"/>
          <w:sz w:val="22"/>
        </w:rPr>
        <w:t>5. Continuous Improvement Model</w:t>
      </w:r>
    </w:p>
    <w:p>
      <w:pPr>
        <w:pStyle w:val="Heading5"/>
        <w:keepNext/>
      </w:pPr>
      <w:r>
        <w:rPr>
          <w:rFonts w:ascii="Calibri" w:hAnsi="Calibri"/>
          <w:b w:val="0"/>
          <w:sz w:val="22"/>
        </w:rPr>
        <w:t>6. Hybrid Support Model</w:t>
      </w:r>
    </w:p>
    <w:p>
      <w:pPr>
        <w:pStyle w:val="Heading5"/>
        <w:keepNext/>
      </w:pPr>
      <w:r>
        <w:rPr>
          <w:rFonts w:ascii="Calibri" w:hAnsi="Calibri"/>
          <w:b w:val="0"/>
          <w:sz w:val="22"/>
        </w:rPr>
        <w:t>7. Flexible and Predictable Costing</w:t>
      </w:r>
    </w:p>
    <w:p>
      <w:pPr>
        <w:pStyle w:val="Heading3"/>
        <w:keepNext/>
      </w:pPr>
      <w:r>
        <w:rPr>
          <w:rFonts w:ascii="Calibri" w:hAnsi="Calibri"/>
          <w:b w:val="0"/>
          <w:sz w:val="26"/>
        </w:rPr>
        <w:t>APPSolve Oracle Partnership</w:t>
      </w:r>
    </w:p>
    <w:p>
      <w:pPr>
        <w:pStyle w:val="Heading4"/>
        <w:keepNext/>
      </w:pPr>
      <w:r>
        <w:rPr>
          <w:rFonts w:ascii="Calibri" w:hAnsi="Calibri"/>
          <w:b w:val="0"/>
          <w:sz w:val="22"/>
        </w:rPr>
        <w:t>Partner Credentials</w:t>
      </w:r>
    </w:p>
    <w:p>
      <w:pPr>
        <w:pStyle w:val="Heading4"/>
        <w:keepNext/>
      </w:pPr>
      <w:r>
        <w:rPr>
          <w:rFonts w:ascii="Calibri" w:hAnsi="Calibri"/>
          <w:b w:val="0"/>
          <w:sz w:val="22"/>
        </w:rPr>
        <w:t>Awards</w:t>
      </w:r>
    </w:p>
    <w:p>
      <w:pPr>
        <w:pStyle w:val="Heading4"/>
        <w:keepNext/>
      </w:pPr>
      <w:r>
        <w:rPr>
          <w:rFonts w:ascii="Calibri" w:hAnsi="Calibri"/>
          <w:b w:val="0"/>
          <w:sz w:val="22"/>
        </w:rPr>
        <w:t>Oracle Backed</w:t>
      </w:r>
    </w:p>
    <w:p>
      <w:pPr/>
      <w:r>
        <w:rPr>
          <w:rFonts w:ascii="Calibri" w:hAnsi="Calibri"/>
          <w:b w:val="0"/>
          <w:sz w:val="22"/>
        </w:rPr>
        <w:t>_This section has been summarised for conciseness. Full detail is provided in Appendix D (Reference Projects)._</w:t>
      </w:r>
    </w:p>
    <w:p>
      <w:pPr>
        <w:spacing w:before="0" w:after="0"/>
      </w:pPr>
      <w:r>
        <w:br w:type="page"/>
      </w:r>
    </w:p>
    <w:p>
      <w:pPr>
        <w:pStyle w:val="Heading2"/>
        <w:keepNext/>
      </w:pPr>
      <w:r>
        <w:t>5. Delivery Approach</w:t>
      </w:r>
    </w:p>
    <w:p>
      <w:pPr>
        <w:pStyle w:val="Heading3"/>
        <w:keepNext/>
      </w:pPr>
      <w:r>
        <w:rPr>
          <w:rFonts w:ascii="Calibri" w:hAnsi="Calibri"/>
          <w:b w:val="0"/>
          <w:sz w:val="26"/>
        </w:rPr>
        <w:t>Oracle Implementation Methodology</w:t>
      </w:r>
    </w:p>
    <w:p>
      <w:pPr/>
      <w:r>
        <w:rPr>
          <w:rFonts w:ascii="Calibri" w:hAnsi="Calibri"/>
          <w:sz w:val="22"/>
        </w:rPr>
        <w:t>**APPSolve Proprietary Delivery Framework**</w:t>
      </w:r>
    </w:p>
    <w:p>
      <w:pPr>
        <w:pBdr>
          <w:bottom w:val="single" w:sz="4" w:space="1" w:color="CCCCCC"/>
        </w:pBdr>
        <w:spacing w:before="80" w:after="80"/>
      </w:pPr>
    </w:p>
    <w:p>
      <w:pPr>
        <w:pStyle w:val="Heading4"/>
        <w:keepNext/>
      </w:pPr>
      <w:r>
        <w:rPr>
          <w:rFonts w:ascii="Calibri" w:hAnsi="Calibri"/>
          <w:b w:val="0"/>
          <w:sz w:val="22"/>
        </w:rPr>
        <w:t>1. Executive Summary</w:t>
      </w:r>
    </w:p>
    <w:p>
      <w:pPr/>
      <w:r>
        <w:rPr>
          <w:rFonts w:ascii="Calibri" w:hAnsi="Calibri"/>
          <w:b w:val="0"/>
          <w:sz w:val="22"/>
        </w:rPr>
        <w:t>APPSolve is an Oracle Level 1 Partner with over 23 years of experience delivering Oracle solutions across Southern Africa and beyond. Our implementation methodology is a structured, iterative delivery framework built on the Oracle Unified Method (OUM) and the Oracle Customer Success Navigator — adapted through more than two decades of real-world Oracle delivery across Oracle Fusion Cloud, Oracle E-Business Suite (EBS), Oracle Cloud Infrastructure (OCI), and Oracle Integration Cloud (OIC).</w:t>
      </w:r>
    </w:p>
    <w:p>
      <w:pPr/>
      <w:r>
        <w:rPr>
          <w:rFonts w:ascii="Calibri" w:hAnsi="Calibri"/>
          <w:b w:val="0"/>
          <w:sz w:val="22"/>
        </w:rPr>
        <w:t>The APPSolve implementation methodology guides every engagement from initial mobilisation through to a supported production go-live and hyper-care stabilisation. It provides clients, project sponsors, and procurement evaluators with a clear, repeatable process that manages scope, quality, risk, and business change at every stage of delivery.</w:t>
      </w:r>
    </w:p>
    <w:p>
      <w:pPr/>
      <w:r>
        <w:rPr>
          <w:rFonts w:ascii="Calibri" w:hAnsi="Calibri"/>
          <w:b w:val="0"/>
          <w:sz w:val="22"/>
        </w:rPr>
        <w:t>Our methodology is not a generic project management approach applied to Oracle — it is an Oracle-native delivery framework that incorporates Oracle Modern Best Practices, the Oracle Starter Configuration, Oracle FBDI data migration standards, and Oracle Integration Cloud as core structural components. It has been applied and refined across Oracle Fusion HCM, Finance, Procurement, PPM, EBS R12/R12.2, and OCI transformation engagements for clients across the mining, financial services, retail, telecommunications, professional services, and public sectors.</w:t>
      </w:r>
    </w:p>
    <w:p>
      <w:pPr/>
      <w:r>
        <w:rPr>
          <w:rFonts w:ascii="Calibri" w:hAnsi="Calibri"/>
          <w:b w:val="0"/>
          <w:sz w:val="22"/>
        </w:rPr>
        <w:t>This document describes the APPSolve implementation methodology framework — its delivery phases, project governance model, platform-specific delivery considerations, and the Oracle-native accelerators that reduce risk and accelerate time to value. Ongoing managed services and steady-state support following implementation are addressed in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2. APPSolve Delivery Philosophy</w:t>
      </w:r>
    </w:p>
    <w:p>
      <w:pPr/>
      <w:r>
        <w:rPr>
          <w:rFonts w:ascii="Calibri" w:hAnsi="Calibri"/>
          <w:b w:val="0"/>
          <w:sz w:val="22"/>
        </w:rPr>
        <w:t>APPSolve's approach to Oracle implementation is grounded in foundational delivery principles that have shaped our methodology and informed every engagement.</w:t>
      </w:r>
    </w:p>
    <w:p>
      <w:pPr>
        <w:pStyle w:val="Heading5"/>
        <w:keepNext/>
      </w:pPr>
      <w:r>
        <w:rPr>
          <w:rFonts w:ascii="Calibri" w:hAnsi="Calibri"/>
          <w:b w:val="0"/>
          <w:sz w:val="22"/>
        </w:rPr>
        <w:t>2.1 Senior-Only Delivery</w:t>
      </w:r>
    </w:p>
    <w:p>
      <w:pPr/>
      <w:r>
        <w:rPr>
          <w:rFonts w:ascii="Calibri" w:hAnsi="Calibri"/>
          <w:b w:val="0"/>
          <w:sz w:val="22"/>
        </w:rPr>
        <w:t>APPSolve deploys senior consultants on all implementation engagements. Our 50+ Senior Consultants each bring 10 or more years of Oracle experience. There are no junior resources assigned to implementation delivery without senior oversight. This approach reduces delivery risk, accelerates design decisions, and ensures clients engage with experienced practitioners at every project touchpoint.</w:t>
      </w:r>
    </w:p>
    <w:p>
      <w:pPr>
        <w:pStyle w:val="Heading5"/>
        <w:keepNext/>
      </w:pPr>
      <w:r>
        <w:rPr>
          <w:rFonts w:ascii="Calibri" w:hAnsi="Calibri"/>
          <w:b w:val="0"/>
          <w:sz w:val="22"/>
        </w:rPr>
        <w:t>2.2 Standard Configuration First</w:t>
      </w:r>
    </w:p>
    <w:p>
      <w:pPr/>
      <w:r>
        <w:rPr>
          <w:rFonts w:ascii="Calibri" w:hAnsi="Calibri"/>
          <w:b w:val="0"/>
          <w:sz w:val="22"/>
        </w:rPr>
        <w:t>APPSolve's default position on every engagement is to adopt Oracle's standard, out-of-the-box configuration before introducing customisation. Oracle's Cloud and EBS platforms are built around proven business best practices. Maximising standard functionality reduces implementation cost, lowers upgrade risk, and ensures clients benefit from Oracle's continuous product investment. Customisation is introduced only when a confirmed, justified business requirement cannot be met through configuration.</w:t>
      </w:r>
    </w:p>
    <w:p>
      <w:pPr>
        <w:pStyle w:val="Heading5"/>
        <w:keepNext/>
      </w:pPr>
      <w:r>
        <w:rPr>
          <w:rFonts w:ascii="Calibri" w:hAnsi="Calibri"/>
          <w:b w:val="0"/>
          <w:sz w:val="22"/>
        </w:rPr>
        <w:t>2.3 Iterative Prototype-to-Production</w:t>
      </w:r>
    </w:p>
    <w:p>
      <w:pPr/>
      <w:r>
        <w:rPr>
          <w:rFonts w:ascii="Calibri" w:hAnsi="Calibri"/>
          <w:b w:val="0"/>
          <w:sz w:val="22"/>
        </w:rPr>
        <w:t>Rather than designing on paper and building from a fixed specification, APPSolve uses an iterative approach: the solution is built, demonstrated, refined, and validated in cycles. Each iteration — a Conference Room Pilot (CRP) — brings stakeholders progressively closer to the final production solution. This approach surfaces issues early, keeps the business engaged throughout the project, and ensures the delivered solution reflects operational reality rather than abstract requirements.</w:t>
      </w:r>
    </w:p>
    <w:p>
      <w:pPr>
        <w:pStyle w:val="Heading5"/>
        <w:keepNext/>
      </w:pPr>
      <w:r>
        <w:rPr>
          <w:rFonts w:ascii="Calibri" w:hAnsi="Calibri"/>
          <w:b w:val="0"/>
          <w:sz w:val="22"/>
        </w:rPr>
        <w:t>2.4 Customer Ownership from Day One</w:t>
      </w:r>
    </w:p>
    <w:p>
      <w:pPr/>
      <w:r>
        <w:rPr>
          <w:rFonts w:ascii="Calibri" w:hAnsi="Calibri"/>
          <w:b w:val="0"/>
          <w:sz w:val="22"/>
        </w:rPr>
        <w:t>The APPSolve methodology transfers solution ownership to the client organisation progressively throughout the project — not only at go-live. Super users are involved in design decisions from the Prototype phase. Data migration is customer-led with APPSolve guidance. UAT is client-driven. The objective is a client team that is confident, capable, and operationally self-sufficient from the first day of steady-state operation.</w:t>
      </w:r>
    </w:p>
    <w:p>
      <w:pPr>
        <w:pStyle w:val="Heading5"/>
        <w:keepNext/>
      </w:pPr>
      <w:r>
        <w:rPr>
          <w:rFonts w:ascii="Calibri" w:hAnsi="Calibri"/>
          <w:b w:val="0"/>
          <w:sz w:val="22"/>
        </w:rPr>
        <w:t>2.5 Oracle Unified Method Alignment</w:t>
      </w:r>
    </w:p>
    <w:p>
      <w:pPr/>
      <w:r>
        <w:rPr>
          <w:rFonts w:ascii="Calibri" w:hAnsi="Calibri"/>
          <w:b w:val="0"/>
          <w:sz w:val="22"/>
        </w:rPr>
        <w:t>Every APPSolve Oracle implementation is structured according to the Oracle Unified Method (OUM) — Oracle's own methodology framework for cloud and on-premise implementations — combined with the Oracle Customer Success Navigator for Fusion Cloud engagements. This alignment ensures APPSolve's delivery approach is consistent with Oracle's own quality benchmarks and that all documentation, deliverables, and governance artefacts meet the standards expected in enterprise Oracle programmes.</w:t>
      </w:r>
    </w:p>
    <w:p>
      <w:pPr>
        <w:pStyle w:val="Heading5"/>
        <w:keepNext/>
      </w:pPr>
      <w:r>
        <w:rPr>
          <w:rFonts w:ascii="Calibri" w:hAnsi="Calibri"/>
          <w:b w:val="0"/>
          <w:sz w:val="22"/>
        </w:rPr>
        <w:t>2.6 Cloud Readiness Embedded</w:t>
      </w:r>
    </w:p>
    <w:p>
      <w:pPr/>
      <w:r>
        <w:rPr>
          <w:rFonts w:ascii="Calibri" w:hAnsi="Calibri"/>
          <w:b w:val="0"/>
          <w:sz w:val="22"/>
        </w:rPr>
        <w:t>APPSolve embeds cloud readiness into every Oracle Fusion engagement from the Mobilize phase. For Oracle EBS clients, the methodology includes an assessment of the OCI migration path as a standard planning consideration. APPSolve holds published Oracle expertise in Oracle E-Business Suite Migration to OCI and Oracle Cloud Infrastructure Migration.</w:t>
      </w:r>
    </w:p>
    <w:p>
      <w:pPr>
        <w:pBdr>
          <w:bottom w:val="single" w:sz="4" w:space="1" w:color="CCCCCC"/>
        </w:pBdr>
        <w:spacing w:before="80" w:after="80"/>
      </w:pPr>
    </w:p>
    <w:p>
      <w:pPr>
        <w:pStyle w:val="Heading4"/>
        <w:keepNext/>
      </w:pPr>
      <w:r>
        <w:rPr>
          <w:rFonts w:ascii="Calibri" w:hAnsi="Calibri"/>
          <w:b w:val="0"/>
          <w:sz w:val="22"/>
        </w:rPr>
        <w:t>3. Implementation Methodology Overview</w:t>
      </w:r>
    </w:p>
    <w:p>
      <w:pPr/>
      <w:r>
        <w:rPr>
          <w:rFonts w:ascii="Calibri" w:hAnsi="Calibri"/>
          <w:b w:val="0"/>
          <w:sz w:val="22"/>
        </w:rPr>
        <w:t>The APPSolve Oracle implementation methodology is structured across six delivery phases, followed by a transition to the steady-state support model:</w:t>
      </w:r>
    </w:p>
    <w:p>
      <w:pPr/>
      <w:r>
        <w:rPr>
          <w:rFonts w:ascii="Calibri" w:hAnsi="Calibri"/>
          <w:b w:val="0"/>
          <w:sz w:val="22"/>
        </w:rPr>
        <w:t>``</w:t>
      </w:r>
      <w:r>
        <w:rPr>
          <w:rFonts w:ascii="Calibri" w:hAnsi="Calibri"/>
          <w:sz w:val="22"/>
        </w:rPr>
        <w:t>` Mobilize → Scope &amp; Design → Prototype → Validate → Deploy → Evolve `</w:t>
      </w:r>
      <w:r>
        <w:rPr>
          <w:rFonts w:ascii="Calibri" w:hAnsi="Calibri"/>
          <w:b w:val="0"/>
          <w:sz w:val="22"/>
        </w:rPr>
        <w:t>``</w:t>
      </w:r>
    </w:p>
    <w:p>
      <w:pPr/>
      <w:r>
        <w:rPr>
          <w:rFonts w:ascii="Calibri" w:hAnsi="Calibri"/>
          <w:b w:val="0"/>
          <w:sz w:val="22"/>
        </w:rPr>
        <w:t>Each phase has defined entry criteria, activities, and exit deliverables. Phases do not run in strict sequence — technical delivery, data preparation, and integration build activities often run in parallel with design and configuration work. Change management is embedded across all phases, not treated as a separate workstream.</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Key Activities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 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Team assembly, initiative charter, work plan, kick-off</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Hollywood Bets V5.0 (April 2023)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&amp;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confirmation, Oracle Modern Best Practices alignment, data assessment, workshop scheduling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workshops, CRP1 (Prototype 1), CRP2 (Prototype 2), end-to-end SIT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Hollywood Bets V5.0</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Final validation, documentation finalisation, go-live preparation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user enablement, training, go-live execution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Hollywood Bets V5.0</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**Evolve**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critical care, transition to steady state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w:t>
            </w:r>
          </w:p>
        </w:tc>
      </w:tr>
    </w:tbl>
    <w:p>
      <w:pPr>
        <w:spacing w:before="0" w:after="120"/>
      </w:pPr>
    </w:p>
    <w:p>
      <w:pPr/>
      <w:r>
        <w:rPr>
          <w:rFonts w:ascii="Calibri" w:hAnsi="Calibri"/>
          <w:sz w:val="22"/>
        </w:rPr>
        <w:t>**Methodology basis:**</w:t>
      </w:r>
      <w:r>
        <w:rPr>
          <w:rFonts w:ascii="Calibri" w:hAnsi="Calibri"/>
          <w:b w:val="0"/>
          <w:sz w:val="22"/>
        </w:rPr>
        <w:t xml:space="preserve"> Oracle Unified Method (OUM) and Oracle Customer Success Navigator. APPSolve has developed and refined this framework from confirmed delivery experience, embedding iterative CRP cycles, change management, and Oracle FBDI data migration as structural components.</w:t>
      </w:r>
    </w:p>
    <w:p>
      <w:pPr>
        <w:pBdr>
          <w:bottom w:val="single" w:sz="4" w:space="1" w:color="CCCCCC"/>
        </w:pBdr>
        <w:spacing w:before="80" w:after="80"/>
      </w:pPr>
    </w:p>
    <w:p>
      <w:pPr>
        <w:pStyle w:val="Heading4"/>
        <w:keepNext/>
      </w:pPr>
      <w:r>
        <w:rPr>
          <w:rFonts w:ascii="Calibri" w:hAnsi="Calibri"/>
          <w:b w:val="0"/>
          <w:sz w:val="22"/>
        </w:rPr>
        <w:t>4. Mobilize Phase</w:t>
      </w:r>
    </w:p>
    <w:p>
      <w:pPr/>
      <w:r>
        <w:rPr>
          <w:rFonts w:ascii="Calibri" w:hAnsi="Calibri"/>
          <w:b w:val="0"/>
          <w:sz w:val="22"/>
        </w:rPr>
        <w:t>The Mobilize phase establishes the foundation for the entire engagement. No design or configuration work begins until Mobilize is complete.</w:t>
      </w:r>
    </w:p>
    <w:p>
      <w:pPr>
        <w:pStyle w:val="Heading5"/>
        <w:keepNext/>
      </w:pPr>
      <w:r>
        <w:rPr>
          <w:rFonts w:ascii="Calibri" w:hAnsi="Calibri"/>
          <w:b w:val="0"/>
          <w:sz w:val="22"/>
        </w:rPr>
        <w:t>4.1 Team Assembly and Scheduling</w:t>
      </w:r>
    </w:p>
    <w:p>
      <w:pPr/>
      <w:r>
        <w:rPr>
          <w:rFonts w:ascii="Calibri" w:hAnsi="Calibri"/>
          <w:b w:val="0"/>
          <w:sz w:val="22"/>
        </w:rPr>
        <w:t>The implementation team is identified, scheduled, and assembled with clear expectations for work pace, roles, and responsibilities. APPSolve assigns senior resources at this stage and confirms team members for the full project duration. Resource continuity across the implementation lifecycle is a core APPSolve commitment — the team that mobilises is the team that delivers.</w:t>
      </w:r>
    </w:p>
    <w:p>
      <w:pPr>
        <w:pStyle w:val="Heading5"/>
        <w:keepNext/>
      </w:pPr>
      <w:r>
        <w:rPr>
          <w:rFonts w:ascii="Calibri" w:hAnsi="Calibri"/>
          <w:b w:val="0"/>
          <w:sz w:val="22"/>
        </w:rPr>
        <w:t>4.2 Initiative Charter</w:t>
      </w:r>
    </w:p>
    <w:p>
      <w:pPr/>
      <w:r>
        <w:rPr>
          <w:rFonts w:ascii="Calibri" w:hAnsi="Calibri"/>
          <w:b w:val="0"/>
          <w:sz w:val="22"/>
        </w:rPr>
        <w:t>An initiative charter is prepared to define:</w:t>
      </w:r>
    </w:p>
    <w:p>
      <w:pPr>
        <w:pStyle w:val="ListBullet"/>
        <w:spacing w:before="20" w:after="20"/>
      </w:pPr>
      <w:r>
        <w:rPr>
          <w:rFonts w:ascii="Calibri" w:hAnsi="Calibri"/>
          <w:b w:val="0"/>
          <w:sz w:val="22"/>
        </w:rPr>
        <w:t>Vision and business drivers for the implementation</w:t>
      </w:r>
    </w:p>
    <w:p>
      <w:pPr>
        <w:pStyle w:val="ListBullet"/>
        <w:spacing w:before="20" w:after="20"/>
      </w:pPr>
      <w:r>
        <w:rPr>
          <w:rFonts w:ascii="Calibri" w:hAnsi="Calibri"/>
          <w:b w:val="0"/>
          <w:sz w:val="22"/>
        </w:rPr>
        <w:t>Desired business outcomes</w:t>
      </w:r>
    </w:p>
    <w:p>
      <w:pPr>
        <w:pStyle w:val="ListBullet"/>
        <w:spacing w:before="20" w:after="20"/>
      </w:pPr>
      <w:r>
        <w:rPr>
          <w:rFonts w:ascii="Calibri" w:hAnsi="Calibri"/>
          <w:b w:val="0"/>
          <w:sz w:val="22"/>
        </w:rPr>
        <w:t>Project scope — inclusions and exclusions</w:t>
      </w:r>
    </w:p>
    <w:p>
      <w:pPr>
        <w:pStyle w:val="ListBullet"/>
        <w:spacing w:before="20" w:after="20"/>
      </w:pPr>
      <w:r>
        <w:rPr>
          <w:rFonts w:ascii="Calibri" w:hAnsi="Calibri"/>
          <w:b w:val="0"/>
          <w:sz w:val="22"/>
        </w:rPr>
        <w:t>Success criteria</w:t>
      </w:r>
    </w:p>
    <w:p>
      <w:pPr>
        <w:pStyle w:val="ListBullet"/>
        <w:spacing w:before="20" w:after="20"/>
      </w:pPr>
      <w:r>
        <w:rPr>
          <w:rFonts w:ascii="Calibri" w:hAnsi="Calibri"/>
          <w:b w:val="0"/>
          <w:sz w:val="22"/>
        </w:rPr>
        <w:t>Resource plan</w:t>
      </w:r>
    </w:p>
    <w:p>
      <w:pPr>
        <w:pStyle w:val="ListBullet"/>
        <w:spacing w:before="20" w:after="20"/>
      </w:pPr>
      <w:r>
        <w:rPr>
          <w:rFonts w:ascii="Calibri" w:hAnsi="Calibri"/>
          <w:b w:val="0"/>
          <w:sz w:val="22"/>
        </w:rPr>
        <w:t>Budget and commercial model (fixed price with change control, or time and materials)</w:t>
      </w:r>
    </w:p>
    <w:p>
      <w:pPr/>
      <w:r>
        <w:rPr>
          <w:rFonts w:ascii="Calibri" w:hAnsi="Calibri"/>
          <w:b w:val="0"/>
          <w:sz w:val="22"/>
        </w:rPr>
        <w:t>The charter is agreed and signed off by the implementation sponsor before Scope &amp; Design begins.</w:t>
      </w:r>
    </w:p>
    <w:p>
      <w:pPr>
        <w:pStyle w:val="Heading5"/>
        <w:keepNext/>
      </w:pPr>
      <w:r>
        <w:rPr>
          <w:rFonts w:ascii="Calibri" w:hAnsi="Calibri"/>
          <w:b w:val="0"/>
          <w:sz w:val="22"/>
        </w:rPr>
        <w:t>4.3 Work Plan Definition</w:t>
      </w:r>
    </w:p>
    <w:p>
      <w:pPr/>
      <w:r>
        <w:rPr>
          <w:rFonts w:ascii="Calibri" w:hAnsi="Calibri"/>
          <w:b w:val="0"/>
          <w:sz w:val="22"/>
        </w:rPr>
        <w:t>A detailed project work plan is produced, covering all activities and tasks required to achieve the programme objectives. Tasks are assigned to named resources. The work plan supports workload management and progress tracking and is aligned to agreed milestone dates.</w:t>
      </w:r>
    </w:p>
    <w:p>
      <w:pPr>
        <w:pStyle w:val="Heading5"/>
        <w:keepNext/>
      </w:pPr>
      <w:r>
        <w:rPr>
          <w:rFonts w:ascii="Calibri" w:hAnsi="Calibri"/>
          <w:b w:val="0"/>
          <w:sz w:val="22"/>
        </w:rPr>
        <w:t>4.4 Kick-off</w:t>
      </w:r>
    </w:p>
    <w:p>
      <w:pPr/>
      <w:r>
        <w:rPr>
          <w:rFonts w:ascii="Calibri" w:hAnsi="Calibri"/>
          <w:b w:val="0"/>
          <w:sz w:val="22"/>
        </w:rPr>
        <w:t>An official project kick-off is hosted with the APPSolve Project Manager, the client project sponsor, and all key stakeholders. Sponsor attendance at kick-off is a key success factor — it signals executive commitment and establishes the governance tone for the engagement.</w:t>
      </w:r>
    </w:p>
    <w:p>
      <w:pPr>
        <w:pBdr>
          <w:bottom w:val="single" w:sz="4" w:space="1" w:color="CCCCCC"/>
        </w:pBdr>
        <w:spacing w:before="80" w:after="80"/>
      </w:pPr>
    </w:p>
    <w:p>
      <w:pPr>
        <w:pStyle w:val="Heading4"/>
        <w:keepNext/>
      </w:pPr>
      <w:r>
        <w:rPr>
          <w:rFonts w:ascii="Calibri" w:hAnsi="Calibri"/>
          <w:b w:val="0"/>
          <w:sz w:val="22"/>
        </w:rPr>
        <w:t>5. Scope and Design Phase</w:t>
      </w:r>
    </w:p>
    <w:p>
      <w:pPr/>
      <w:r>
        <w:rPr>
          <w:rFonts w:ascii="Calibri" w:hAnsi="Calibri"/>
          <w:b w:val="0"/>
          <w:sz w:val="22"/>
        </w:rPr>
        <w:t>The Scope and Design phase confirms the project boundary, aligns the solution to Oracle's standard best practices, and prepares the environment and teams for structured design workshops.</w:t>
      </w:r>
    </w:p>
    <w:p>
      <w:pPr>
        <w:pStyle w:val="Heading5"/>
        <w:keepNext/>
      </w:pPr>
      <w:r>
        <w:rPr>
          <w:rFonts w:ascii="Calibri" w:hAnsi="Calibri"/>
          <w:b w:val="0"/>
          <w:sz w:val="22"/>
        </w:rPr>
        <w:t>5.1 Scope Confirmation</w:t>
      </w:r>
    </w:p>
    <w:p>
      <w:pPr/>
      <w:r>
        <w:rPr>
          <w:rFonts w:ascii="Calibri" w:hAnsi="Calibri"/>
          <w:b w:val="0"/>
          <w:sz w:val="22"/>
        </w:rPr>
        <w:t>Project scope is formally confirmed, with inclusions and exclusions documented. Scope is aligned to Oracle Modern Best Practices as the default functional baseline. Where business requirements differ from the Modern Best Practice standard, these are recorded as decision points for the design workshops rather than resolved unilaterally.</w:t>
      </w:r>
    </w:p>
    <w:p>
      <w:pPr>
        <w:pStyle w:val="Heading5"/>
        <w:keepNext/>
      </w:pPr>
      <w:r>
        <w:rPr>
          <w:rFonts w:ascii="Calibri" w:hAnsi="Calibri"/>
          <w:b w:val="0"/>
          <w:sz w:val="22"/>
        </w:rPr>
        <w:t>5.2 Oracle Modern Best Practices Alignment</w:t>
      </w:r>
    </w:p>
    <w:p>
      <w:pPr/>
      <w:r>
        <w:rPr>
          <w:rFonts w:ascii="Calibri" w:hAnsi="Calibri"/>
          <w:b w:val="0"/>
          <w:sz w:val="22"/>
        </w:rPr>
        <w:t>APPSolve uses Oracle's Starter Configurator and Modern Best Practices library as the starting point for all Fusion Cloud engagements. The Starter Configurator provides a working, pre-configured Oracle instance before detailed design begins — allowing the client's team to react to a concrete solution rather than abstract requirements documents. This reduces workshop time and accelerates design decisions.</w:t>
      </w:r>
    </w:p>
    <w:p>
      <w:pPr>
        <w:pStyle w:val="Heading5"/>
        <w:keepNext/>
      </w:pPr>
      <w:r>
        <w:rPr>
          <w:rFonts w:ascii="Calibri" w:hAnsi="Calibri"/>
          <w:b w:val="0"/>
          <w:sz w:val="22"/>
        </w:rPr>
        <w:t>5.3 Data Requirements and Assessment</w:t>
      </w:r>
    </w:p>
    <w:p>
      <w:pPr/>
      <w:r>
        <w:rPr>
          <w:rFonts w:ascii="Calibri" w:hAnsi="Calibri"/>
          <w:b w:val="0"/>
          <w:sz w:val="22"/>
        </w:rPr>
        <w:t>Data readiness is assessed at the start of the engagement:</w:t>
      </w:r>
    </w:p>
    <w:p>
      <w:pPr>
        <w:pStyle w:val="ListBullet"/>
        <w:spacing w:before="20" w:after="20"/>
      </w:pPr>
      <w:r>
        <w:rPr>
          <w:rFonts w:ascii="Calibri" w:hAnsi="Calibri"/>
          <w:b w:val="0"/>
          <w:sz w:val="22"/>
        </w:rPr>
        <w:t>Existing data completeness is evaluated against Oracle's data model requirements</w:t>
      </w:r>
    </w:p>
    <w:p>
      <w:pPr>
        <w:pStyle w:val="ListBullet"/>
        <w:spacing w:before="20" w:after="20"/>
      </w:pPr>
      <w:r>
        <w:rPr>
          <w:rFonts w:ascii="Calibri" w:hAnsi="Calibri"/>
          <w:b w:val="0"/>
          <w:sz w:val="22"/>
        </w:rPr>
        <w:t>FBDI templates are provided for each module in scope</w:t>
      </w:r>
    </w:p>
    <w:p>
      <w:pPr>
        <w:pStyle w:val="ListBullet"/>
        <w:spacing w:before="20" w:after="20"/>
      </w:pPr>
      <w:r>
        <w:rPr>
          <w:rFonts w:ascii="Calibri" w:hAnsi="Calibri"/>
          <w:b w:val="0"/>
          <w:sz w:val="22"/>
        </w:rPr>
        <w:t>Data gaps are identified and a remediation plan is agreed with the client</w:t>
      </w:r>
    </w:p>
    <w:p>
      <w:pPr>
        <w:pStyle w:val="ListBullet"/>
        <w:spacing w:before="20" w:after="20"/>
      </w:pPr>
      <w:r>
        <w:rPr>
          <w:rFonts w:ascii="Calibri" w:hAnsi="Calibri"/>
          <w:b w:val="0"/>
          <w:sz w:val="22"/>
        </w:rPr>
        <w:t>The client is accountable for data accuracy; APPSolve is accountable for loading structure, template guidance, and delivery to the correct Oracle target</w:t>
      </w:r>
    </w:p>
    <w:p>
      <w:pPr>
        <w:pStyle w:val="Heading5"/>
        <w:keepNext/>
      </w:pPr>
      <w:r>
        <w:rPr>
          <w:rFonts w:ascii="Calibri" w:hAnsi="Calibri"/>
          <w:b w:val="0"/>
          <w:sz w:val="22"/>
        </w:rPr>
        <w:t>5.4 Workshop Scheduling and Environment Preparation</w:t>
      </w:r>
    </w:p>
    <w:p>
      <w:pPr/>
      <w:r>
        <w:rPr>
          <w:rFonts w:ascii="Calibri" w:hAnsi="Calibri"/>
          <w:b w:val="0"/>
          <w:sz w:val="22"/>
        </w:rPr>
        <w:t>A schedule of design workshops is produced and calendar invites issued in advance. Oracle Cloud Application test environments are configured and an environment management strategy is agreed to govern the use of development, test, and production instances throughout the engagement.</w:t>
      </w:r>
    </w:p>
    <w:p>
      <w:pPr>
        <w:pBdr>
          <w:bottom w:val="single" w:sz="4" w:space="1" w:color="CCCCCC"/>
        </w:pBdr>
        <w:spacing w:before="80" w:after="80"/>
      </w:pPr>
    </w:p>
    <w:p>
      <w:pPr>
        <w:pStyle w:val="Heading4"/>
        <w:keepNext/>
      </w:pPr>
      <w:r>
        <w:rPr>
          <w:rFonts w:ascii="Calibri" w:hAnsi="Calibri"/>
          <w:b w:val="0"/>
          <w:sz w:val="22"/>
        </w:rPr>
        <w:t>6. Prototype Phase</w:t>
      </w:r>
    </w:p>
    <w:p>
      <w:pPr/>
      <w:r>
        <w:rPr>
          <w:rFonts w:ascii="Calibri" w:hAnsi="Calibri"/>
          <w:b w:val="0"/>
          <w:sz w:val="22"/>
        </w:rPr>
        <w:t>The Prototype phase is the iterative core of the APPSolve methodology. Two full prototype cycles — CRP1 and CRP2 — are completed before the solution advances to final validation.</w:t>
      </w:r>
    </w:p>
    <w:p>
      <w:pPr>
        <w:pStyle w:val="Heading5"/>
        <w:keepNext/>
      </w:pPr>
      <w:r>
        <w:rPr>
          <w:rFonts w:ascii="Calibri" w:hAnsi="Calibri"/>
          <w:b w:val="0"/>
          <w:sz w:val="22"/>
        </w:rPr>
        <w:t>6.1 Design Governance</w:t>
      </w:r>
    </w:p>
    <w:p>
      <w:pPr/>
      <w:r>
        <w:rPr>
          <w:rFonts w:ascii="Calibri" w:hAnsi="Calibri"/>
          <w:b w:val="0"/>
          <w:sz w:val="22"/>
        </w:rPr>
        <w:t>A solution authority is established at the start of the Prototype phase:</w:t>
      </w:r>
    </w:p>
    <w:p>
      <w:pPr>
        <w:pStyle w:val="ListBullet"/>
        <w:spacing w:before="20" w:after="20"/>
      </w:pPr>
      <w:r>
        <w:rPr>
          <w:rFonts w:ascii="Calibri" w:hAnsi="Calibri"/>
          <w:b w:val="0"/>
          <w:sz w:val="22"/>
        </w:rPr>
        <w:t>Meets regularly to ensure design decisions align to project objectives and business outcomes</w:t>
      </w:r>
    </w:p>
    <w:p>
      <w:pPr>
        <w:pStyle w:val="ListBullet"/>
        <w:spacing w:before="20" w:after="20"/>
      </w:pPr>
      <w:r>
        <w:rPr>
          <w:rFonts w:ascii="Calibri" w:hAnsi="Calibri"/>
          <w:b w:val="0"/>
          <w:sz w:val="22"/>
        </w:rPr>
        <w:t>Operates within established architecture and design principles</w:t>
      </w:r>
    </w:p>
    <w:p>
      <w:pPr>
        <w:pStyle w:val="ListBullet"/>
        <w:spacing w:before="20" w:after="20"/>
      </w:pPr>
      <w:r>
        <w:rPr>
          <w:rFonts w:ascii="Calibri" w:hAnsi="Calibri"/>
          <w:b w:val="0"/>
          <w:sz w:val="22"/>
        </w:rPr>
        <w:t>Is empowered by the executive sponsors to make final design decisions</w:t>
      </w:r>
    </w:p>
    <w:p>
      <w:pPr>
        <w:pStyle w:val="ListBullet"/>
        <w:spacing w:before="20" w:after="20"/>
      </w:pPr>
      <w:r>
        <w:rPr>
          <w:rFonts w:ascii="Calibri" w:hAnsi="Calibri"/>
          <w:b w:val="0"/>
          <w:sz w:val="22"/>
        </w:rPr>
        <w:t>Receives regular updates on key decisions and their business implications</w:t>
      </w:r>
    </w:p>
    <w:p>
      <w:pPr/>
      <w:r>
        <w:rPr>
          <w:rFonts w:ascii="Calibri" w:hAnsi="Calibri"/>
          <w:b w:val="0"/>
          <w:sz w:val="22"/>
        </w:rPr>
        <w:t>Executive sponsors remain engaged throughout the Prototype phase. Changes to agreed design decisions are managed through formal change control.</w:t>
      </w:r>
    </w:p>
    <w:p>
      <w:pPr>
        <w:pStyle w:val="Heading5"/>
        <w:keepNext/>
      </w:pPr>
      <w:r>
        <w:rPr>
          <w:rFonts w:ascii="Calibri" w:hAnsi="Calibri"/>
          <w:b w:val="0"/>
          <w:sz w:val="22"/>
        </w:rPr>
        <w:t>6.2 High-Level Design Workshops (Prototype 0)</w:t>
      </w:r>
    </w:p>
    <w:p>
      <w:pPr/>
      <w:r>
        <w:rPr>
          <w:rFonts w:ascii="Calibri" w:hAnsi="Calibri"/>
          <w:b w:val="0"/>
          <w:sz w:val="22"/>
        </w:rPr>
        <w:t>Before CRP1 begins, focused design workshops are conducted using Oracle Modern Best Practices and the Starter Configuration as discussion tools. Each session:</w:t>
      </w:r>
    </w:p>
    <w:p>
      <w:pPr>
        <w:pStyle w:val="ListBullet"/>
        <w:spacing w:before="20" w:after="20"/>
      </w:pPr>
      <w:r>
        <w:rPr>
          <w:rFonts w:ascii="Calibri" w:hAnsi="Calibri"/>
          <w:b w:val="0"/>
          <w:sz w:val="22"/>
        </w:rPr>
        <w:t>Opens with design principles and clear expectations for each participant role</w:t>
      </w:r>
    </w:p>
    <w:p>
      <w:pPr>
        <w:pStyle w:val="ListBullet"/>
        <w:spacing w:before="20" w:after="20"/>
      </w:pPr>
      <w:r>
        <w:rPr>
          <w:rFonts w:ascii="Calibri" w:hAnsi="Calibri"/>
          <w:b w:val="0"/>
          <w:sz w:val="22"/>
        </w:rPr>
        <w:t>Uses Oracle process flows and use cases to structure discussion</w:t>
      </w:r>
    </w:p>
    <w:p>
      <w:pPr>
        <w:pStyle w:val="ListBullet"/>
        <w:spacing w:before="20" w:after="20"/>
      </w:pPr>
      <w:r>
        <w:rPr>
          <w:rFonts w:ascii="Calibri" w:hAnsi="Calibri"/>
          <w:b w:val="0"/>
          <w:sz w:val="22"/>
        </w:rPr>
        <w:t>Documents all decisions, owners, and action items</w:t>
      </w:r>
    </w:p>
    <w:p>
      <w:pPr>
        <w:pStyle w:val="ListBullet"/>
        <w:spacing w:before="20" w:after="20"/>
      </w:pPr>
      <w:r>
        <w:rPr>
          <w:rFonts w:ascii="Calibri" w:hAnsi="Calibri"/>
          <w:b w:val="0"/>
          <w:sz w:val="22"/>
        </w:rPr>
        <w:t>Records lower-priority or out-of-scope items for separate tracking</w:t>
      </w:r>
    </w:p>
    <w:p>
      <w:pPr>
        <w:pStyle w:val="Heading5"/>
        <w:keepNext/>
      </w:pPr>
      <w:r>
        <w:rPr>
          <w:rFonts w:ascii="Calibri" w:hAnsi="Calibri"/>
          <w:b w:val="0"/>
          <w:sz w:val="22"/>
        </w:rPr>
        <w:t>6.3 Prototype 1 — CRP1</w:t>
      </w:r>
    </w:p>
    <w:p>
      <w:pPr/>
      <w:r>
        <w:rPr>
          <w:rFonts w:ascii="Calibri" w:hAnsi="Calibri"/>
          <w:b w:val="0"/>
          <w:sz w:val="22"/>
        </w:rPr>
        <w:t>The first full prototype of the solution is built from the output of the high-level design workshops. CRP1 includes:</w:t>
      </w:r>
    </w:p>
    <w:p>
      <w:pPr>
        <w:pStyle w:val="ListBullet"/>
        <w:spacing w:before="20" w:after="20"/>
      </w:pPr>
      <w:r>
        <w:rPr>
          <w:rFonts w:ascii="Calibri" w:hAnsi="Calibri"/>
          <w:b w:val="0"/>
          <w:sz w:val="22"/>
        </w:rPr>
        <w:t>Functional configuration</w:t>
      </w:r>
    </w:p>
    <w:p>
      <w:pPr>
        <w:pStyle w:val="ListBullet"/>
        <w:spacing w:before="20" w:after="20"/>
      </w:pPr>
      <w:r>
        <w:rPr>
          <w:rFonts w:ascii="Calibri" w:hAnsi="Calibri"/>
          <w:b w:val="0"/>
          <w:sz w:val="22"/>
        </w:rPr>
        <w:t>Delivered and configured reports</w:t>
      </w:r>
    </w:p>
    <w:p>
      <w:pPr>
        <w:pStyle w:val="ListBullet"/>
        <w:spacing w:before="20" w:after="20"/>
      </w:pPr>
      <w:r>
        <w:rPr>
          <w:rFonts w:ascii="Calibri" w:hAnsi="Calibri"/>
          <w:b w:val="0"/>
          <w:sz w:val="22"/>
        </w:rPr>
        <w:t>OIC integration connections and initial interface builds</w:t>
      </w:r>
    </w:p>
    <w:p>
      <w:pPr>
        <w:pStyle w:val="ListBullet"/>
        <w:spacing w:before="20" w:after="20"/>
      </w:pPr>
      <w:r>
        <w:rPr>
          <w:rFonts w:ascii="Calibri" w:hAnsi="Calibri"/>
          <w:b w:val="0"/>
          <w:sz w:val="22"/>
        </w:rPr>
        <w:t>Representative converted data</w:t>
      </w:r>
    </w:p>
    <w:p>
      <w:pPr/>
      <w:r>
        <w:rPr>
          <w:rFonts w:ascii="Calibri" w:hAnsi="Calibri"/>
          <w:b w:val="0"/>
          <w:sz w:val="22"/>
        </w:rPr>
        <w:t>Iterative playback sessions are conducted — initially APPSolve-guided (system demonstration with structured discussion), then client-directed (open exploration). Feedback is documented, assessed against the change control process, and incorporated into CRP2.</w:t>
      </w:r>
    </w:p>
    <w:p>
      <w:pPr>
        <w:pStyle w:val="Heading5"/>
        <w:keepNext/>
      </w:pPr>
      <w:r>
        <w:rPr>
          <w:rFonts w:ascii="Calibri" w:hAnsi="Calibri"/>
          <w:b w:val="0"/>
          <w:sz w:val="22"/>
        </w:rPr>
        <w:t>6.4 Detailed Design Workshops</w:t>
      </w:r>
    </w:p>
    <w:p>
      <w:pPr/>
      <w:r>
        <w:rPr>
          <w:rFonts w:ascii="Calibri" w:hAnsi="Calibri"/>
          <w:b w:val="0"/>
          <w:sz w:val="22"/>
        </w:rPr>
        <w:t>Detailed design workshops are scheduled between CRP1 and CRP2 to address:</w:t>
      </w:r>
    </w:p>
    <w:p>
      <w:pPr>
        <w:pStyle w:val="Heading5"/>
        <w:keepNext/>
      </w:pPr>
      <w:r>
        <w:rPr>
          <w:rFonts w:ascii="Calibri" w:hAnsi="Calibri"/>
          <w:b w:val="0"/>
          <w:sz w:val="22"/>
        </w:rPr>
        <w:t>6.5 Prototype 2 — CRP2</w:t>
      </w:r>
    </w:p>
    <w:p>
      <w:pPr>
        <w:pStyle w:val="Heading5"/>
        <w:keepNext/>
      </w:pPr>
      <w:r>
        <w:rPr>
          <w:rFonts w:ascii="Calibri" w:hAnsi="Calibri"/>
          <w:b w:val="0"/>
          <w:sz w:val="22"/>
        </w:rPr>
        <w:t>6.6 System Integration Testing (SIT)</w:t>
      </w:r>
    </w:p>
    <w:p>
      <w:pPr>
        <w:pBdr>
          <w:bottom w:val="single" w:sz="4" w:space="1" w:color="CCCCCC"/>
        </w:pBdr>
        <w:spacing w:before="80" w:after="80"/>
      </w:pPr>
    </w:p>
    <w:p>
      <w:pPr>
        <w:pStyle w:val="Heading4"/>
        <w:keepNext/>
      </w:pPr>
      <w:r>
        <w:rPr>
          <w:rFonts w:ascii="Calibri" w:hAnsi="Calibri"/>
          <w:b w:val="0"/>
          <w:sz w:val="22"/>
        </w:rPr>
        <w:t>7. Validate Phase</w:t>
      </w:r>
    </w:p>
    <w:p>
      <w:pPr>
        <w:pStyle w:val="Heading5"/>
        <w:keepNext/>
      </w:pPr>
      <w:r>
        <w:rPr>
          <w:rFonts w:ascii="Calibri" w:hAnsi="Calibri"/>
          <w:b w:val="0"/>
          <w:sz w:val="22"/>
        </w:rPr>
        <w:t>7.1 Production-to-Test Copy</w:t>
      </w:r>
    </w:p>
    <w:p>
      <w:pPr>
        <w:pStyle w:val="Heading5"/>
        <w:keepNext/>
      </w:pPr>
      <w:r>
        <w:rPr>
          <w:rFonts w:ascii="Calibri" w:hAnsi="Calibri"/>
          <w:b w:val="0"/>
          <w:sz w:val="22"/>
        </w:rPr>
        <w:t>7.2 Final Validation</w:t>
      </w:r>
    </w:p>
    <w:p>
      <w:pPr>
        <w:pStyle w:val="Heading5"/>
        <w:keepNext/>
      </w:pPr>
      <w:r>
        <w:rPr>
          <w:rFonts w:ascii="Calibri" w:hAnsi="Calibri"/>
          <w:b w:val="0"/>
          <w:sz w:val="22"/>
        </w:rPr>
        <w:t>7.3 Documentation Finalisation</w:t>
      </w:r>
    </w:p>
    <w:p>
      <w:pPr>
        <w:pStyle w:val="Heading5"/>
        <w:keepNext/>
      </w:pPr>
      <w:r>
        <w:rPr>
          <w:rFonts w:ascii="Calibri" w:hAnsi="Calibri"/>
          <w:b w:val="0"/>
          <w:sz w:val="22"/>
        </w:rPr>
        <w:t>7.4 Go-Live Preparation</w:t>
      </w:r>
    </w:p>
    <w:p>
      <w:pPr>
        <w:pBdr>
          <w:bottom w:val="single" w:sz="4" w:space="1" w:color="CCCCCC"/>
        </w:pBdr>
        <w:spacing w:before="80" w:after="80"/>
      </w:pPr>
    </w:p>
    <w:p>
      <w:pPr>
        <w:pStyle w:val="Heading4"/>
        <w:keepNext/>
      </w:pPr>
      <w:r>
        <w:rPr>
          <w:rFonts w:ascii="Calibri" w:hAnsi="Calibri"/>
          <w:b w:val="0"/>
          <w:sz w:val="22"/>
        </w:rPr>
        <w:t>8. Deploy Phase</w:t>
      </w:r>
    </w:p>
    <w:p>
      <w:pPr>
        <w:pStyle w:val="Heading5"/>
        <w:keepNext/>
      </w:pPr>
      <w:r>
        <w:rPr>
          <w:rFonts w:ascii="Calibri" w:hAnsi="Calibri"/>
          <w:b w:val="0"/>
          <w:sz w:val="22"/>
        </w:rPr>
        <w:t>8.1 Production Build</w:t>
      </w:r>
    </w:p>
    <w:p>
      <w:pPr>
        <w:pStyle w:val="Heading5"/>
        <w:keepNext/>
      </w:pPr>
      <w:r>
        <w:rPr>
          <w:rFonts w:ascii="Calibri" w:hAnsi="Calibri"/>
          <w:b w:val="0"/>
          <w:sz w:val="22"/>
        </w:rPr>
        <w:t>8.2 User Enablement</w:t>
      </w:r>
    </w:p>
    <w:p>
      <w:pPr>
        <w:pStyle w:val="Heading5"/>
        <w:keepNext/>
      </w:pPr>
      <w:r>
        <w:rPr>
          <w:rFonts w:ascii="Calibri" w:hAnsi="Calibri"/>
          <w:b w:val="0"/>
          <w:sz w:val="22"/>
        </w:rPr>
        <w:t>8.3 Go-Live Execution</w:t>
      </w:r>
    </w:p>
    <w:p>
      <w:pPr>
        <w:pBdr>
          <w:bottom w:val="single" w:sz="4" w:space="1" w:color="CCCCCC"/>
        </w:pBdr>
        <w:spacing w:before="80" w:after="80"/>
      </w:pPr>
    </w:p>
    <w:p>
      <w:pPr>
        <w:pStyle w:val="Heading4"/>
        <w:keepNext/>
      </w:pPr>
      <w:r>
        <w:rPr>
          <w:rFonts w:ascii="Calibri" w:hAnsi="Calibri"/>
          <w:b w:val="0"/>
          <w:sz w:val="22"/>
        </w:rPr>
        <w:t>9. Evolve / Hyper-care Phase</w:t>
      </w:r>
    </w:p>
    <w:p>
      <w:pPr>
        <w:pStyle w:val="Heading5"/>
        <w:keepNext/>
      </w:pPr>
      <w:r>
        <w:rPr>
          <w:rFonts w:ascii="Calibri" w:hAnsi="Calibri"/>
          <w:b w:val="0"/>
          <w:sz w:val="22"/>
        </w:rPr>
        <w:t>9.1 Hyper-care (~3 Months)</w:t>
      </w:r>
    </w:p>
    <w:p>
      <w:pPr>
        <w:pStyle w:val="Heading5"/>
        <w:keepNext/>
      </w:pPr>
      <w:r>
        <w:rPr>
          <w:rFonts w:ascii="Calibri" w:hAnsi="Calibri"/>
          <w:b w:val="0"/>
          <w:sz w:val="22"/>
        </w:rPr>
        <w:t>9.2 Critical Care (~6 Months)</w:t>
      </w:r>
    </w:p>
    <w:p>
      <w:pPr>
        <w:pStyle w:val="Heading5"/>
        <w:keepNext/>
      </w:pPr>
      <w:r>
        <w:rPr>
          <w:rFonts w:ascii="Calibri" w:hAnsi="Calibri"/>
          <w:b w:val="0"/>
          <w:sz w:val="22"/>
        </w:rPr>
        <w:t>9.3 Steady-State Transition</w:t>
      </w:r>
    </w:p>
    <w:p>
      <w:pPr>
        <w:pBdr>
          <w:bottom w:val="single" w:sz="4" w:space="1" w:color="CCCCCC"/>
        </w:pBdr>
        <w:spacing w:before="80" w:after="80"/>
      </w:pPr>
    </w:p>
    <w:p>
      <w:pPr>
        <w:pStyle w:val="Heading4"/>
        <w:keepNext/>
      </w:pPr>
      <w:r>
        <w:rPr>
          <w:rFonts w:ascii="Calibri" w:hAnsi="Calibri"/>
          <w:b w:val="0"/>
          <w:sz w:val="22"/>
        </w:rPr>
        <w:t>10. Project Governance Framework</w:t>
      </w:r>
    </w:p>
    <w:p>
      <w:pPr>
        <w:pStyle w:val="Heading5"/>
        <w:keepNext/>
      </w:pPr>
      <w:r>
        <w:rPr>
          <w:rFonts w:ascii="Calibri" w:hAnsi="Calibri"/>
          <w:b w:val="0"/>
          <w:sz w:val="22"/>
        </w:rPr>
        <w:t>10.1 Risk Management</w:t>
      </w:r>
    </w:p>
    <w:p>
      <w:pPr>
        <w:pStyle w:val="Heading5"/>
        <w:keepNext/>
      </w:pPr>
      <w:r>
        <w:rPr>
          <w:rFonts w:ascii="Calibri" w:hAnsi="Calibri"/>
          <w:b w:val="0"/>
          <w:sz w:val="22"/>
        </w:rPr>
        <w:t>10.2 Issue Management</w:t>
      </w:r>
    </w:p>
    <w:p>
      <w:pPr>
        <w:pStyle w:val="Heading5"/>
        <w:keepNext/>
      </w:pPr>
      <w:r>
        <w:rPr>
          <w:rFonts w:ascii="Calibri" w:hAnsi="Calibri"/>
          <w:b w:val="0"/>
          <w:sz w:val="22"/>
        </w:rPr>
        <w:t>10.3 Change Control</w:t>
      </w:r>
    </w:p>
    <w:p>
      <w:pPr>
        <w:pStyle w:val="Heading5"/>
        <w:keepNext/>
      </w:pPr>
      <w:r>
        <w:rPr>
          <w:rFonts w:ascii="Calibri" w:hAnsi="Calibri"/>
          <w:b w:val="0"/>
          <w:sz w:val="22"/>
        </w:rPr>
        <w:t>10.4 Configuration Management</w:t>
      </w:r>
    </w:p>
    <w:p>
      <w:pPr>
        <w:pStyle w:val="Heading5"/>
        <w:keepNext/>
      </w:pPr>
      <w:r>
        <w:rPr>
          <w:rFonts w:ascii="Calibri" w:hAnsi="Calibri"/>
          <w:b w:val="0"/>
          <w:sz w:val="22"/>
        </w:rPr>
        <w:t>10.5 Governance Integration with Client Structures</w:t>
      </w:r>
    </w:p>
    <w:p>
      <w:pPr>
        <w:pBdr>
          <w:bottom w:val="single" w:sz="4" w:space="1" w:color="CCCCCC"/>
        </w:pBdr>
        <w:spacing w:before="80" w:after="80"/>
      </w:pPr>
    </w:p>
    <w:p>
      <w:pPr>
        <w:pStyle w:val="Heading4"/>
        <w:keepNext/>
      </w:pPr>
      <w:r>
        <w:rPr>
          <w:rFonts w:ascii="Calibri" w:hAnsi="Calibri"/>
          <w:b w:val="0"/>
          <w:sz w:val="22"/>
        </w:rPr>
        <w:t>11. Oracle Delivery Accelerators</w:t>
      </w:r>
    </w:p>
    <w:p>
      <w:pPr>
        <w:pStyle w:val="Heading5"/>
        <w:keepNext/>
      </w:pPr>
      <w:r>
        <w:rPr>
          <w:rFonts w:ascii="Calibri" w:hAnsi="Calibri"/>
          <w:b w:val="0"/>
          <w:sz w:val="22"/>
        </w:rPr>
        <w:t>11.1 Oracle Integration Cloud (OIC)</w:t>
      </w:r>
    </w:p>
    <w:p>
      <w:pPr>
        <w:pStyle w:val="Heading5"/>
        <w:keepNext/>
      </w:pPr>
      <w:r>
        <w:rPr>
          <w:rFonts w:ascii="Calibri" w:hAnsi="Calibri"/>
          <w:b w:val="0"/>
          <w:sz w:val="22"/>
        </w:rPr>
        <w:t>11.2 Oracle FBDI (File Based Data Import)</w:t>
      </w:r>
    </w:p>
    <w:p>
      <w:pPr>
        <w:pStyle w:val="Heading5"/>
        <w:keepNext/>
      </w:pPr>
      <w:r>
        <w:rPr>
          <w:rFonts w:ascii="Calibri" w:hAnsi="Calibri"/>
          <w:b w:val="0"/>
          <w:sz w:val="22"/>
        </w:rPr>
        <w:t>11.3 Oracle Starter Configurator and Modern Best Practices</w:t>
      </w:r>
    </w:p>
    <w:p>
      <w:pPr>
        <w:pStyle w:val="Heading5"/>
        <w:keepNext/>
      </w:pPr>
      <w:r>
        <w:rPr>
          <w:rFonts w:ascii="Calibri" w:hAnsi="Calibri"/>
          <w:b w:val="0"/>
          <w:sz w:val="22"/>
        </w:rPr>
        <w:t>11.4 Oracle Guided Learning</w:t>
      </w:r>
    </w:p>
    <w:p>
      <w:pPr>
        <w:pStyle w:val="Heading5"/>
        <w:keepNext/>
      </w:pPr>
      <w:r>
        <w:rPr>
          <w:rFonts w:ascii="Calibri" w:hAnsi="Calibri"/>
          <w:b w:val="0"/>
          <w:sz w:val="22"/>
        </w:rPr>
        <w:t>11.5 Oracle University Training</w:t>
      </w:r>
    </w:p>
    <w:p>
      <w:pPr>
        <w:pStyle w:val="Heading5"/>
        <w:keepNext/>
      </w:pPr>
      <w:r>
        <w:rPr>
          <w:rFonts w:ascii="Calibri" w:hAnsi="Calibri"/>
          <w:b w:val="0"/>
          <w:sz w:val="22"/>
        </w:rPr>
        <w:t>11.6 OUM Documentation Standards</w:t>
      </w:r>
    </w:p>
    <w:p>
      <w:pPr>
        <w:pStyle w:val="Heading5"/>
        <w:keepNext/>
      </w:pPr>
      <w:r>
        <w:rPr>
          <w:rFonts w:ascii="Calibri" w:hAnsi="Calibri"/>
          <w:b w:val="0"/>
          <w:sz w:val="22"/>
        </w:rPr>
        <w:t>11.7 OCI Security Documentation</w:t>
      </w:r>
    </w:p>
    <w:p>
      <w:pPr>
        <w:pBdr>
          <w:bottom w:val="single" w:sz="4" w:space="1" w:color="CCCCCC"/>
        </w:pBdr>
        <w:spacing w:before="80" w:after="80"/>
      </w:pPr>
    </w:p>
    <w:p>
      <w:pPr>
        <w:pStyle w:val="Heading4"/>
        <w:keepNext/>
      </w:pPr>
      <w:r>
        <w:rPr>
          <w:rFonts w:ascii="Calibri" w:hAnsi="Calibri"/>
          <w:b w:val="0"/>
          <w:sz w:val="22"/>
        </w:rPr>
        <w:t>12. Oracle Fusion Delivery Considerations</w:t>
      </w:r>
    </w:p>
    <w:p>
      <w:pPr>
        <w:pStyle w:val="Heading5"/>
        <w:keepNext/>
      </w:pPr>
      <w:r>
        <w:rPr>
          <w:rFonts w:ascii="Calibri" w:hAnsi="Calibri"/>
          <w:b w:val="0"/>
          <w:sz w:val="22"/>
        </w:rPr>
        <w:t>12.1 Module Sequencing</w:t>
      </w:r>
    </w:p>
    <w:p>
      <w:pPr>
        <w:pStyle w:val="Heading5"/>
        <w:keepNext/>
      </w:pPr>
      <w:r>
        <w:rPr>
          <w:rFonts w:ascii="Calibri" w:hAnsi="Calibri"/>
          <w:b w:val="0"/>
          <w:sz w:val="22"/>
        </w:rPr>
        <w:t>12.2 OIC as Mandatory Architecture Component</w:t>
      </w:r>
    </w:p>
    <w:p>
      <w:pPr>
        <w:pStyle w:val="Heading5"/>
        <w:keepNext/>
      </w:pPr>
      <w:r>
        <w:rPr>
          <w:rFonts w:ascii="Calibri" w:hAnsi="Calibri"/>
          <w:b w:val="0"/>
          <w:sz w:val="22"/>
        </w:rPr>
        <w:t>12.3 Oracle Quarterly Patch Cycle</w:t>
      </w:r>
    </w:p>
    <w:p>
      <w:pPr>
        <w:pStyle w:val="Heading5"/>
        <w:keepNext/>
      </w:pPr>
      <w:r>
        <w:rPr>
          <w:rFonts w:ascii="Calibri" w:hAnsi="Calibri"/>
          <w:b w:val="0"/>
          <w:sz w:val="22"/>
        </w:rPr>
        <w:t>12.4 Security and Role Design</w:t>
      </w:r>
    </w:p>
    <w:p>
      <w:pPr>
        <w:pStyle w:val="Heading5"/>
        <w:keepNext/>
      </w:pPr>
      <w:r>
        <w:rPr>
          <w:rFonts w:ascii="Calibri" w:hAnsi="Calibri"/>
          <w:b w:val="0"/>
          <w:sz w:val="22"/>
        </w:rPr>
        <w:t>12.5 Multi-Country and Blueprint Rollout</w:t>
      </w:r>
    </w:p>
    <w:p>
      <w:pPr>
        <w:pBdr>
          <w:bottom w:val="single" w:sz="4" w:space="1" w:color="CCCCCC"/>
        </w:pBdr>
        <w:spacing w:before="80" w:after="80"/>
      </w:pPr>
    </w:p>
    <w:p>
      <w:pPr>
        <w:pStyle w:val="Heading4"/>
        <w:keepNext/>
      </w:pPr>
      <w:r>
        <w:rPr>
          <w:rFonts w:ascii="Calibri" w:hAnsi="Calibri"/>
          <w:b w:val="0"/>
          <w:sz w:val="22"/>
        </w:rPr>
        <w:t>13. Oracle EBS Delivery Considerations</w:t>
      </w:r>
    </w:p>
    <w:p>
      <w:pPr>
        <w:pStyle w:val="Heading5"/>
        <w:keepNext/>
      </w:pPr>
      <w:r>
        <w:rPr>
          <w:rFonts w:ascii="Calibri" w:hAnsi="Calibri"/>
          <w:b w:val="0"/>
          <w:sz w:val="22"/>
        </w:rPr>
        <w:t>13.1 OUM on Oracle EBS</w:t>
      </w:r>
    </w:p>
    <w:p>
      <w:pPr>
        <w:pStyle w:val="Heading5"/>
        <w:keepNext/>
      </w:pPr>
      <w:r>
        <w:rPr>
          <w:rFonts w:ascii="Calibri" w:hAnsi="Calibri"/>
          <w:b w:val="0"/>
          <w:sz w:val="22"/>
        </w:rPr>
        <w:t>13.2 Customisation Assessment</w:t>
      </w:r>
    </w:p>
    <w:p>
      <w:pPr>
        <w:pStyle w:val="Heading5"/>
        <w:keepNext/>
      </w:pPr>
      <w:r>
        <w:rPr>
          <w:rFonts w:ascii="Calibri" w:hAnsi="Calibri"/>
          <w:b w:val="0"/>
          <w:sz w:val="22"/>
        </w:rPr>
        <w:t>13.3 EBS-to-OCI Migration</w:t>
      </w:r>
    </w:p>
    <w:p>
      <w:pPr>
        <w:pStyle w:val="Heading5"/>
        <w:keepNext/>
      </w:pPr>
      <w:r>
        <w:rPr>
          <w:rFonts w:ascii="Calibri" w:hAnsi="Calibri"/>
          <w:b w:val="0"/>
          <w:sz w:val="22"/>
        </w:rPr>
        <w:t>13.4 DBA Integration During Implementation</w:t>
      </w:r>
    </w:p>
    <w:p>
      <w:pPr>
        <w:pBdr>
          <w:bottom w:val="single" w:sz="4" w:space="1" w:color="CCCCCC"/>
        </w:pBdr>
        <w:spacing w:before="80" w:after="80"/>
      </w:pPr>
    </w:p>
    <w:p>
      <w:pPr>
        <w:pStyle w:val="Heading4"/>
        <w:keepNext/>
      </w:pPr>
      <w:r>
        <w:rPr>
          <w:rFonts w:ascii="Calibri" w:hAnsi="Calibri"/>
          <w:b w:val="0"/>
          <w:sz w:val="22"/>
        </w:rPr>
        <w:t>14. Transition to Support Services</w:t>
      </w:r>
    </w:p>
    <w:p>
      <w:pPr>
        <w:pStyle w:val="Heading5"/>
        <w:keepNext/>
      </w:pPr>
      <w:r>
        <w:rPr>
          <w:rFonts w:ascii="Calibri" w:hAnsi="Calibri"/>
          <w:b w:val="0"/>
          <w:sz w:val="22"/>
        </w:rPr>
        <w:t>14.1 Transition Planning</w:t>
      </w:r>
    </w:p>
    <w:p>
      <w:pPr>
        <w:pStyle w:val="Heading5"/>
        <w:keepNext/>
      </w:pPr>
      <w:r>
        <w:rPr>
          <w:rFonts w:ascii="Calibri" w:hAnsi="Calibri"/>
          <w:b w:val="0"/>
          <w:sz w:val="22"/>
        </w:rPr>
        <w:t>14.2 Knowledge Transfer</w:t>
      </w:r>
    </w:p>
    <w:p>
      <w:pPr>
        <w:pStyle w:val="Heading5"/>
        <w:keepNext/>
      </w:pPr>
      <w:r>
        <w:rPr>
          <w:rFonts w:ascii="Calibri" w:hAnsi="Calibri"/>
          <w:b w:val="0"/>
          <w:sz w:val="22"/>
        </w:rPr>
        <w:t>14.3 Steady-State Support Handover</w:t>
      </w:r>
    </w:p>
    <w:p>
      <w:pPr>
        <w:pBdr>
          <w:bottom w:val="single" w:sz="4" w:space="1" w:color="CCCCCC"/>
        </w:pBdr>
        <w:spacing w:before="80" w:after="80"/>
      </w:pPr>
    </w:p>
    <w:p>
      <w:pPr>
        <w:pStyle w:val="Heading4"/>
        <w:keepNext/>
      </w:pPr>
      <w:r>
        <w:rPr>
          <w:rFonts w:ascii="Calibri" w:hAnsi="Calibri"/>
          <w:b w:val="0"/>
          <w:sz w:val="22"/>
        </w:rPr>
        <w:t>15. Why APPSolve</w:t>
      </w:r>
    </w:p>
    <w:p>
      <w:pPr>
        <w:pStyle w:val="Heading5"/>
        <w:keepNext/>
      </w:pPr>
      <w:r>
        <w:rPr>
          <w:rFonts w:ascii="Calibri" w:hAnsi="Calibri"/>
          <w:b w:val="0"/>
          <w:sz w:val="22"/>
        </w:rPr>
        <w:t>15.1 Oracle Partnership and Credentials</w:t>
      </w:r>
    </w:p>
    <w:p>
      <w:pPr>
        <w:pStyle w:val="Heading5"/>
        <w:keepNext/>
      </w:pPr>
      <w:r>
        <w:rPr>
          <w:rFonts w:ascii="Calibri" w:hAnsi="Calibri"/>
          <w:b w:val="0"/>
          <w:sz w:val="22"/>
        </w:rPr>
        <w:t>15.2 Implementation Depth</w:t>
      </w:r>
    </w:p>
    <w:p>
      <w:pPr>
        <w:pStyle w:val="Heading5"/>
        <w:keepNext/>
      </w:pPr>
      <w:r>
        <w:rPr>
          <w:rFonts w:ascii="Calibri" w:hAnsi="Calibri"/>
          <w:b w:val="0"/>
          <w:sz w:val="22"/>
        </w:rPr>
        <w:t>15.3 OIC Integration Leadership</w:t>
      </w:r>
    </w:p>
    <w:p>
      <w:pPr>
        <w:pStyle w:val="Heading5"/>
        <w:keepNext/>
      </w:pPr>
      <w:r>
        <w:rPr>
          <w:rFonts w:ascii="Calibri" w:hAnsi="Calibri"/>
          <w:b w:val="0"/>
          <w:sz w:val="22"/>
        </w:rPr>
        <w:t>15.4 Local Presence and Delivery Model</w:t>
      </w:r>
    </w:p>
    <w:p>
      <w:pPr>
        <w:pStyle w:val="Heading5"/>
        <w:keepNext/>
      </w:pPr>
      <w:r>
        <w:rPr>
          <w:rFonts w:ascii="Calibri" w:hAnsi="Calibri"/>
          <w:b w:val="0"/>
          <w:sz w:val="22"/>
        </w:rPr>
        <w:t>15.5 Resource Stability</w:t>
      </w:r>
    </w:p>
    <w:p>
      <w:pPr>
        <w:pBdr>
          <w:bottom w:val="single" w:sz="4" w:space="1" w:color="CCCCCC"/>
        </w:pBdr>
        <w:spacing w:before="80" w:after="80"/>
      </w:pPr>
    </w:p>
    <w:p>
      <w:pPr>
        <w:pStyle w:val="Heading4"/>
        <w:keepNext/>
      </w:pPr>
      <w:r>
        <w:rPr>
          <w:rFonts w:ascii="Calibri" w:hAnsi="Calibri"/>
          <w:b w:val="0"/>
          <w:sz w:val="22"/>
        </w:rPr>
        <w:t>16. Conclusion</w:t>
      </w:r>
    </w:p>
    <w:p>
      <w:pPr>
        <w:pBdr>
          <w:bottom w:val="single" w:sz="4" w:space="1" w:color="CCCCCC"/>
        </w:pBdr>
        <w:spacing w:before="80" w:after="80"/>
      </w:pPr>
    </w:p>
    <w:p>
      <w:pPr>
        <w:pStyle w:val="Heading4"/>
        <w:keepNext/>
      </w:pPr>
      <w:r>
        <w:rPr>
          <w:rFonts w:ascii="Calibri" w:hAnsi="Calibri"/>
          <w:b w:val="0"/>
          <w:sz w:val="22"/>
        </w:rPr>
        <w:t>17. Approval Record and Pre-Tender Checks</w:t>
      </w:r>
    </w:p>
    <w:p>
      <w:pPr>
        <w:pStyle w:val="Heading5"/>
        <w:keepNext/>
      </w:pPr>
      <w:r>
        <w:rPr>
          <w:rFonts w:ascii="Calibri" w:hAnsi="Calibri"/>
          <w:b w:val="0"/>
          <w:sz w:val="22"/>
        </w:rPr>
        <w:t>17.1 Approval Record</w:t>
      </w:r>
    </w:p>
    <w:p>
      <w:pPr>
        <w:pStyle w:val="Heading5"/>
        <w:keepNext/>
      </w:pPr>
      <w:r>
        <w:rPr>
          <w:rFonts w:ascii="Calibri" w:hAnsi="Calibri"/>
          <w:b w:val="0"/>
          <w:sz w:val="22"/>
        </w:rPr>
        <w:t>17.2 Pre-Tender Checks</w:t>
      </w:r>
    </w:p>
    <w:p>
      <w:pPr>
        <w:pBdr>
          <w:bottom w:val="single" w:sz="4" w:space="1" w:color="CCCCCC"/>
        </w:pBdr>
        <w:spacing w:before="80" w:after="80"/>
      </w:pPr>
    </w:p>
    <w:p>
      <w:pPr>
        <w:pBdr>
          <w:bottom w:val="single" w:sz="4" w:space="1" w:color="CCCCCC"/>
        </w:pBdr>
        <w:spacing w:before="80" w:after="80"/>
      </w:pPr>
    </w:p>
    <w:p>
      <w:pPr>
        <w:pStyle w:val="Heading3"/>
        <w:keepNext/>
      </w:pPr>
      <w:r>
        <w:rPr>
          <w:rFonts w:ascii="Calibri" w:hAnsi="Calibri"/>
          <w:b w:val="0"/>
          <w:sz w:val="26"/>
        </w:rPr>
        <w:t>Appendix A — Extraction Notes</w:t>
      </w:r>
    </w:p>
    <w:p>
      <w:pPr>
        <w:pBdr>
          <w:bottom w:val="single" w:sz="4" w:space="1" w:color="CCCCCC"/>
        </w:pBdr>
        <w:spacing w:before="80" w:after="80"/>
      </w:pPr>
    </w:p>
    <w:p>
      <w:pPr>
        <w:pStyle w:val="Heading3"/>
        <w:keepNext/>
      </w:pPr>
      <w:r>
        <w:rPr>
          <w:rFonts w:ascii="Calibri" w:hAnsi="Calibri"/>
          <w:b w:val="0"/>
          <w:sz w:val="26"/>
        </w:rPr>
        <w:t>Appendix B — Fact Verification Summary</w:t>
      </w:r>
    </w:p>
    <w:p>
      <w:pPr>
        <w:pBdr>
          <w:bottom w:val="single" w:sz="4" w:space="1" w:color="CCCCCC"/>
        </w:pBdr>
        <w:spacing w:before="80" w:after="80"/>
      </w:pPr>
    </w:p>
    <w:p>
      <w:pPr>
        <w:pStyle w:val="Heading3"/>
        <w:keepNext/>
      </w:pPr>
      <w:r>
        <w:rPr>
          <w:rFonts w:ascii="Calibri" w:hAnsi="Calibri"/>
          <w:b w:val="0"/>
          <w:sz w:val="26"/>
        </w:rPr>
        <w:t>Appendix C — Governance Review Summary</w:t>
      </w:r>
    </w:p>
    <w:p>
      <w:pPr>
        <w:pBdr>
          <w:bottom w:val="single" w:sz="4" w:space="1" w:color="CCCCCC"/>
        </w:pBdr>
        <w:spacing w:before="80" w:after="80"/>
      </w:pPr>
    </w:p>
    <w:p>
      <w:pPr>
        <w:pStyle w:val="Heading3"/>
        <w:keepNext/>
      </w:pPr>
      <w:r>
        <w:rPr>
          <w:rFonts w:ascii="Calibri" w:hAnsi="Calibri"/>
          <w:b w:val="0"/>
          <w:sz w:val="26"/>
        </w:rPr>
        <w:t>Scope of Work — Inclusions</w:t>
      </w:r>
    </w:p>
    <w:p>
      <w:pPr>
        <w:pStyle w:val="Heading3"/>
        <w:keepNext/>
      </w:pPr>
      <w:r>
        <w:rPr>
          <w:rFonts w:ascii="Calibri" w:hAnsi="Calibri"/>
          <w:b w:val="0"/>
          <w:sz w:val="26"/>
        </w:rPr>
        <w:t>Scope of Work — Exclusions</w:t>
      </w:r>
    </w:p>
    <w:p>
      <w:pPr>
        <w:pStyle w:val="Heading3"/>
        <w:keepNext/>
      </w:pPr>
      <w:r>
        <w:rPr>
          <w:rFonts w:ascii="Calibri" w:hAnsi="Calibri"/>
          <w:b w:val="0"/>
          <w:sz w:val="26"/>
        </w:rPr>
        <w:t>Deliverables</w:t>
      </w:r>
    </w:p>
    <w:p>
      <w:pPr>
        <w:pStyle w:val="Heading3"/>
        <w:keepNext/>
      </w:pPr>
      <w:r>
        <w:rPr>
          <w:rFonts w:ascii="Calibri" w:hAnsi="Calibri"/>
          <w:b w:val="0"/>
          <w:sz w:val="26"/>
        </w:rPr>
        <w:t>Dependencies</w:t>
      </w:r>
    </w:p>
    <w:p>
      <w:pPr/>
      <w:r>
        <w:rPr>
          <w:rFonts w:ascii="Calibri" w:hAnsi="Calibri"/>
          <w:b w:val="0"/>
          <w:sz w:val="22"/>
        </w:rPr>
        <w:t>_This section has been summarised for conciseness. Full detail is provided in Appendix B (Detailed Capability Catalogue)._</w:t>
      </w:r>
    </w:p>
    <w:p>
      <w:pPr>
        <w:spacing w:before="0" w:after="0"/>
      </w:pPr>
      <w:r>
        <w:br w:type="page"/>
      </w:r>
    </w:p>
    <w:p>
      <w:pPr>
        <w:pStyle w:val="Heading2"/>
        <w:keepNext/>
      </w:pPr>
      <w:r>
        <w:t>6. Project Governance</w:t>
      </w:r>
    </w:p>
    <w:p>
      <w:pPr/>
      <w:r>
        <w:rPr>
          <w:rFonts w:ascii="Calibri" w:hAnsi="Calibri"/>
          <w:b w:val="0"/>
          <w:sz w:val="22"/>
        </w:rPr>
        <w:t>APPSolve's project governance model establishes clear accountability at every level of the engagement. The framework provides effective oversight, rapid decision-making, and transparent risk management throughout the implementation lifecycle.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Layer</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Frequency</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Participants</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Purpose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Steering Committee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Monthly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Executive Sponsor, APPSolve BU Lead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Strategic decisions, scope authority, escalation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Joint Project Management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Weekly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PM, APPSolve PM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tracking, risk management, actions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Workstream Reviews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Bi-weekly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Functional Leads, Technical Leads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configuration status, CRP planning, design decisions</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Change Control Board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 required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PM, BU Lead, Commercial Lead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Change request review, impact assessment, approval</w:t>
            </w:r>
          </w:p>
        </w:tc>
      </w:tr>
    </w:tbl>
    <w:p>
      <w:pPr>
        <w:spacing w:before="0" w:after="120"/>
      </w:pPr>
    </w:p>
    <w:p>
      <w:pPr/>
      <w:r>
        <w:rPr>
          <w:rFonts w:ascii="Calibri" w:hAnsi="Calibri"/>
          <w:b w:val="0"/>
          <w:sz w:val="22"/>
        </w:rPr>
        <w:t>APPSolve provides a dedicated Project Manager and BU Lead for the engagement. A weekly progress report is issued to all stakeholders covering RAG status by workstream, upcoming milestones, open risks, and pending client decisions. All scope changes are processed through a formal Change Request with documented commercial and timeline impact before approval.</w:t>
      </w:r>
    </w:p>
    <w:p>
      <w:pPr/>
      <w:r>
        <w:rPr>
          <w:rFonts w:ascii="Calibri" w:hAnsi="Calibri"/>
          <w:b w:val="0"/>
          <w:sz w:val="22"/>
        </w:rPr>
        <w:t>The RAID Framework (Risks, Assumptions, Issues, Dependencies) will be maintained as a living document throughout the project and reviewed at each Project Management meeting. A formal Cutover Plan will be agreed during the Validate phase, defining the go-live sequence, rollback criteria, and hypercare period. Full RAID documentation, Change Control Framework, and Cutover Plan are provided as separate project deliverables and will be completed during the Mobilise phase.</w:t>
      </w:r>
    </w:p>
    <w:p>
      <w:pPr>
        <w:pStyle w:val="Heading3"/>
        <w:keepNext/>
      </w:pPr>
      <w:r>
        <w:rPr>
          <w:rFonts w:ascii="Calibri" w:hAnsi="Calibri"/>
          <w:b w:val="0"/>
          <w:sz w:val="26"/>
        </w:rPr>
        <w:t>RAID Framework</w:t>
      </w:r>
    </w:p>
    <w:p>
      <w:pPr/>
      <w:r>
        <w:rPr>
          <w:rFonts w:ascii="Calibri" w:hAnsi="Calibri"/>
          <w:b w:val="0"/>
          <w:sz w:val="22"/>
        </w:rPr>
        <w:t>_PLACEHOLDER: Project-specific RAID Framework to be completed during Mobilise phase with input from Plennegy project sponsor and APPSolve Project Manager._</w:t>
      </w:r>
    </w:p>
    <w:p>
      <w:pPr>
        <w:pStyle w:val="Heading3"/>
        <w:keepNext/>
      </w:pPr>
      <w:r>
        <w:rPr>
          <w:rFonts w:ascii="Calibri" w:hAnsi="Calibri"/>
          <w:b w:val="0"/>
          <w:sz w:val="26"/>
        </w:rPr>
        <w:t>Cutover / Go-Live Plan</w:t>
      </w:r>
    </w:p>
    <w:p>
      <w:pPr/>
      <w:r>
        <w:rPr>
          <w:rFonts w:ascii="Calibri" w:hAnsi="Calibri"/>
          <w:b w:val="0"/>
          <w:sz w:val="22"/>
        </w:rPr>
        <w:t>_PLACEHOLDER: Go-live sequence and hypercare plan to be agreed during Validate phase. Target go-live date to be confirmed with Plennegy (OAR-C04)._</w:t>
      </w:r>
    </w:p>
    <w:p>
      <w:pPr>
        <w:spacing w:before="0" w:after="0"/>
      </w:pPr>
      <w:r>
        <w:br w:type="page"/>
      </w:r>
    </w:p>
    <w:p>
      <w:pPr>
        <w:pStyle w:val="Heading2"/>
        <w:keepNext/>
      </w:pPr>
      <w:r>
        <w:t>7. Implementation Roadmap</w:t>
      </w:r>
    </w:p>
    <w:p>
      <w:pPr/>
      <w:r>
        <w:rPr>
          <w:rFonts w:ascii="Calibri" w:hAnsi="Calibri"/>
          <w:b w:val="0"/>
          <w:sz w:val="22"/>
        </w:rPr>
        <w:t>APPSolve's implementation approach follows Oracle's recommended methodology, adapted for Oracle Cloud SaaS environments. The following roadmap provides indicative phase durations, subject to scope confirmation and Oracle environment provisioning timelines.</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Name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Indicative Duration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Key Deliverables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Mobilise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 weeks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Charter, RAID Register, Governance Framework, Kick-off</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&amp; Design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8–10 weeks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Functional Design Documents, Configuration Workbooks, CRP-1 Workshop</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Prototype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6–8 weeks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Configured System, CRP-2 Demonstration, Integration Build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Validate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6–8 weeks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UAT Sign-off, Data Migration Dress Rehearsal, Go-Live Readiness Review</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Deploy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2–4 weeks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Go-Live, Hypercare, Cutover Sign-off</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Evolve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12 months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AMS Monthly Reports, Oracle Quarterly Updates, Optimisation</w:t>
            </w:r>
          </w:p>
        </w:tc>
      </w:tr>
    </w:tbl>
    <w:p>
      <w:pPr>
        <w:spacing w:before="0" w:after="120"/>
      </w:pPr>
    </w:p>
    <w:p>
      <w:pPr>
        <w:pStyle w:val="Heading3"/>
        <w:keepNext/>
      </w:pPr>
      <w:r>
        <w:rPr>
          <w:rFonts w:ascii="Calibri" w:hAnsi="Calibri"/>
          <w:b w:val="0"/>
          <w:sz w:val="26"/>
        </w:rPr>
        <w:t>Key Milestones</w:t>
      </w:r>
    </w:p>
    <w:p>
      <w:pPr/>
      <w:r>
        <w:rPr>
          <w:rFonts w:ascii="Calibri" w:hAnsi="Calibri"/>
          <w:b w:val="0"/>
          <w:sz w:val="22"/>
        </w:rPr>
        <w:t>A detailed project plan with milestone dates will be developed during the Mobilise phase. Timelines are indicative and subject to Oracle environment provisioning (managed directly by Oracle), Plennegy resource availability, and scope confirmation.</w:t>
      </w:r>
    </w:p>
    <w:p>
      <w:pPr>
        <w:spacing w:before="0" w:after="0"/>
      </w:pPr>
      <w:r>
        <w:br w:type="page"/>
      </w:r>
    </w:p>
    <w:p>
      <w:pPr>
        <w:pStyle w:val="Heading2"/>
        <w:keepNext/>
      </w:pPr>
      <w:r>
        <w:t>8. Key Assumptions</w:t>
      </w:r>
    </w:p>
    <w:p>
      <w:pPr/>
      <w:r>
        <w:rPr>
          <w:rFonts w:ascii="Calibri" w:hAnsi="Calibri"/>
          <w:b w:val="0"/>
          <w:sz w:val="22"/>
        </w:rPr>
        <w:t>APPSolve's proposal is governed by a comprehensive assumptions register comprising 341 approved assumptions across five packs. These assumptions define the contractual basis for scope, cost, and timeline and are referenced in all APPSolve Statements of Work.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Pack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Coverage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Core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Environment, organisation structure, data migration, security, payroll data, integration foundations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Recruiting Cloud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Vacancy management, candidate sourcing, offer management, pre-employment checks, onboarding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Course catalogue, certifications, learning paths, instructor-led training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Talent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management, goals, succession planning, career development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104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interface, third-party integration, middleware, data exchange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**Total**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**341**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**Full HCM Cloud implementation scope**</w:t>
            </w:r>
          </w:p>
        </w:tc>
      </w:tr>
    </w:tbl>
    <w:p>
      <w:pPr>
        <w:spacing w:before="0" w:after="120"/>
      </w:pPr>
    </w:p>
    <w:p>
      <w:pPr>
        <w:pStyle w:val="Heading3"/>
        <w:keepNext/>
      </w:pPr>
      <w:r>
        <w:rPr>
          <w:rFonts w:ascii="Calibri" w:hAnsi="Calibri"/>
          <w:b w:val="0"/>
          <w:sz w:val="26"/>
        </w:rPr>
        <w:t>Key Commercial Assumptions</w:t>
      </w:r>
    </w:p>
    <w:p>
      <w:pPr/>
      <w:r>
        <w:rPr>
          <w:rFonts w:ascii="Calibri" w:hAnsi="Calibri"/>
          <w:b w:val="0"/>
          <w:sz w:val="22"/>
        </w:rPr>
        <w:t>The following high-level assumptions are most material to scope, cost, and timeline:</w:t>
      </w:r>
    </w:p>
    <w:p>
      <w:pPr/>
      <w:r>
        <w:rPr>
          <w:rFonts w:ascii="Calibri" w:hAnsi="Calibri"/>
          <w:b w:val="0"/>
          <w:sz w:val="22"/>
        </w:rPr>
        <w:t xml:space="preserve">The complete assumptions register is provided in </w:t>
      </w:r>
      <w:r>
        <w:rPr>
          <w:rFonts w:ascii="Calibri" w:hAnsi="Calibri"/>
          <w:sz w:val="22"/>
        </w:rPr>
        <w:t>**Appendix B**</w:t>
      </w:r>
      <w:r>
        <w:rPr>
          <w:rFonts w:ascii="Calibri" w:hAnsi="Calibri"/>
          <w:b w:val="0"/>
          <w:sz w:val="22"/>
        </w:rPr>
        <w:t>. Key assumptions from the HCM Core, Recruiting, Learning, Talent, and OIC packs apply in full to this engagement unless explicitly excluded in the Statement of Work.</w:t>
      </w:r>
    </w:p>
    <w:p>
      <w:pPr>
        <w:spacing w:before="0" w:after="0"/>
      </w:pPr>
      <w:r>
        <w:br w:type="page"/>
      </w:r>
    </w:p>
    <w:p>
      <w:pPr>
        <w:pStyle w:val="Heading2"/>
        <w:keepNext/>
      </w:pPr>
      <w:r>
        <w:t>9. Key Project Risks and Mitigations</w:t>
      </w:r>
    </w:p>
    <w:p>
      <w:pPr/>
      <w:r>
        <w:rPr>
          <w:rFonts w:ascii="Calibri" w:hAnsi="Calibri"/>
          <w:b w:val="0"/>
          <w:sz w:val="22"/>
        </w:rPr>
        <w:t>The following project risks are considered most material to the Plennegy Oracle HCM Cloud engagement. APPSolve maintains a full RAID Register throughout the project, reviewed at each Project Management meeting and monthly Steering Committee.</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changes due to undocumented or evolving requirements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Formal Change Control Board — all scope changes assessed for commercial and timeline impact before approval</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migration quality and completeness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migration templates; three-cycle migration (pilot + dress rehearsal + production); Plennegy data custodian required</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resource availability for workshops, design approvals, and UAT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Workshop schedule locked during Mobilise; escalation path defined; delays may trigger Change Request</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cloud environment provisioning delays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Provisioning tracked from kick-off; Oracle account manager escalation path identified in project plan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process change management and user adoption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Change management activities included in scope; user training scheduled for Validate phase; executive sponsor engagement required</w:t>
            </w:r>
          </w:p>
        </w:tc>
      </w:tr>
    </w:tbl>
    <w:p>
      <w:pPr>
        <w:spacing w:before="0" w:after="120"/>
      </w:pPr>
    </w:p>
    <w:p>
      <w:pPr/>
      <w:r>
        <w:rPr>
          <w:rFonts w:ascii="Calibri" w:hAnsi="Calibri"/>
          <w:b w:val="0"/>
          <w:sz w:val="22"/>
        </w:rPr>
        <w:t>APPSolve's RAID Framework is a live project management document updated weekly and presented at each Project Management and Steering Committee meeting. The full risk register is maintained separately from the proposal.</w:t>
      </w:r>
    </w:p>
    <w:p>
      <w:pPr>
        <w:spacing w:before="0" w:after="0"/>
      </w:pPr>
      <w:r>
        <w:br w:type="page"/>
      </w:r>
    </w:p>
    <w:p>
      <w:pPr>
        <w:pStyle w:val="Heading2"/>
        <w:keepNext/>
      </w:pPr>
      <w:r>
        <w:t>10. Commercial Inputs</w:t>
      </w:r>
    </w:p>
    <w:p>
      <w:pPr/>
      <w:r>
        <w:rPr>
          <w:rFonts w:ascii="Calibri" w:hAnsi="Calibri"/>
          <w:b w:val="0"/>
          <w:sz w:val="22"/>
        </w:rPr>
        <w:t>APPSolve's commercial proposal for the Oracle HCM Cloud implementation will be formalised under the Commercial Director's authority once the scope inputs below are confirmed. All commercial documents are subject to BU Lead sign-off before submission.</w:t>
      </w:r>
    </w:p>
    <w:p>
      <w:pPr>
        <w:pStyle w:val="Heading3"/>
        <w:keepNext/>
      </w:pPr>
      <w:r>
        <w:rPr>
          <w:rFonts w:ascii="Calibri" w:hAnsi="Calibri"/>
          <w:b w:val="0"/>
          <w:sz w:val="26"/>
        </w:rPr>
        <w:t>Commercial Inputs Required</w:t>
      </w:r>
    </w:p>
    <w:p>
      <w:pPr>
        <w:pStyle w:val="Heading3"/>
        <w:keepNext/>
      </w:pPr>
      <w:r>
        <w:rPr>
          <w:rFonts w:ascii="Calibri" w:hAnsi="Calibri"/>
          <w:b w:val="0"/>
          <w:sz w:val="26"/>
        </w:rPr>
        <w:t>APPSolve Commercial Models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Model</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Recommendation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Price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Agreed scope at fixed cost; change requests priced separately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Recommended for defined HCM Cloud scope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and Materials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Billing by time at agreed rates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Appropriate where scope evolves during delivery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Monthly Recurring Invoice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monthly cost; capacity transfers between months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APPSolve's distinctive model — predictable cost; aligned incentives</w:t>
            </w:r>
          </w:p>
        </w:tc>
      </w:tr>
    </w:tbl>
    <w:p>
      <w:pPr>
        <w:spacing w:before="0" w:after="120"/>
      </w:pPr>
    </w:p>
    <w:p>
      <w:pPr/>
      <w:r>
        <w:rPr>
          <w:rFonts w:ascii="Calibri" w:hAnsi="Calibri"/>
          <w:b w:val="0"/>
          <w:sz w:val="22"/>
        </w:rPr>
        <w:t>_Pricing table to be provided by APPSolve Commercial Director following scope confirmation. No rates or commercial terms are binding until the formal Commercial Proposal is issued and counter-signed by both parties._</w:t>
      </w:r>
    </w:p>
    <w:p>
      <w:pPr>
        <w:spacing w:before="0" w:after="0"/>
      </w:pPr>
      <w:r>
        <w:br w:type="page"/>
      </w:r>
    </w:p>
    <w:p>
      <w:pPr>
        <w:pStyle w:val="Heading2"/>
        <w:keepNext/>
      </w:pPr>
      <w:r>
        <w:t>11. Next Steps (Customer Actions)</w:t>
      </w:r>
    </w:p>
    <w:p>
      <w:pPr/>
      <w:r>
        <w:rPr>
          <w:rFonts w:ascii="Calibri" w:hAnsi="Calibri"/>
          <w:b w:val="0"/>
          <w:sz w:val="22"/>
        </w:rPr>
        <w:t>APPSolve is ready to progress this engagement. The following actions are required in priority order to advance from this draft to a final submission-ready proposal:</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Priority</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Owner</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Target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**P0 — URGENT**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Renew B-BBEE Level 3 certificate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Finance Director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2026-07-31</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Draft Executive Summary with Plennegy win themes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 AM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internal review</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Draft Understanding of Requirements from Plennegy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internal review</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scope: modules, entities, headcount, go-live date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 (OAR-C04)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pricing</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Provide pricing structure and commercial proposal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Commercial Director (OAR-C02)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submission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Obtain Hollywood Bets reference approval for this tender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 (OAR-C01)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submission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Provide proposed team structure and CVs (from APPTime)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Manager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submission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AI-generate Risk Register; BU Lead review and approval</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submission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Verify all compliance document expiry dates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Operations + Finance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submission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Attach current Oracle OPN Certificate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Operations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submission</w:t>
            </w:r>
          </w:p>
        </w:tc>
      </w:tr>
    </w:tbl>
    <w:p>
      <w:pPr>
        <w:spacing w:before="0" w:after="120"/>
      </w:pPr>
    </w:p>
    <w:p>
      <w:pPr/>
      <w:r>
        <w:rPr>
          <w:rFonts w:ascii="Calibri" w:hAnsi="Calibri"/>
          <w:b w:val="0"/>
          <w:sz w:val="22"/>
        </w:rPr>
        <w:t>On completion of the above actions, APPSolve will produce the final CLIENT proposal (V4) for BU Lead sign-off and submission to Plennegy Group.</w:t>
      </w:r>
    </w:p>
    <w:p>
      <w:pPr>
        <w:spacing w:before="0" w:after="0"/>
      </w:pPr>
      <w:r>
        <w:br w:type="page"/>
      </w:r>
    </w:p>
    <w:p>
      <w:pPr>
        <w:pStyle w:val="Heading2"/>
        <w:keepNext/>
      </w:pPr>
      <w:r>
        <w:t>Appendix A — Oracle HCM Capability Summary</w:t>
      </w:r>
    </w:p>
    <w:p>
      <w:pPr/>
      <w:r>
        <w:rPr>
          <w:rFonts w:ascii="Calibri" w:hAnsi="Calibri"/>
          <w:b w:val="0"/>
          <w:sz w:val="22"/>
        </w:rPr>
        <w:t>APPSolve has delivered Oracle HCM Cloud implementations for organisations across gaming, retail, financial services, and agribusiness sectors in South Africa and internationally. The following summarises our core delivery capability.</w:t>
      </w:r>
    </w:p>
    <w:p>
      <w:pPr>
        <w:pStyle w:val="Heading3"/>
        <w:keepNext/>
      </w:pPr>
      <w:r>
        <w:rPr>
          <w:rFonts w:ascii="Calibri" w:hAnsi="Calibri"/>
          <w:b w:val="0"/>
          <w:sz w:val="26"/>
        </w:rPr>
        <w:t>Oracle HCM Cloud Delivery Capability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Functional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Oracle Modules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Delivery Tier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Core Human Capital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Core, Position Management, Absence Management, Compensation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Multiple production implementations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Acquisition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Cloud (ORC)</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Large-scale South African production deployment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Goals, Succession Planning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Active and completed implementations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&amp; Development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Learning Cloud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Active implementation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Service Delivery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HR Help Desk, Employee Relations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Full production go-live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Workforce Reporting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BI Publisher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Standard delivery on all HCM engagements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Services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(OIC)</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Production payroll and third-party integrations</w:t>
            </w:r>
          </w:p>
        </w:tc>
      </w:tr>
    </w:tbl>
    <w:p>
      <w:pPr>
        <w:spacing w:before="0" w:after="120"/>
      </w:pPr>
    </w:p>
    <w:p>
      <w:pPr>
        <w:pStyle w:val="Heading3"/>
        <w:keepNext/>
      </w:pPr>
      <w:r>
        <w:rPr>
          <w:rFonts w:ascii="Calibri" w:hAnsi="Calibri"/>
          <w:b w:val="0"/>
          <w:sz w:val="26"/>
        </w:rPr>
        <w:t>Delivery Commitments</w:t>
      </w:r>
    </w:p>
    <w:p>
      <w:pPr/>
      <w:r>
        <w:rPr>
          <w:rFonts w:ascii="Calibri" w:hAnsi="Calibri"/>
          <w:b w:val="0"/>
          <w:sz w:val="22"/>
        </w:rPr>
        <w:t xml:space="preserve">Full module-level capability descriptions, feature lists, and delivery evidence are provided in </w:t>
      </w:r>
      <w:r>
        <w:rPr>
          <w:rFonts w:ascii="Calibri" w:hAnsi="Calibri"/>
          <w:sz w:val="22"/>
        </w:rPr>
        <w:t>**Appendix B — Detailed Capability Catalogue**</w:t>
      </w:r>
      <w:r>
        <w:rPr>
          <w:rFonts w:ascii="Calibri" w:hAnsi="Calibri"/>
          <w:b w:val="0"/>
          <w:sz w:val="22"/>
        </w:rPr>
        <w:t>.</w:t>
      </w:r>
    </w:p>
    <w:p>
      <w:pPr>
        <w:spacing w:before="0" w:after="0"/>
      </w:pPr>
      <w:r>
        <w:br w:type="page"/>
      </w:r>
    </w:p>
    <w:p>
      <w:pPr>
        <w:pStyle w:val="Heading2"/>
        <w:keepNext/>
      </w:pPr>
      <w:r>
        <w:t>Appendix B — Detailed Capability Catalogue</w:t>
      </w:r>
    </w:p>
    <w:p>
      <w:pPr>
        <w:pStyle w:val="Heading3"/>
        <w:keepNext/>
      </w:pPr>
      <w:r>
        <w:rPr>
          <w:rFonts w:ascii="Calibri" w:hAnsi="Calibri"/>
          <w:b w:val="0"/>
          <w:sz w:val="26"/>
        </w:rPr>
        <w:t>Oracle HCM Core — Global HR and Employee Lifecycle</w:t>
      </w:r>
    </w:p>
    <w:p>
      <w:pPr>
        <w:pBdr>
          <w:bottom w:val="single" w:sz="4" w:space="1" w:color="CCCCCC"/>
        </w:pBdr>
        <w:spacing w:before="80" w:after="80"/>
      </w:pPr>
    </w:p>
    <w:p>
      <w:pPr>
        <w:pStyle w:val="Heading4"/>
        <w:keepNext/>
      </w:pPr>
      <w:r>
        <w:rPr>
          <w:rFonts w:ascii="Calibri" w:hAnsi="Calibri"/>
          <w:b w:val="0"/>
          <w:sz w:val="22"/>
        </w:rPr>
        <w:t>Section 1 — APPSolve Oracle HCM Practice Overview</w:t>
      </w:r>
    </w:p>
    <w:p>
      <w:pPr/>
      <w:r>
        <w:rPr>
          <w:rFonts w:ascii="Calibri" w:hAnsi="Calibri"/>
          <w:b w:val="0"/>
          <w:sz w:val="22"/>
        </w:rPr>
        <w:t xml:space="preserve">APPSolve is an </w:t>
      </w:r>
      <w:r>
        <w:rPr>
          <w:rFonts w:ascii="Calibri" w:hAnsi="Calibri"/>
          <w:sz w:val="22"/>
        </w:rPr>
        <w:t>**Oracle Level 1 Partner**</w:t>
      </w:r>
      <w:r>
        <w:rPr>
          <w:rFonts w:ascii="Calibri" w:hAnsi="Calibri"/>
          <w:b w:val="0"/>
          <w:sz w:val="22"/>
        </w:rPr>
        <w:t xml:space="preserve"> with a published Oracle Fusion Cloud HCM Core expertise certification on the Oracle Partner Network (OPN). With over 23 years of Oracle consulting experience, APPSolve has built one of South Africa's most capable Oracle HCM delivery practices — combining deep functional expertise with certified Oracle Integration Cloud (OIC) capability to deliver end-to-end HCM transformations for enterprise clients across Southern Africa and internationally.</w:t>
      </w:r>
    </w:p>
    <w:p>
      <w:pPr/>
      <w:r>
        <w:rPr>
          <w:rFonts w:ascii="Calibri" w:hAnsi="Calibri"/>
          <w:b w:val="0"/>
          <w:sz w:val="22"/>
        </w:rPr>
        <w:t>APPSolve's Oracle HCM practice spans the full Oracle Fusion HCM module suite, with particular depth in Global HR, Absence Management, Talent Management, Recruiting, Learning, Workforce Compensation, Time and Labor, Help Desk, and HCM Analytics. The practice is supported by Oracle's OUM (Oracle Unified Methodology) and Oracle's Customer Success Navigator framework, ensuring structured, repeatable, and de-risked implementation delivery.</w:t>
      </w:r>
    </w:p>
    <w:p>
      <w:pPr/>
      <w:r>
        <w:rPr>
          <w:rFonts w:ascii="Calibri" w:hAnsi="Calibri"/>
          <w:sz w:val="22"/>
        </w:rPr>
        <w:t>**Oracle Fusion Cloud HCM Core — the Global HR foundation module — is the starting point for every APPSolve Oracle HCM engagement.**</w:t>
      </w:r>
      <w:r>
        <w:rPr>
          <w:rFonts w:ascii="Calibri" w:hAnsi="Calibri"/>
          <w:b w:val="0"/>
          <w:sz w:val="22"/>
        </w:rPr>
        <w:t xml:space="preserve"> It establishes the organisational structures, worker records, and configuration framework that all subsequent HCM modules depend on. APPSolve's implementation sequence places Global HR first, ensuring a solid foundation before activating Recruiting, Talent Management, Learning, Compensation, or Time and Labor.</w:t>
      </w:r>
    </w:p>
    <w:p>
      <w:pPr/>
      <w:r>
        <w:rPr>
          <w:rFonts w:ascii="Calibri" w:hAnsi="Calibri"/>
          <w:sz w:val="22"/>
        </w:rPr>
        <w:t>**Key practice credentials:**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Credential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partner tier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OPN expertise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Cloud HCM Core (certified)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expertise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(OIC) — published OPN expertise area</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Company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of Oracle consulting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go-live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Oracle Fusion HCM go-live July 2025; 7,000 users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 Oracle Fusion HCM Platform</w:t>
      </w:r>
    </w:p>
    <w:p>
      <w:pPr>
        <w:pStyle w:val="Heading5"/>
        <w:keepNext/>
      </w:pPr>
      <w:r>
        <w:rPr>
          <w:rFonts w:ascii="Calibri" w:hAnsi="Calibri"/>
          <w:b w:val="0"/>
          <w:sz w:val="22"/>
        </w:rPr>
        <w:t>2.1 SaaS Architecture</w:t>
      </w:r>
    </w:p>
    <w:p>
      <w:pPr/>
      <w:r>
        <w:rPr>
          <w:rFonts w:ascii="Calibri" w:hAnsi="Calibri"/>
          <w:b w:val="0"/>
          <w:sz w:val="22"/>
        </w:rPr>
        <w:t>Oracle Fusion Human Capital Management is a cloud-native, Software-as-a-Service (SaaS) platform. APPSolve implements the Oracle Fusion HCM suite in Oracle's managed cloud environment — eliminating the need for on-premises infrastructure, hardware procurement, or manual database administration by the client. Oracle manages platform availability, security patching, and regulatory compliance updates; APPSolve manages configuration, integration, and business process alignment on behalf of the client.</w:t>
      </w:r>
    </w:p>
    <w:p>
      <w:pPr/>
      <w:r>
        <w:rPr>
          <w:rFonts w:ascii="Calibri" w:hAnsi="Calibri"/>
          <w:b w:val="0"/>
          <w:sz w:val="22"/>
        </w:rPr>
        <w:t>The SaaS model delivers automatic quarterly feature releases, ensuring that every APPSolve-implemented HCM environment benefits continuously from Oracle's product investment without requiring disruptive upgrade projects. APPSolve guides clients through quarterly release assessments, advising on which new features to activate and how to incorporate them into existing business processes.</w:t>
      </w:r>
    </w:p>
    <w:p>
      <w:pPr>
        <w:pStyle w:val="Heading5"/>
        <w:keepNext/>
      </w:pPr>
      <w:r>
        <w:rPr>
          <w:rFonts w:ascii="Calibri" w:hAnsi="Calibri"/>
          <w:b w:val="0"/>
          <w:sz w:val="22"/>
        </w:rPr>
        <w:t>2.2 Enterprise HCM Platform Positioning</w:t>
      </w:r>
    </w:p>
    <w:p>
      <w:pPr/>
      <w:r>
        <w:rPr>
          <w:rFonts w:ascii="Calibri" w:hAnsi="Calibri"/>
          <w:b w:val="0"/>
          <w:sz w:val="22"/>
        </w:rPr>
        <w:t>APPSolve configures Oracle Fusion HCM to serve enterprise clients of varying scale and complexity. The platform supports:</w:t>
      </w:r>
    </w:p>
    <w:p>
      <w:pPr>
        <w:pStyle w:val="ListBullet"/>
        <w:spacing w:before="20" w:after="20"/>
      </w:pPr>
      <w:r>
        <w:rPr>
          <w:rFonts w:ascii="Calibri" w:hAnsi="Calibri"/>
          <w:sz w:val="22"/>
        </w:rPr>
        <w:t>**Multi-country deployments**</w:t>
      </w:r>
      <w:r>
        <w:rPr>
          <w:rFonts w:ascii="Calibri" w:hAnsi="Calibri"/>
          <w:b w:val="0"/>
          <w:sz w:val="22"/>
        </w:rPr>
        <w:t xml:space="preserve"> — a single Oracle instance serves multiple legal entities, jurisdictions, and legislative frameworks simultaneously. APPSolve implements the organisational model, legislative elements, and localisation rules for each country in scope.</w:t>
      </w:r>
    </w:p>
    <w:p>
      <w:pPr>
        <w:pStyle w:val="ListBullet"/>
        <w:spacing w:before="20" w:after="20"/>
      </w:pPr>
      <w:r>
        <w:rPr>
          <w:rFonts w:ascii="Calibri" w:hAnsi="Calibri"/>
          <w:sz w:val="22"/>
        </w:rPr>
        <w:t>**Multi-currency and multi-language**</w:t>
      </w:r>
      <w:r>
        <w:rPr>
          <w:rFonts w:ascii="Calibri" w:hAnsi="Calibri"/>
          <w:b w:val="0"/>
          <w:sz w:val="22"/>
        </w:rPr>
        <w:t xml:space="preserve"> — compensation, absence entitlements, and workforce data are managed across currencies and presented in the employee's preferred language.</w:t>
      </w:r>
    </w:p>
    <w:p>
      <w:pPr>
        <w:pStyle w:val="ListBullet"/>
        <w:spacing w:before="20" w:after="20"/>
      </w:pPr>
      <w:r>
        <w:rPr>
          <w:rFonts w:ascii="Calibri" w:hAnsi="Calibri"/>
          <w:sz w:val="22"/>
        </w:rPr>
        <w:t>**Shared services model**</w:t>
      </w:r>
      <w:r>
        <w:rPr>
          <w:rFonts w:ascii="Calibri" w:hAnsi="Calibri"/>
          <w:b w:val="0"/>
          <w:sz w:val="22"/>
        </w:rPr>
        <w:t xml:space="preserve"> — APPSolve's standard delivery approach establishes a central shared services HR structure, enabling HR operations to scale efficiently across multiple business units and entities without duplicating configuration.</w:t>
      </w:r>
    </w:p>
    <w:p>
      <w:pPr>
        <w:pStyle w:val="ListBullet"/>
        <w:spacing w:before="20" w:after="20"/>
      </w:pPr>
      <w:r>
        <w:rPr>
          <w:rFonts w:ascii="Calibri" w:hAnsi="Calibri"/>
          <w:sz w:val="22"/>
        </w:rPr>
        <w:t>**Scalability**</w:t>
      </w:r>
      <w:r>
        <w:rPr>
          <w:rFonts w:ascii="Calibri" w:hAnsi="Calibri"/>
          <w:b w:val="0"/>
          <w:sz w:val="22"/>
        </w:rPr>
        <w:t xml:space="preserve"> — the platform is architected for growth. APPSolve's implementations are designed to accommodate additional countries, legal entities, and modules without rework of the core configuration.</w:t>
      </w:r>
    </w:p>
    <w:p>
      <w:pPr>
        <w:pStyle w:val="Heading5"/>
        <w:keepNext/>
      </w:pPr>
      <w:r>
        <w:rPr>
          <w:rFonts w:ascii="Calibri" w:hAnsi="Calibri"/>
          <w:b w:val="0"/>
          <w:sz w:val="22"/>
        </w:rPr>
        <w:t>2.3 Oracle Integration Cloud Alignment</w:t>
      </w:r>
    </w:p>
    <w:p>
      <w:pPr/>
      <w:r>
        <w:rPr>
          <w:rFonts w:ascii="Calibri" w:hAnsi="Calibri"/>
          <w:b w:val="0"/>
          <w:sz w:val="22"/>
        </w:rPr>
        <w:t xml:space="preserve">Oracle Integration Cloud (OIC) is APPSolve's </w:t>
      </w:r>
      <w:r>
        <w:rPr>
          <w:rFonts w:ascii="Calibri" w:hAnsi="Calibri"/>
          <w:sz w:val="22"/>
        </w:rPr>
        <w:t>**mandatory standard integration layer in every Oracle Fusion HCM implementation**</w:t>
      </w:r>
      <w:r>
        <w:rPr>
          <w:rFonts w:ascii="Calibri" w:hAnsi="Calibri"/>
          <w:b w:val="0"/>
          <w:sz w:val="22"/>
        </w:rPr>
        <w:t>. OIC provides the integration fabric between Oracle Fusion HCM and the client's payroll system, identity provider, biometric infrastructure, ERP, and third-party HR platforms. No Oracle Fusion HCM implementation delivered by APPSolve operates in isolation — OIC is present in every engagement to ensure data integrity, process automation, and system interoperability.</w:t>
      </w:r>
    </w:p>
    <w:p>
      <w:pPr/>
      <w:r>
        <w:rPr>
          <w:rFonts w:ascii="Calibri" w:hAnsi="Calibri"/>
          <w:b w:val="0"/>
          <w:sz w:val="22"/>
        </w:rPr>
        <w:t>APPSolve holds a published OPN expertise certification in Oracle Integration, reflecting the depth of the team's OIC design and implementation capability.</w:t>
      </w:r>
    </w:p>
    <w:p>
      <w:pPr>
        <w:pBdr>
          <w:bottom w:val="single" w:sz="4" w:space="1" w:color="CCCCCC"/>
        </w:pBdr>
        <w:spacing w:before="80" w:after="80"/>
      </w:pPr>
    </w:p>
    <w:p>
      <w:pPr>
        <w:pStyle w:val="Heading4"/>
        <w:keepNext/>
      </w:pPr>
      <w:r>
        <w:rPr>
          <w:rFonts w:ascii="Calibri" w:hAnsi="Calibri"/>
          <w:b w:val="0"/>
          <w:sz w:val="22"/>
        </w:rPr>
        <w:t>Section 3 — Core HR and Organisational Management</w:t>
      </w:r>
    </w:p>
    <w:p>
      <w:pPr>
        <w:pStyle w:val="Heading5"/>
        <w:keepNext/>
      </w:pPr>
      <w:r>
        <w:rPr>
          <w:rFonts w:ascii="Calibri" w:hAnsi="Calibri"/>
          <w:b w:val="0"/>
          <w:sz w:val="22"/>
        </w:rPr>
        <w:t>3.1 Worker Lifecycle Management</w:t>
      </w:r>
    </w:p>
    <w:p>
      <w:pPr/>
      <w:r>
        <w:rPr>
          <w:rFonts w:ascii="Calibri" w:hAnsi="Calibri"/>
          <w:b w:val="0"/>
          <w:sz w:val="22"/>
        </w:rPr>
        <w:t>APPSolve implements the Oracle Fusion HCM Global HR module to manage the complete worker lifecycle — from hire through to termination and rehire. The hire-to-retire process encompasses:</w:t>
      </w:r>
    </w:p>
    <w:p>
      <w:pPr>
        <w:pStyle w:val="ListBullet"/>
        <w:spacing w:before="20" w:after="20"/>
      </w:pPr>
      <w:r>
        <w:rPr>
          <w:rFonts w:ascii="Calibri" w:hAnsi="Calibri"/>
          <w:sz w:val="22"/>
        </w:rPr>
        <w:t>**Person records**</w:t>
      </w:r>
      <w:r>
        <w:rPr>
          <w:rFonts w:ascii="Calibri" w:hAnsi="Calibri"/>
          <w:b w:val="0"/>
          <w:sz w:val="22"/>
        </w:rPr>
        <w:t xml:space="preserve"> — legal name, identity documents, contact information, emergency contacts, and personal attributes configured per client requirements and legislative mandate.</w:t>
      </w:r>
    </w:p>
    <w:p>
      <w:pPr>
        <w:pStyle w:val="ListBullet"/>
        <w:spacing w:before="20" w:after="20"/>
      </w:pPr>
      <w:r>
        <w:rPr>
          <w:rFonts w:ascii="Calibri" w:hAnsi="Calibri"/>
          <w:sz w:val="22"/>
        </w:rPr>
        <w:t>**Employment records**</w:t>
      </w:r>
      <w:r>
        <w:rPr>
          <w:rFonts w:ascii="Calibri" w:hAnsi="Calibri"/>
          <w:b w:val="0"/>
          <w:sz w:val="22"/>
        </w:rPr>
        <w:t xml:space="preserve"> — employment start date, assignment classification (employee, contingent worker, non-worker), grade, step, and seniority.</w:t>
      </w:r>
    </w:p>
    <w:p>
      <w:pPr>
        <w:pStyle w:val="ListBullet"/>
        <w:spacing w:before="20" w:after="20"/>
      </w:pPr>
      <w:r>
        <w:rPr>
          <w:rFonts w:ascii="Calibri" w:hAnsi="Calibri"/>
          <w:sz w:val="22"/>
        </w:rPr>
        <w:t>**Work relationships**</w:t>
      </w:r>
      <w:r>
        <w:rPr>
          <w:rFonts w:ascii="Calibri" w:hAnsi="Calibri"/>
          <w:b w:val="0"/>
          <w:sz w:val="22"/>
        </w:rPr>
        <w:t xml:space="preserve"> — primary and secondary assignments; multiple concurrent assignments across legal entities or business units.</w:t>
      </w:r>
    </w:p>
    <w:p>
      <w:pPr>
        <w:pStyle w:val="ListBullet"/>
        <w:spacing w:before="20" w:after="20"/>
      </w:pPr>
      <w:r>
        <w:rPr>
          <w:rFonts w:ascii="Calibri" w:hAnsi="Calibri"/>
          <w:sz w:val="22"/>
        </w:rPr>
        <w:t>**Job and position management**</w:t>
      </w:r>
      <w:r>
        <w:rPr>
          <w:rFonts w:ascii="Calibri" w:hAnsi="Calibri"/>
          <w:b w:val="0"/>
          <w:sz w:val="22"/>
        </w:rPr>
        <w:t xml:space="preserve"> — APPSolve configures job profiles defining the responsibilities, required qualifications, and skill requirements for each role. Position management enables headcount tracking and FTE visibility across the organisational hierarchy.</w:t>
      </w:r>
    </w:p>
    <w:p>
      <w:pPr>
        <w:pStyle w:val="ListBullet"/>
        <w:spacing w:before="20" w:after="20"/>
      </w:pPr>
      <w:r>
        <w:rPr>
          <w:rFonts w:ascii="Calibri" w:hAnsi="Calibri"/>
          <w:sz w:val="22"/>
        </w:rPr>
        <w:t>**Termination and offboarding**</w:t>
      </w:r>
      <w:r>
        <w:rPr>
          <w:rFonts w:ascii="Calibri" w:hAnsi="Calibri"/>
          <w:b w:val="0"/>
          <w:sz w:val="22"/>
        </w:rPr>
        <w:t xml:space="preserve"> — structured termination flows; final settlement calculations; exit interview tracking; access revocation triggers for downstream system integration.</w:t>
      </w:r>
    </w:p>
    <w:p>
      <w:pPr>
        <w:pStyle w:val="Heading5"/>
        <w:keepNext/>
      </w:pPr>
      <w:r>
        <w:rPr>
          <w:rFonts w:ascii="Calibri" w:hAnsi="Calibri"/>
          <w:b w:val="0"/>
          <w:sz w:val="22"/>
        </w:rPr>
        <w:t>3.2 Organisational Structures</w:t>
      </w:r>
    </w:p>
    <w:p>
      <w:pPr/>
      <w:r>
        <w:rPr>
          <w:rFonts w:ascii="Calibri" w:hAnsi="Calibri"/>
          <w:b w:val="0"/>
          <w:sz w:val="22"/>
        </w:rPr>
        <w:t>APPSolve designs and configures the full Oracle Fusion HCM organisational model during the foundation phase of every HCM engagement. The organisational model is the architectural backbone of the HCM environment — all subsequent modules, security roles, approval hierarchies, and reporting structures depend on it being correctly established from the outset.</w:t>
      </w:r>
    </w:p>
    <w:p>
      <w:pPr/>
      <w:r>
        <w:rPr>
          <w:rFonts w:ascii="Calibri" w:hAnsi="Calibri"/>
          <w:sz w:val="22"/>
        </w:rPr>
        <w:t>**Organisational components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Function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Data Group (LDG)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Defines the legislative and payroll processing boundary for each jurisdiction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Unit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primary organisational unit for HR and financial processes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Legal Employer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legal entity employing workers; mapped to company registration and tax reference numbers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Department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Operational grouping within a Business Unit; used for reporting, cost allocation, and approval routing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Division and Region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Optional grouping layers for reporting and operational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Cost Centres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 to departments and positions for financial reporting integration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Locations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Physical or virtual work locations; used for scheduling, absence, and compliance reporting</w:t>
            </w:r>
          </w:p>
        </w:tc>
      </w:tr>
    </w:tbl>
    <w:p>
      <w:pPr>
        <w:spacing w:before="0" w:after="120"/>
      </w:pPr>
    </w:p>
    <w:p>
      <w:pPr/>
      <w:r>
        <w:rPr>
          <w:rFonts w:ascii="Calibri" w:hAnsi="Calibri"/>
          <w:b w:val="0"/>
          <w:sz w:val="22"/>
        </w:rPr>
        <w:t>APPSolve's best-practice approach is to design the organisational model in the Journey Workshop phase, validate it through a Conference Room Pilot (CRP), and lock it down before configuring any other module — preventing the rework that arises when organisational design decisions are made mid-implementation.</w:t>
      </w:r>
    </w:p>
    <w:p>
      <w:pPr>
        <w:pStyle w:val="Heading5"/>
        <w:keepNext/>
      </w:pPr>
      <w:r>
        <w:rPr>
          <w:rFonts w:ascii="Calibri" w:hAnsi="Calibri"/>
          <w:b w:val="0"/>
          <w:sz w:val="22"/>
        </w:rPr>
        <w:t>3.3 Position Management</w:t>
      </w:r>
    </w:p>
    <w:p>
      <w:pPr/>
      <w:r>
        <w:rPr>
          <w:rFonts w:ascii="Calibri" w:hAnsi="Calibri"/>
          <w:b w:val="0"/>
          <w:sz w:val="22"/>
        </w:rPr>
        <w:t>APPSolve implements Oracle Fusion HCM position management to provide clients with continuous visibility of headcount, vacancies, and FTE against approved establishment. Position management connects HR operations to financial planning by linking position costs to the client's cost centre and budget structure.</w:t>
      </w:r>
    </w:p>
    <w:p>
      <w:pPr/>
      <w:r>
        <w:rPr>
          <w:rFonts w:ascii="Calibri" w:hAnsi="Calibri"/>
          <w:sz w:val="22"/>
        </w:rPr>
        <w:t>**Capabilities APPSolve configures within position management:**</w:t>
      </w:r>
    </w:p>
    <w:p>
      <w:pPr>
        <w:pStyle w:val="ListBullet"/>
        <w:spacing w:before="20" w:after="20"/>
      </w:pPr>
      <w:r>
        <w:rPr>
          <w:rFonts w:ascii="Calibri" w:hAnsi="Calibri"/>
          <w:b w:val="0"/>
          <w:sz w:val="22"/>
        </w:rPr>
        <w:t>Position hierarchies aligned to reporting lines and approval workflows</w:t>
      </w:r>
    </w:p>
    <w:p>
      <w:pPr>
        <w:pStyle w:val="ListBullet"/>
        <w:spacing w:before="20" w:after="20"/>
      </w:pPr>
      <w:r>
        <w:rPr>
          <w:rFonts w:ascii="Calibri" w:hAnsi="Calibri"/>
          <w:b w:val="0"/>
          <w:sz w:val="22"/>
        </w:rPr>
        <w:t>Position budgets linked to GL cost centres</w:t>
      </w:r>
    </w:p>
    <w:p>
      <w:pPr>
        <w:pStyle w:val="ListBullet"/>
        <w:spacing w:before="20" w:after="20"/>
      </w:pPr>
      <w:r>
        <w:rPr>
          <w:rFonts w:ascii="Calibri" w:hAnsi="Calibri"/>
          <w:b w:val="0"/>
          <w:sz w:val="22"/>
        </w:rPr>
        <w:t>FTE tracking and vacancy management</w:t>
      </w:r>
    </w:p>
    <w:p>
      <w:pPr>
        <w:pStyle w:val="ListBullet"/>
        <w:spacing w:before="20" w:after="20"/>
      </w:pPr>
      <w:r>
        <w:rPr>
          <w:rFonts w:ascii="Calibri" w:hAnsi="Calibri"/>
          <w:b w:val="0"/>
          <w:sz w:val="22"/>
        </w:rPr>
        <w:t>Position-based security — role-based access control follows the position hierarchy</w:t>
      </w:r>
    </w:p>
    <w:p>
      <w:pPr>
        <w:pStyle w:val="ListBullet"/>
        <w:spacing w:before="20" w:after="20"/>
      </w:pPr>
      <w:r>
        <w:rPr>
          <w:rFonts w:ascii="Calibri" w:hAnsi="Calibri"/>
          <w:b w:val="0"/>
          <w:sz w:val="22"/>
        </w:rPr>
        <w:t>Requisition triggering — position vacancies trigger recruiting workflows in Oracle Recruiting Cloud</w:t>
      </w:r>
    </w:p>
    <w:p>
      <w:pPr>
        <w:pStyle w:val="Heading5"/>
        <w:keepNext/>
      </w:pPr>
      <w:r>
        <w:rPr>
          <w:rFonts w:ascii="Calibri" w:hAnsi="Calibri"/>
          <w:b w:val="0"/>
          <w:sz w:val="22"/>
        </w:rPr>
        <w:t>3.4 Workforce Records and Document Management</w:t>
      </w:r>
    </w:p>
    <w:p>
      <w:pPr/>
      <w:r>
        <w:rPr>
          <w:rFonts w:ascii="Calibri" w:hAnsi="Calibri"/>
          <w:b w:val="0"/>
          <w:sz w:val="22"/>
        </w:rPr>
        <w:t>APPSolve configures Oracle Fusion HCM to store and manage workforce records in line with POPIA requirements and the client's document retention policy. Worker documents — employment contracts, qualification certificates, disciplinary records, ID copies, and tax forms — are stored against the worker record with version control and access auditing. Document expiry alerts can be configured to notify HR administrators of pending expiries for certificates, work permits, or licences.</w:t>
      </w:r>
    </w:p>
    <w:p>
      <w:pPr>
        <w:pBdr>
          <w:bottom w:val="single" w:sz="4" w:space="1" w:color="CCCCCC"/>
        </w:pBdr>
        <w:spacing w:before="80" w:after="80"/>
      </w:pPr>
    </w:p>
    <w:p>
      <w:pPr>
        <w:pStyle w:val="Heading4"/>
        <w:keepNext/>
      </w:pPr>
      <w:r>
        <w:rPr>
          <w:rFonts w:ascii="Calibri" w:hAnsi="Calibri"/>
          <w:b w:val="0"/>
          <w:sz w:val="22"/>
        </w:rPr>
        <w:t>Section 4 — Absence Management</w:t>
      </w:r>
    </w:p>
    <w:p>
      <w:pPr/>
      <w:r>
        <w:rPr>
          <w:rFonts w:ascii="Calibri" w:hAnsi="Calibri"/>
          <w:b w:val="0"/>
          <w:sz w:val="22"/>
        </w:rPr>
        <w:t>APPSolve implements Oracle Fusion HCM Absence Management as an integrated component of the Core HR foundation phase. Absence Management is one of the most frequently used HCM capabilities by employees and managers from day one — APPSolve therefore treats it as a priority deliverable within the Core HR phase rather than a separate subsequent implementation.</w:t>
      </w:r>
    </w:p>
    <w:p>
      <w:pPr>
        <w:pStyle w:val="Heading5"/>
        <w:keepNext/>
      </w:pPr>
      <w:r>
        <w:rPr>
          <w:rFonts w:ascii="Calibri" w:hAnsi="Calibri"/>
          <w:b w:val="0"/>
          <w:sz w:val="22"/>
        </w:rPr>
        <w:t>4.1 Absence Plan Configuration</w:t>
      </w:r>
    </w:p>
    <w:p>
      <w:pPr/>
      <w:r>
        <w:rPr>
          <w:rFonts w:ascii="Calibri" w:hAnsi="Calibri"/>
          <w:b w:val="0"/>
          <w:sz w:val="22"/>
        </w:rPr>
        <w:t>APPSolve designs and configures absence plans to reflect the client's leave policy and South African legislative requirements (the Basic Conditions of Employment Act and sector-specific legislation). Configurable elements include: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 options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types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Annual, sick, family responsibility, study, maternity, paternity, unpaid, special leave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Accrual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Calendar year, anniversary, or employment date basis; daily or hourly accrual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Entitlement rules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entitlement; length-of-service scaling; employment category differentiation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Carry-over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Maximum carry-over; expiry of unused leave; payment in lieu</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workflows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 approval; HR override; automatic approval for short-duration absence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Negative balance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Permitted negative balance rules; recovery mechanisms</w:t>
            </w:r>
          </w:p>
        </w:tc>
      </w:tr>
    </w:tbl>
    <w:p>
      <w:pPr>
        <w:spacing w:before="0" w:after="120"/>
      </w:pPr>
    </w:p>
    <w:p>
      <w:pPr>
        <w:pStyle w:val="Heading5"/>
        <w:keepNext/>
      </w:pPr>
      <w:r>
        <w:rPr>
          <w:rFonts w:ascii="Calibri" w:hAnsi="Calibri"/>
          <w:b w:val="0"/>
          <w:sz w:val="22"/>
        </w:rPr>
        <w:t>4.2 Legislative Compliance</w:t>
      </w:r>
    </w:p>
    <w:p>
      <w:pPr/>
      <w:r>
        <w:rPr>
          <w:rFonts w:ascii="Calibri" w:hAnsi="Calibri"/>
          <w:b w:val="0"/>
          <w:sz w:val="22"/>
        </w:rPr>
        <w:t>APPSolve configures South African legislative leave requirements as the baseline for all implementations, with additional legislative configurations applied for multi-country deployments. BCEA minimum entitlements are configured as non-negotiable floor values; client policy entitlements layer on top.</w:t>
      </w:r>
    </w:p>
    <w:p>
      <w:pPr>
        <w:pStyle w:val="Heading5"/>
        <w:keepNext/>
      </w:pPr>
      <w:r>
        <w:rPr>
          <w:rFonts w:ascii="Calibri" w:hAnsi="Calibri"/>
          <w:b w:val="0"/>
          <w:sz w:val="22"/>
        </w:rPr>
        <w:t>4.3 Absence and Payroll Integration</w:t>
      </w:r>
    </w:p>
    <w:p>
      <w:pPr/>
      <w:r>
        <w:rPr>
          <w:rFonts w:ascii="Calibri" w:hAnsi="Calibri"/>
          <w:b w:val="0"/>
          <w:sz w:val="22"/>
        </w:rPr>
        <w:t>When Oracle Fusion HCM is integrated with a payroll system — either Oracle Payroll Cloud or a third-party payroll solution — APPSolve configures the absence-to-payroll integration to ensure leave pay, unpaid deductions, and absence recovery amounts are transmitted accurately to payroll at the end of each pay period. This integration is delivered via OIC (Oracle Integration Cloud) or HCM Extracts, depending on the payroll system in scope.</w:t>
      </w:r>
    </w:p>
    <w:p>
      <w:pPr>
        <w:pStyle w:val="Heading5"/>
        <w:keepNext/>
      </w:pPr>
      <w:r>
        <w:rPr>
          <w:rFonts w:ascii="Calibri" w:hAnsi="Calibri"/>
          <w:b w:val="0"/>
          <w:sz w:val="22"/>
        </w:rPr>
        <w:t>4.4 Manager and Employee Self-Service for Absence</w:t>
      </w:r>
    </w:p>
    <w:p>
      <w:pPr/>
      <w:r>
        <w:rPr>
          <w:rFonts w:ascii="Calibri" w:hAnsi="Calibri"/>
          <w:b w:val="0"/>
          <w:sz w:val="22"/>
        </w:rPr>
        <w:t>Absence management is exposed to employees and managers through the Oracle Fusion HCM self-service portal. Employees submit leave requests; managers review team calendars, approve or decline requests, and receive notifications of absence conflicts. HR administrators have real-time visibility of absence across all teams and can generate BCEA-compliant absence reports at any time.</w:t>
      </w:r>
    </w:p>
    <w:p>
      <w:pPr>
        <w:pBdr>
          <w:bottom w:val="single" w:sz="4" w:space="1" w:color="CCCCCC"/>
        </w:pBdr>
        <w:spacing w:before="80" w:after="80"/>
      </w:pPr>
    </w:p>
    <w:p>
      <w:pPr>
        <w:pStyle w:val="Heading4"/>
        <w:keepNext/>
      </w:pPr>
      <w:r>
        <w:rPr>
          <w:rFonts w:ascii="Calibri" w:hAnsi="Calibri"/>
          <w:b w:val="0"/>
          <w:sz w:val="22"/>
        </w:rPr>
        <w:t>Section 5 — Employee Self-Service and Journeys</w:t>
      </w:r>
    </w:p>
    <w:p>
      <w:pPr>
        <w:pStyle w:val="Heading5"/>
        <w:keepNext/>
      </w:pPr>
      <w:r>
        <w:rPr>
          <w:rFonts w:ascii="Calibri" w:hAnsi="Calibri"/>
          <w:b w:val="0"/>
          <w:sz w:val="22"/>
        </w:rPr>
        <w:t>5.1 Employee Self-Service</w:t>
      </w:r>
    </w:p>
    <w:p>
      <w:pPr/>
      <w:r>
        <w:rPr>
          <w:rFonts w:ascii="Calibri" w:hAnsi="Calibri"/>
          <w:b w:val="0"/>
          <w:sz w:val="22"/>
        </w:rPr>
        <w:t>APPSolve configures the Oracle Fusion HCM self-service portal as a central touchpoint for employees to access and manage their employment information without HR intervention. The self-service capability reduces administrative burden on the HR function, improves data accuracy, and enhances the employee experience.</w:t>
      </w:r>
    </w:p>
    <w:p>
      <w:pPr/>
      <w:r>
        <w:rPr>
          <w:rFonts w:ascii="Calibri" w:hAnsi="Calibri"/>
          <w:sz w:val="22"/>
        </w:rPr>
        <w:t>**Self-service capabilities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Personal information maintenance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Name, contact details, address, emergency contacts, banking details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viewing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Payslips (where payroll in scope), tax certificates, employment confirmations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Submit, view, and withdraw absence requests; view leave balances and history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and labour (where in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Timecard submission; overtime requests; time balance enquiries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Benefit enrolment (where in scope)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Life events triggered benefit elections; open enrolment periods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Directory and org chart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Search colleagues; view organisational structure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Team management (managers)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team's personal information; action manager self-service tasks</w:t>
            </w:r>
          </w:p>
        </w:tc>
      </w:tr>
    </w:tbl>
    <w:p>
      <w:pPr>
        <w:spacing w:before="0" w:after="120"/>
      </w:pPr>
    </w:p>
    <w:p>
      <w:pPr/>
      <w:r>
        <w:rPr>
          <w:rFonts w:ascii="Calibri" w:hAnsi="Calibri"/>
          <w:b w:val="0"/>
          <w:sz w:val="22"/>
        </w:rPr>
        <w:t>The self-service portal is mobile-responsive, enabling employees to access HR services from any device without requiring a dedicated mobile application.</w:t>
      </w:r>
    </w:p>
    <w:p>
      <w:pPr>
        <w:pStyle w:val="Heading5"/>
        <w:keepNext/>
      </w:pPr>
      <w:r>
        <w:rPr>
          <w:rFonts w:ascii="Calibri" w:hAnsi="Calibri"/>
          <w:b w:val="0"/>
          <w:sz w:val="22"/>
        </w:rPr>
        <w:t>5.2 Oracle HCM Journeys</w:t>
      </w:r>
    </w:p>
    <w:p>
      <w:pPr/>
      <w:r>
        <w:rPr>
          <w:rFonts w:ascii="Calibri" w:hAnsi="Calibri"/>
          <w:b w:val="0"/>
          <w:sz w:val="22"/>
        </w:rPr>
        <w:t>APPSolve configures and enables Oracle HCM Journeys to guide employees and managers through multi-step HR processes as structured, checklist-driven workflows. A Journey is a personalised, role-based digital guide that ensures every step of an HR process is completed, by the right person, in the right sequence.</w:t>
      </w:r>
    </w:p>
    <w:p>
      <w:pPr/>
      <w:r>
        <w:rPr>
          <w:rFonts w:ascii="Calibri" w:hAnsi="Calibri"/>
          <w:sz w:val="22"/>
        </w:rPr>
        <w:t>**Journeys APPSolve configures and enables:**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Journey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Purpose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journey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Guides new hires through pre-employment tasks, document submission, and system access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Offboarding journey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Orchestrates exit clearance, document return, access revocation, and final settlement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Life event journeys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Triggers benefit and record updates for marriage, new child, address change, relocation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Promotion and transfer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Guides managers and HR through approval steps, compensation review, and communication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review</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Structures goal-setting, mid-year check-in, and year-end review sequences</w:t>
            </w:r>
          </w:p>
        </w:tc>
      </w:tr>
    </w:tbl>
    <w:p>
      <w:pPr>
        <w:spacing w:before="0" w:after="120"/>
      </w:pPr>
    </w:p>
    <w:p>
      <w:pPr/>
      <w:r>
        <w:rPr>
          <w:rFonts w:ascii="Calibri" w:hAnsi="Calibri"/>
          <w:b w:val="0"/>
          <w:sz w:val="22"/>
        </w:rPr>
        <w:t>Journeys reduce HR error rates, ensure compliance with internal process requirements, and provide a consistent employee experience regardless of which HR representative handles the transaction.</w:t>
      </w:r>
    </w:p>
    <w:p>
      <w:pPr>
        <w:pStyle w:val="Heading5"/>
        <w:keepNext/>
      </w:pPr>
      <w:r>
        <w:rPr>
          <w:rFonts w:ascii="Calibri" w:hAnsi="Calibri"/>
          <w:b w:val="0"/>
          <w:sz w:val="22"/>
        </w:rPr>
        <w:t>5.3 Manager Self-Service</w:t>
      </w:r>
    </w:p>
    <w:p>
      <w:pPr/>
      <w:r>
        <w:rPr>
          <w:rFonts w:ascii="Calibri" w:hAnsi="Calibri"/>
          <w:b w:val="0"/>
          <w:sz w:val="22"/>
        </w:rPr>
        <w:t>APPSolve configures Oracle Fusion HCM manager self-service to provide line managers with direct access to HR actions within their span of control, reducing dependency on HR teams for routine transactions:</w:t>
      </w:r>
    </w:p>
    <w:p>
      <w:pPr>
        <w:pStyle w:val="ListBullet"/>
        <w:spacing w:before="20" w:after="20"/>
      </w:pPr>
      <w:r>
        <w:rPr>
          <w:rFonts w:ascii="Calibri" w:hAnsi="Calibri"/>
          <w:b w:val="0"/>
          <w:sz w:val="22"/>
        </w:rPr>
        <w:t>Approve absence, overtime, and time entries</w:t>
      </w:r>
    </w:p>
    <w:p>
      <w:pPr>
        <w:pStyle w:val="ListBullet"/>
        <w:spacing w:before="20" w:after="20"/>
      </w:pPr>
      <w:r>
        <w:rPr>
          <w:rFonts w:ascii="Calibri" w:hAnsi="Calibri"/>
          <w:b w:val="0"/>
          <w:sz w:val="22"/>
        </w:rPr>
        <w:t>Initiate transfers, promotions, and grade changes</w:t>
      </w:r>
    </w:p>
    <w:p>
      <w:pPr>
        <w:pStyle w:val="ListBullet"/>
        <w:spacing w:before="20" w:after="20"/>
      </w:pPr>
      <w:r>
        <w:rPr>
          <w:rFonts w:ascii="Calibri" w:hAnsi="Calibri"/>
          <w:b w:val="0"/>
          <w:sz w:val="22"/>
        </w:rPr>
        <w:t>View team absence calendars and headcount</w:t>
      </w:r>
    </w:p>
    <w:p>
      <w:pPr>
        <w:pStyle w:val="ListBullet"/>
        <w:spacing w:before="20" w:after="20"/>
      </w:pPr>
      <w:r>
        <w:rPr>
          <w:rFonts w:ascii="Calibri" w:hAnsi="Calibri"/>
          <w:b w:val="0"/>
          <w:sz w:val="22"/>
        </w:rPr>
        <w:t>Access team performance and goal dashboards</w:t>
      </w:r>
    </w:p>
    <w:p>
      <w:pPr>
        <w:pStyle w:val="ListBullet"/>
        <w:spacing w:before="20" w:after="20"/>
      </w:pPr>
      <w:r>
        <w:rPr>
          <w:rFonts w:ascii="Calibri" w:hAnsi="Calibri"/>
          <w:b w:val="0"/>
          <w:sz w:val="22"/>
        </w:rPr>
        <w:t>Manage position vacancies and raise recruiting requisitions</w:t>
      </w:r>
    </w:p>
    <w:p>
      <w:pPr>
        <w:pBdr>
          <w:bottom w:val="single" w:sz="4" w:space="1" w:color="CCCCCC"/>
        </w:pBdr>
        <w:spacing w:before="80" w:after="80"/>
      </w:pPr>
    </w:p>
    <w:p>
      <w:pPr>
        <w:pStyle w:val="Heading4"/>
        <w:keepNext/>
      </w:pPr>
      <w:r>
        <w:rPr>
          <w:rFonts w:ascii="Calibri" w:hAnsi="Calibri"/>
          <w:b w:val="0"/>
          <w:sz w:val="22"/>
        </w:rPr>
        <w:t>Section 6 — Skills, Talent Intelligence and Workforce Capability</w:t>
      </w:r>
    </w:p>
    <w:p>
      <w:pPr>
        <w:pStyle w:val="Heading5"/>
        <w:keepNext/>
      </w:pPr>
      <w:r>
        <w:rPr>
          <w:rFonts w:ascii="Calibri" w:hAnsi="Calibri"/>
          <w:b w:val="0"/>
          <w:sz w:val="22"/>
        </w:rPr>
        <w:t>6.1 Skills Framework</w:t>
      </w:r>
    </w:p>
    <w:p>
      <w:pPr/>
      <w:r>
        <w:rPr>
          <w:rFonts w:ascii="Calibri" w:hAnsi="Calibri"/>
          <w:b w:val="0"/>
          <w:sz w:val="22"/>
        </w:rPr>
        <w:t>APPSolve implements Oracle Fusion HCM's skills and competency framework to provide clients with a structured, consistent view of workforce capability. The skills framework underpins talent management, recruiting, learning, succession, and workforce planning — making it a foundational investment in the Core HR phase.</w:t>
      </w:r>
    </w:p>
    <w:p>
      <w:pPr/>
      <w:r>
        <w:rPr>
          <w:rFonts w:ascii="Calibri" w:hAnsi="Calibri"/>
          <w:sz w:val="22"/>
        </w:rPr>
        <w:t>**Skills framework components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the responsibilities, required qualifications, mandatory competencies, and preferred skills for each position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Competency frameworks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competency libraries aligned to the client's performance and development model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 tags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Lightweight, AI-searchable skill labels assignable to workers and job profiles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Proficiency levels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proficiency scales (e.g., Awareness → Practitioner → Expert)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Worker skill records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Employee-owned skill profiles; self-declared and manager-validated competencies</w:t>
            </w:r>
          </w:p>
        </w:tc>
      </w:tr>
    </w:tbl>
    <w:p>
      <w:pPr>
        <w:spacing w:before="0" w:after="120"/>
      </w:pPr>
    </w:p>
    <w:p>
      <w:pPr/>
      <w:r>
        <w:rPr>
          <w:rFonts w:ascii="Calibri" w:hAnsi="Calibri"/>
          <w:b w:val="0"/>
          <w:sz w:val="22"/>
        </w:rPr>
        <w:t>The skills framework is designed in close collaboration with the client's HR and talent leadership to ensure it reflects actual business requirements rather than generic Oracle defaults.</w:t>
      </w:r>
    </w:p>
    <w:p>
      <w:pPr>
        <w:pStyle w:val="Heading5"/>
        <w:keepNext/>
      </w:pPr>
      <w:r>
        <w:rPr>
          <w:rFonts w:ascii="Calibri" w:hAnsi="Calibri"/>
          <w:b w:val="0"/>
          <w:sz w:val="22"/>
        </w:rPr>
        <w:t>6.2 Talent Intelligence</w:t>
      </w:r>
    </w:p>
    <w:p>
      <w:pPr/>
      <w:r>
        <w:rPr>
          <w:rFonts w:ascii="Calibri" w:hAnsi="Calibri"/>
          <w:b w:val="0"/>
          <w:sz w:val="22"/>
        </w:rPr>
        <w:t>Oracle Fusion HCM provides embedded talent intelligence capabilities that APPSolve configures and activates to give HR leaders and managers actionable workforce insights:</w:t>
      </w:r>
    </w:p>
    <w:p>
      <w:pPr>
        <w:pStyle w:val="ListBullet"/>
        <w:spacing w:before="20" w:after="20"/>
      </w:pPr>
      <w:r>
        <w:rPr>
          <w:rFonts w:ascii="Calibri" w:hAnsi="Calibri"/>
          <w:sz w:val="22"/>
        </w:rPr>
        <w:t>**Skills gap analysis**</w:t>
      </w:r>
      <w:r>
        <w:rPr>
          <w:rFonts w:ascii="Calibri" w:hAnsi="Calibri"/>
          <w:b w:val="0"/>
          <w:sz w:val="22"/>
        </w:rPr>
        <w:t xml:space="preserve"> — identifies mismatches between current workforce skills and the skills required for target roles or business objectives</w:t>
      </w:r>
    </w:p>
    <w:p>
      <w:pPr>
        <w:pStyle w:val="ListBullet"/>
        <w:spacing w:before="20" w:after="20"/>
      </w:pPr>
      <w:r>
        <w:rPr>
          <w:rFonts w:ascii="Calibri" w:hAnsi="Calibri"/>
          <w:sz w:val="22"/>
        </w:rPr>
        <w:t>**Internal talent matching**</w:t>
      </w:r>
      <w:r>
        <w:rPr>
          <w:rFonts w:ascii="Calibri" w:hAnsi="Calibri"/>
          <w:b w:val="0"/>
          <w:sz w:val="22"/>
        </w:rPr>
        <w:t xml:space="preserve"> — surfaces employees whose profiles closely match open positions or development opportunities</w:t>
      </w:r>
    </w:p>
    <w:p>
      <w:pPr>
        <w:pStyle w:val="ListBullet"/>
        <w:spacing w:before="20" w:after="20"/>
      </w:pPr>
      <w:r>
        <w:rPr>
          <w:rFonts w:ascii="Calibri" w:hAnsi="Calibri"/>
          <w:sz w:val="22"/>
        </w:rPr>
        <w:t>**Workforce composition analytics**</w:t>
      </w:r>
      <w:r>
        <w:rPr>
          <w:rFonts w:ascii="Calibri" w:hAnsi="Calibri"/>
          <w:b w:val="0"/>
          <w:sz w:val="22"/>
        </w:rPr>
        <w:t xml:space="preserve"> — gender, seniority, tenure, and skills distribution across the organisation</w:t>
      </w:r>
    </w:p>
    <w:p>
      <w:pPr>
        <w:pStyle w:val="ListBullet"/>
        <w:spacing w:before="20" w:after="20"/>
      </w:pPr>
      <w:r>
        <w:rPr>
          <w:rFonts w:ascii="Calibri" w:hAnsi="Calibri"/>
          <w:sz w:val="22"/>
        </w:rPr>
        <w:t>**Attrition risk indicators**</w:t>
      </w:r>
      <w:r>
        <w:rPr>
          <w:rFonts w:ascii="Calibri" w:hAnsi="Calibri"/>
          <w:b w:val="0"/>
          <w:sz w:val="22"/>
        </w:rPr>
        <w:t xml:space="preserve"> — identifies employees showing indicators associated with flight risk, enabling proactive retention action</w:t>
      </w:r>
    </w:p>
    <w:p>
      <w:pPr>
        <w:pStyle w:val="Heading5"/>
        <w:keepNext/>
      </w:pPr>
      <w:r>
        <w:rPr>
          <w:rFonts w:ascii="Calibri" w:hAnsi="Calibri"/>
          <w:b w:val="0"/>
          <w:sz w:val="22"/>
        </w:rPr>
        <w:t>6.3 Workforce Capability Visibility</w:t>
      </w:r>
    </w:p>
    <w:p>
      <w:pPr/>
      <w:r>
        <w:rPr>
          <w:rFonts w:ascii="Calibri" w:hAnsi="Calibri"/>
          <w:b w:val="0"/>
          <w:sz w:val="22"/>
        </w:rPr>
        <w:t>APPSolve configures Oracle Fusion HCM to provide HR, talent, and business leaders with a real-time view of workforce capability across the organisation:</w:t>
      </w:r>
    </w:p>
    <w:p>
      <w:pPr>
        <w:pStyle w:val="ListBullet"/>
        <w:spacing w:before="20" w:after="20"/>
      </w:pPr>
      <w:r>
        <w:rPr>
          <w:rFonts w:ascii="Calibri" w:hAnsi="Calibri"/>
          <w:b w:val="0"/>
          <w:sz w:val="22"/>
        </w:rPr>
        <w:t>Skill inventory reports showing coverage and depth per capability domain</w:t>
      </w:r>
    </w:p>
    <w:p>
      <w:pPr>
        <w:pStyle w:val="ListBullet"/>
        <w:spacing w:before="20" w:after="20"/>
      </w:pPr>
      <w:r>
        <w:rPr>
          <w:rFonts w:ascii="Calibri" w:hAnsi="Calibri"/>
          <w:b w:val="0"/>
          <w:sz w:val="22"/>
        </w:rPr>
        <w:t>Headcount and FTE by skill cluster or competency group</w:t>
      </w:r>
    </w:p>
    <w:p>
      <w:pPr>
        <w:pStyle w:val="ListBullet"/>
        <w:spacing w:before="20" w:after="20"/>
      </w:pPr>
      <w:r>
        <w:rPr>
          <w:rFonts w:ascii="Calibri" w:hAnsi="Calibri"/>
          <w:b w:val="0"/>
          <w:sz w:val="22"/>
        </w:rPr>
        <w:t>Bench strength assessments for critical roles</w:t>
      </w:r>
    </w:p>
    <w:p>
      <w:pPr>
        <w:pStyle w:val="ListBullet"/>
        <w:spacing w:before="20" w:after="20"/>
      </w:pPr>
      <w:r>
        <w:rPr>
          <w:rFonts w:ascii="Calibri" w:hAnsi="Calibri"/>
          <w:b w:val="0"/>
          <w:sz w:val="22"/>
        </w:rPr>
        <w:t>Capability gap reporting aligned to strategic workforce plans</w:t>
      </w:r>
    </w:p>
    <w:p>
      <w:pPr>
        <w:pStyle w:val="Heading5"/>
        <w:keepNext/>
      </w:pPr>
      <w:r>
        <w:rPr>
          <w:rFonts w:ascii="Calibri" w:hAnsi="Calibri"/>
          <w:b w:val="0"/>
          <w:sz w:val="22"/>
        </w:rPr>
        <w:t>6.4 Career Mobility</w:t>
      </w:r>
    </w:p>
    <w:p>
      <w:pPr/>
      <w:r>
        <w:rPr>
          <w:rFonts w:ascii="Calibri" w:hAnsi="Calibri"/>
          <w:b w:val="0"/>
          <w:sz w:val="22"/>
        </w:rPr>
        <w:t>APPSolve implements Oracle Fusion HCM career mobility features to support internal talent retention and development:</w:t>
      </w:r>
    </w:p>
    <w:p>
      <w:pPr>
        <w:pStyle w:val="ListBullet"/>
        <w:spacing w:before="20" w:after="20"/>
      </w:pPr>
      <w:r>
        <w:rPr>
          <w:rFonts w:ascii="Calibri" w:hAnsi="Calibri"/>
          <w:sz w:val="22"/>
        </w:rPr>
        <w:t>**Career pathways**</w:t>
      </w:r>
      <w:r>
        <w:rPr>
          <w:rFonts w:ascii="Calibri" w:hAnsi="Calibri"/>
          <w:b w:val="0"/>
          <w:sz w:val="22"/>
        </w:rPr>
        <w:t xml:space="preserve"> — configurable career paths showing the typical progression from current role to target roles, with the skills and qualifications required at each stage</w:t>
      </w:r>
    </w:p>
    <w:p>
      <w:pPr>
        <w:pStyle w:val="ListBullet"/>
        <w:spacing w:before="20" w:after="20"/>
      </w:pPr>
      <w:r>
        <w:rPr>
          <w:rFonts w:ascii="Calibri" w:hAnsi="Calibri"/>
          <w:sz w:val="22"/>
        </w:rPr>
        <w:t>**Internal opportunity marketplace**</w:t>
      </w:r>
      <w:r>
        <w:rPr>
          <w:rFonts w:ascii="Calibri" w:hAnsi="Calibri"/>
          <w:b w:val="0"/>
          <w:sz w:val="22"/>
        </w:rPr>
        <w:t xml:space="preserve"> — employees can view and express interest in open positions, project assignments, and development opportunities within the organisation</w:t>
      </w:r>
    </w:p>
    <w:p>
      <w:pPr>
        <w:pStyle w:val="ListBullet"/>
        <w:spacing w:before="20" w:after="20"/>
      </w:pPr>
      <w:r>
        <w:rPr>
          <w:rFonts w:ascii="Calibri" w:hAnsi="Calibri"/>
          <w:sz w:val="22"/>
        </w:rPr>
        <w:t>**Development plans**</w:t>
      </w:r>
      <w:r>
        <w:rPr>
          <w:rFonts w:ascii="Calibri" w:hAnsi="Calibri"/>
          <w:b w:val="0"/>
          <w:sz w:val="22"/>
        </w:rPr>
        <w:t xml:space="preserve"> — structured individual development plans linked to skills gaps, career aspirations, and performance feedback</w:t>
      </w:r>
    </w:p>
    <w:p>
      <w:pPr/>
      <w:r>
        <w:rPr>
          <w:rFonts w:ascii="Calibri" w:hAnsi="Calibri"/>
          <w:sz w:val="22"/>
        </w:rPr>
        <w:t>*For APPSolve's full Opportunity Marketplace (Oracle Talent Management — Internal Mobility) capability statement, see W3S1-002-ORA-TalentMgmt.*</w:t>
      </w:r>
    </w:p>
    <w:p>
      <w:pPr>
        <w:pStyle w:val="Heading5"/>
        <w:keepNext/>
      </w:pPr>
      <w:r>
        <w:rPr>
          <w:rFonts w:ascii="Calibri" w:hAnsi="Calibri"/>
          <w:b w:val="0"/>
          <w:sz w:val="22"/>
        </w:rPr>
        <w:t>6.5 AI-Assisted Capability Features</w:t>
      </w:r>
    </w:p>
    <w:p>
      <w:pPr/>
      <w:r>
        <w:rPr>
          <w:rFonts w:ascii="Calibri" w:hAnsi="Calibri"/>
          <w:b w:val="0"/>
          <w:sz w:val="22"/>
        </w:rPr>
        <w:t>Oracle Fusion HCM incorporates AI-driven capability features that APPSolve activates and configures as part of the skills and talent intelligence setup:</w:t>
      </w:r>
    </w:p>
    <w:p>
      <w:pPr>
        <w:pStyle w:val="ListBullet"/>
        <w:spacing w:before="20" w:after="20"/>
      </w:pPr>
      <w:r>
        <w:rPr>
          <w:rFonts w:ascii="Calibri" w:hAnsi="Calibri"/>
          <w:sz w:val="22"/>
        </w:rPr>
        <w:t>**AI-based skills recommendations**</w:t>
      </w:r>
      <w:r>
        <w:rPr>
          <w:rFonts w:ascii="Calibri" w:hAnsi="Calibri"/>
          <w:b w:val="0"/>
          <w:sz w:val="22"/>
        </w:rPr>
        <w:t xml:space="preserve"> — Oracle's embedded AI analyses the employee's role, learning history, and career path to recommend skills for development</w:t>
      </w:r>
    </w:p>
    <w:p>
      <w:pPr>
        <w:pStyle w:val="ListBullet"/>
        <w:spacing w:before="20" w:after="20"/>
      </w:pPr>
      <w:r>
        <w:rPr>
          <w:rFonts w:ascii="Calibri" w:hAnsi="Calibri"/>
          <w:sz w:val="22"/>
        </w:rPr>
        <w:t>**Dynamic skill profiles**</w:t>
      </w:r>
      <w:r>
        <w:rPr>
          <w:rFonts w:ascii="Calibri" w:hAnsi="Calibri"/>
          <w:b w:val="0"/>
          <w:sz w:val="22"/>
        </w:rPr>
        <w:t xml:space="preserve"> — AI continuously enriches worker skill profiles based on learning completions, project assignments, and performance data</w:t>
      </w:r>
    </w:p>
    <w:p>
      <w:pPr>
        <w:pStyle w:val="ListBullet"/>
        <w:spacing w:before="20" w:after="20"/>
      </w:pPr>
      <w:r>
        <w:rPr>
          <w:rFonts w:ascii="Calibri" w:hAnsi="Calibri"/>
          <w:sz w:val="22"/>
        </w:rPr>
        <w:t>**Job profile optimisation**</w:t>
      </w:r>
      <w:r>
        <w:rPr>
          <w:rFonts w:ascii="Calibri" w:hAnsi="Calibri"/>
          <w:b w:val="0"/>
          <w:sz w:val="22"/>
        </w:rPr>
        <w:t xml:space="preserve"> — AI suggests skill additions or removals to job profiles based on market benchmarks and internal workforce data</w:t>
      </w:r>
    </w:p>
    <w:p>
      <w:pPr/>
      <w:r>
        <w:rPr>
          <w:rFonts w:ascii="Calibri" w:hAnsi="Calibri"/>
          <w:sz w:val="22"/>
        </w:rPr>
        <w:t>*Note: AI feature availability and specific capability is subject to Oracle quarterly release schedule and the client's Oracle SaaS subscription tier. APPSolve advises clients on feature activation timing as part of the release management service.*</w:t>
      </w:r>
    </w:p>
    <w:p>
      <w:pPr>
        <w:pBdr>
          <w:bottom w:val="single" w:sz="4" w:space="1" w:color="CCCCCC"/>
        </w:pBdr>
        <w:spacing w:before="80" w:after="80"/>
      </w:pPr>
    </w:p>
    <w:p>
      <w:pPr>
        <w:pStyle w:val="Heading4"/>
        <w:keepNext/>
      </w:pPr>
      <w:r>
        <w:rPr>
          <w:rFonts w:ascii="Calibri" w:hAnsi="Calibri"/>
          <w:b w:val="0"/>
          <w:sz w:val="22"/>
        </w:rPr>
        <w:t>Section 7 — APPSolve Oracle HCM Delivery Capability</w:t>
      </w:r>
    </w:p>
    <w:p>
      <w:pPr>
        <w:pStyle w:val="Heading5"/>
        <w:keepNext/>
      </w:pPr>
      <w:r>
        <w:rPr>
          <w:rFonts w:ascii="Calibri" w:hAnsi="Calibri"/>
          <w:b w:val="0"/>
          <w:sz w:val="22"/>
        </w:rPr>
        <w:t>7.1 Implementation Capability</w:t>
      </w:r>
    </w:p>
    <w:p>
      <w:pPr/>
      <w:r>
        <w:rPr>
          <w:rFonts w:ascii="Calibri" w:hAnsi="Calibri"/>
          <w:b w:val="0"/>
          <w:sz w:val="22"/>
        </w:rPr>
        <w:t>APPSolve's Oracle HCM delivery team comprises certified Oracle consultants across the full HCM module suite. The team is structured to deliver end-to-end HCM implementations, from initial scoping and business process design through configuration, integration, data migration, testing, training, and post-go-live hypercare.</w:t>
      </w:r>
    </w:p>
    <w:p>
      <w:pPr/>
      <w:r>
        <w:rPr>
          <w:rFonts w:ascii="Calibri" w:hAnsi="Calibri"/>
          <w:sz w:val="22"/>
        </w:rPr>
        <w:t>**Consultant capability by discipline:**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Principal HCM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process design, solution architecture, CRP facilitation, client advisory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configuration, business process documentation, UAT facilitation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Technical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development, HCM Extracts, OTBI reporting, HCM Data Loader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project governance, plan management, risk and issue management, steering committee reporting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Test Lead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Test script design, CRP coordination, integration testing, UAT management</w:t>
            </w:r>
          </w:p>
        </w:tc>
      </w:tr>
    </w:tbl>
    <w:p>
      <w:pPr>
        <w:spacing w:before="0" w:after="120"/>
      </w:pPr>
    </w:p>
    <w:p>
      <w:pPr/>
      <w:r>
        <w:rPr>
          <w:rFonts w:ascii="Calibri" w:hAnsi="Calibri"/>
          <w:b w:val="0"/>
          <w:sz w:val="22"/>
        </w:rPr>
        <w:t>APPSolve's HCM consultants hold Oracle certifications across Global HR, Recruiting, Talent Management, Learning Cloud, and OIC — evidence of the team's investment in formal Oracle capability accreditation.</w:t>
      </w:r>
    </w:p>
    <w:p>
      <w:pPr>
        <w:pStyle w:val="Heading5"/>
        <w:keepNext/>
      </w:pPr>
      <w:r>
        <w:rPr>
          <w:rFonts w:ascii="Calibri" w:hAnsi="Calibri"/>
          <w:b w:val="0"/>
          <w:sz w:val="22"/>
        </w:rPr>
        <w:t>7.2 Delivery Approach</w:t>
      </w:r>
    </w:p>
    <w:p>
      <w:pPr/>
      <w:r>
        <w:rPr>
          <w:rFonts w:ascii="Calibri" w:hAnsi="Calibri"/>
          <w:b w:val="0"/>
          <w:sz w:val="22"/>
        </w:rPr>
        <w:t>APPSolve's HCM delivery approach is based on the Oracle Unified Methodology (OUM) and Oracle's Customer Success Navigator framework. The approach is tailored per engagement but follows a consistent phase structure (detailed in Section 10) that has been proven across multiple enterprise HCM implementations.</w:t>
      </w:r>
    </w:p>
    <w:p>
      <w:pPr/>
      <w:r>
        <w:rPr>
          <w:rFonts w:ascii="Calibri" w:hAnsi="Calibri"/>
          <w:sz w:val="22"/>
        </w:rPr>
        <w:t>**Delivery principles:**</w:t>
      </w:r>
    </w:p>
    <w:p>
      <w:pPr>
        <w:pStyle w:val="ListBullet"/>
        <w:spacing w:before="20" w:after="20"/>
      </w:pPr>
      <w:r>
        <w:rPr>
          <w:rFonts w:ascii="Calibri" w:hAnsi="Calibri"/>
          <w:sz w:val="22"/>
        </w:rPr>
        <w:t>**Standard functionality first**</w:t>
      </w:r>
      <w:r>
        <w:rPr>
          <w:rFonts w:ascii="Calibri" w:hAnsi="Calibri"/>
          <w:b w:val="0"/>
          <w:sz w:val="22"/>
        </w:rPr>
        <w:t xml:space="preserve"> — APPSolve's default position is to use Oracle standard functionality. Customisation and development are out of scope unless a specific business requirement cannot be met any other way.</w:t>
      </w:r>
    </w:p>
    <w:p>
      <w:pPr>
        <w:pStyle w:val="ListBullet"/>
        <w:spacing w:before="20" w:after="20"/>
      </w:pPr>
      <w:r>
        <w:rPr>
          <w:rFonts w:ascii="Calibri" w:hAnsi="Calibri"/>
          <w:sz w:val="22"/>
        </w:rPr>
        <w:t>**South Africa first**</w:t>
      </w:r>
      <w:r>
        <w:rPr>
          <w:rFonts w:ascii="Calibri" w:hAnsi="Calibri"/>
          <w:b w:val="0"/>
          <w:sz w:val="22"/>
        </w:rPr>
        <w:t xml:space="preserve"> — for multi-country engagements, APPSolve implements the South African instance as the blueprint. The SA configuration establishes standards, templates, and approval hierarchies that are subsequently adapted for additional countries, reducing duplication and accelerating multi-country rollout.</w:t>
      </w:r>
    </w:p>
    <w:p>
      <w:pPr>
        <w:pStyle w:val="ListBullet"/>
        <w:spacing w:before="20" w:after="20"/>
      </w:pPr>
      <w:r>
        <w:rPr>
          <w:rFonts w:ascii="Calibri" w:hAnsi="Calibri"/>
          <w:sz w:val="22"/>
        </w:rPr>
        <w:t>**Shared services model**</w:t>
      </w:r>
      <w:r>
        <w:rPr>
          <w:rFonts w:ascii="Calibri" w:hAnsi="Calibri"/>
          <w:b w:val="0"/>
          <w:sz w:val="22"/>
        </w:rPr>
        <w:t xml:space="preserve"> — APPSolve designs HCM implementations around a shared services HR operating model, enabling centralised HR administration to serve multiple business units efficiently.</w:t>
      </w:r>
    </w:p>
    <w:p>
      <w:pPr>
        <w:pStyle w:val="ListBullet"/>
        <w:spacing w:before="20" w:after="20"/>
      </w:pPr>
      <w:r>
        <w:rPr>
          <w:rFonts w:ascii="Calibri" w:hAnsi="Calibri"/>
          <w:sz w:val="22"/>
        </w:rPr>
        <w:t>**Iterative configuration**</w:t>
      </w:r>
      <w:r>
        <w:rPr>
          <w:rFonts w:ascii="Calibri" w:hAnsi="Calibri"/>
          <w:b w:val="0"/>
          <w:sz w:val="22"/>
        </w:rPr>
        <w:t xml:space="preserve"> — the Solution Reflection (CRP) process delivers rapid iterative builds, allowing business stakeholders to see and shape the system before configuration is locked.</w:t>
      </w:r>
    </w:p>
    <w:p>
      <w:pPr>
        <w:pStyle w:val="Heading5"/>
        <w:keepNext/>
      </w:pPr>
      <w:r>
        <w:rPr>
          <w:rFonts w:ascii="Calibri" w:hAnsi="Calibri"/>
          <w:b w:val="0"/>
          <w:sz w:val="22"/>
        </w:rPr>
        <w:t>7.3 Configuration Capability</w:t>
      </w:r>
    </w:p>
    <w:p>
      <w:pPr/>
      <w:r>
        <w:rPr>
          <w:rFonts w:ascii="Calibri" w:hAnsi="Calibri"/>
          <w:b w:val="0"/>
          <w:sz w:val="22"/>
        </w:rPr>
        <w:t>APPSolve's configuration capability covers the full scope of Oracle Fusion HCM Core configuration:</w:t>
      </w:r>
    </w:p>
    <w:p>
      <w:pPr>
        <w:pStyle w:val="ListBullet"/>
        <w:spacing w:before="20" w:after="20"/>
      </w:pPr>
      <w:r>
        <w:rPr>
          <w:rFonts w:ascii="Calibri" w:hAnsi="Calibri"/>
          <w:b w:val="0"/>
          <w:sz w:val="22"/>
        </w:rPr>
        <w:t>Enterprise structure: Legal entities, business units, departments, locations, cost centres</w:t>
      </w:r>
    </w:p>
    <w:p>
      <w:pPr>
        <w:pStyle w:val="ListBullet"/>
        <w:spacing w:before="20" w:after="20"/>
      </w:pPr>
      <w:r>
        <w:rPr>
          <w:rFonts w:ascii="Calibri" w:hAnsi="Calibri"/>
          <w:b w:val="0"/>
          <w:sz w:val="22"/>
        </w:rPr>
        <w:t>HR configuration: Worker types, employment categories, grades, grade steps, FTE rules</w:t>
      </w:r>
    </w:p>
    <w:p>
      <w:pPr>
        <w:pStyle w:val="ListBullet"/>
        <w:spacing w:before="20" w:after="20"/>
      </w:pPr>
      <w:r>
        <w:rPr>
          <w:rFonts w:ascii="Calibri" w:hAnsi="Calibri"/>
          <w:b w:val="0"/>
          <w:sz w:val="22"/>
        </w:rPr>
        <w:t>Person configuration: Person types, person extra information (PEI) types, document records</w:t>
      </w:r>
    </w:p>
    <w:p>
      <w:pPr>
        <w:pStyle w:val="ListBullet"/>
        <w:spacing w:before="20" w:after="20"/>
      </w:pPr>
      <w:r>
        <w:rPr>
          <w:rFonts w:ascii="Calibri" w:hAnsi="Calibri"/>
          <w:b w:val="0"/>
          <w:sz w:val="22"/>
        </w:rPr>
        <w:t>Absence configuration: Plan types, accrual formulas, absence reasons, approval workflows</w:t>
      </w:r>
    </w:p>
    <w:p>
      <w:pPr>
        <w:pStyle w:val="ListBullet"/>
        <w:spacing w:before="20" w:after="20"/>
      </w:pPr>
      <w:r>
        <w:rPr>
          <w:rFonts w:ascii="Calibri" w:hAnsi="Calibri"/>
          <w:b w:val="0"/>
          <w:sz w:val="22"/>
        </w:rPr>
        <w:t>Self-service configuration: Menu structures, page personalisation, notification templates</w:t>
      </w:r>
    </w:p>
    <w:p>
      <w:pPr>
        <w:pStyle w:val="ListBullet"/>
        <w:spacing w:before="20" w:after="20"/>
      </w:pPr>
      <w:r>
        <w:rPr>
          <w:rFonts w:ascii="Calibri" w:hAnsi="Calibri"/>
          <w:b w:val="0"/>
          <w:sz w:val="22"/>
        </w:rPr>
        <w:t>Journeys: Journey design, checklist tasks, triggers, notifications, integrations</w:t>
      </w:r>
    </w:p>
    <w:p>
      <w:pPr>
        <w:pStyle w:val="ListBullet"/>
        <w:spacing w:before="20" w:after="20"/>
      </w:pPr>
      <w:r>
        <w:rPr>
          <w:rFonts w:ascii="Calibri" w:hAnsi="Calibri"/>
          <w:b w:val="0"/>
          <w:sz w:val="22"/>
        </w:rPr>
        <w:t>Security: Role-based access control (RBAC); HCM data roles; row-level security; segregation of duties</w:t>
      </w:r>
    </w:p>
    <w:p>
      <w:pPr>
        <w:pStyle w:val="Heading5"/>
        <w:keepNext/>
      </w:pPr>
      <w:r>
        <w:rPr>
          <w:rFonts w:ascii="Calibri" w:hAnsi="Calibri"/>
          <w:b w:val="0"/>
          <w:sz w:val="22"/>
        </w:rPr>
        <w:t>7.4 Integration Capability</w:t>
      </w:r>
    </w:p>
    <w:p>
      <w:pPr/>
      <w:r>
        <w:rPr>
          <w:rFonts w:ascii="Calibri" w:hAnsi="Calibri"/>
          <w:b w:val="0"/>
          <w:sz w:val="22"/>
        </w:rPr>
        <w:t>APPSolve's Oracle Integration Cloud (OIC) certification enables the team to design and build production-grade integrations connecting Oracle Fusion HCM to the client's wider enterprise ecosystem. Confirmed integration types delivered by APPSolve:</w:t>
      </w:r>
    </w:p>
    <w:p>
      <w:pPr>
        <w:pStyle w:val="ListBullet"/>
        <w:spacing w:before="20" w:after="20"/>
      </w:pPr>
      <w:r>
        <w:rPr>
          <w:rFonts w:ascii="Calibri" w:hAnsi="Calibri"/>
          <w:b w:val="0"/>
          <w:sz w:val="22"/>
        </w:rPr>
        <w:t>Oracle HCM to SAP Payroll — APPSolve has the technical integration capability to connect Oracle HCM to SAP Payroll via OIC</w:t>
      </w:r>
    </w:p>
    <w:p>
      <w:pPr>
        <w:pStyle w:val="ListBullet"/>
        <w:spacing w:before="20" w:after="20"/>
      </w:pPr>
      <w:r>
        <w:rPr>
          <w:rFonts w:ascii="Calibri" w:hAnsi="Calibri"/>
          <w:b w:val="0"/>
          <w:sz w:val="22"/>
        </w:rPr>
        <w:t>Oracle HCM to third-party payroll systems (PaySpace and others) — via OIC or HCM Extracts</w:t>
      </w:r>
    </w:p>
    <w:p>
      <w:pPr>
        <w:pStyle w:val="ListBullet"/>
        <w:spacing w:before="20" w:after="20"/>
      </w:pPr>
      <w:r>
        <w:rPr>
          <w:rFonts w:ascii="Calibri" w:hAnsi="Calibri"/>
          <w:b w:val="0"/>
          <w:sz w:val="22"/>
        </w:rPr>
        <w:t>Oracle HCM to biometric and time-capture systems</w:t>
      </w:r>
    </w:p>
    <w:p>
      <w:pPr>
        <w:pStyle w:val="ListBullet"/>
        <w:spacing w:before="20" w:after="20"/>
      </w:pPr>
      <w:r>
        <w:rPr>
          <w:rFonts w:ascii="Calibri" w:hAnsi="Calibri"/>
          <w:b w:val="0"/>
          <w:sz w:val="22"/>
        </w:rPr>
        <w:t xml:space="preserve">Oracle HCM to Learning Management Systems (Moodle and others) — for SETA reporting and learning record synchronisation </w:t>
      </w:r>
      <w:r>
        <w:rPr>
          <w:rFonts w:ascii="Calibri" w:hAnsi="Calibri"/>
          <w:sz w:val="22"/>
        </w:rPr>
        <w:t>*(HIST-007 Annexure 1)*</w:t>
      </w:r>
    </w:p>
    <w:p>
      <w:pPr>
        <w:pStyle w:val="ListBullet"/>
        <w:spacing w:before="20" w:after="20"/>
      </w:pPr>
      <w:r>
        <w:rPr>
          <w:rFonts w:ascii="Calibri" w:hAnsi="Calibri"/>
          <w:b w:val="0"/>
          <w:sz w:val="22"/>
        </w:rPr>
        <w:t>Oracle HCM to Active Directory and identity providers — for user provisioning and SSO</w:t>
      </w:r>
    </w:p>
    <w:p>
      <w:pPr>
        <w:pStyle w:val="Heading5"/>
        <w:keepNext/>
      </w:pPr>
      <w:r>
        <w:rPr>
          <w:rFonts w:ascii="Calibri" w:hAnsi="Calibri"/>
          <w:b w:val="0"/>
          <w:sz w:val="22"/>
        </w:rPr>
        <w:t>7.5 Managed Services Capability</w:t>
      </w:r>
    </w:p>
    <w:p>
      <w:pPr/>
      <w:r>
        <w:rPr>
          <w:rFonts w:ascii="Calibri" w:hAnsi="Calibri"/>
          <w:b w:val="0"/>
          <w:sz w:val="22"/>
        </w:rPr>
        <w:t>APPSolve provides post-implementation Oracle HCM managed services to clients requiring ongoing functional and technical support. The managed services model covers:</w:t>
      </w:r>
    </w:p>
    <w:p>
      <w:pPr>
        <w:pStyle w:val="ListBullet"/>
        <w:spacing w:before="20" w:after="20"/>
      </w:pPr>
      <w:r>
        <w:rPr>
          <w:rFonts w:ascii="Calibri" w:hAnsi="Calibri"/>
          <w:b w:val="0"/>
          <w:sz w:val="22"/>
        </w:rPr>
        <w:t>HCM system administration: user management, security role maintenance, configuration changes</w:t>
      </w:r>
    </w:p>
    <w:p>
      <w:pPr>
        <w:pStyle w:val="ListBullet"/>
        <w:spacing w:before="20" w:after="20"/>
      </w:pPr>
      <w:r>
        <w:rPr>
          <w:rFonts w:ascii="Calibri" w:hAnsi="Calibri"/>
          <w:b w:val="0"/>
          <w:sz w:val="22"/>
        </w:rPr>
        <w:t>Quarterly release management: release impact assessment, feature activation advisory, regression testing</w:t>
      </w:r>
    </w:p>
    <w:p>
      <w:pPr>
        <w:pStyle w:val="ListBullet"/>
        <w:spacing w:before="20" w:after="20"/>
      </w:pPr>
      <w:r>
        <w:rPr>
          <w:rFonts w:ascii="Calibri" w:hAnsi="Calibri"/>
          <w:b w:val="0"/>
          <w:sz w:val="22"/>
        </w:rPr>
        <w:t>Ongoing integration support: OIC monitoring, interface error resolution, data quality management</w:t>
      </w:r>
    </w:p>
    <w:p>
      <w:pPr>
        <w:pStyle w:val="ListBullet"/>
        <w:spacing w:before="20" w:after="20"/>
      </w:pPr>
      <w:r>
        <w:rPr>
          <w:rFonts w:ascii="Calibri" w:hAnsi="Calibri"/>
          <w:b w:val="0"/>
          <w:sz w:val="22"/>
        </w:rPr>
        <w:t>Functional advisory: process improvement recommendations, optimisation of underutilised functionality</w:t>
      </w:r>
    </w:p>
    <w:p>
      <w:pPr>
        <w:pStyle w:val="ListBullet"/>
        <w:spacing w:before="20" w:after="20"/>
      </w:pPr>
      <w:r>
        <w:rPr>
          <w:rFonts w:ascii="Calibri" w:hAnsi="Calibri"/>
          <w:b w:val="0"/>
          <w:sz w:val="22"/>
        </w:rPr>
        <w:t>Reporting and analytics support: OTBI report maintenance, dashboard enhancement</w:t>
      </w:r>
    </w:p>
    <w:p>
      <w:pPr>
        <w:pBdr>
          <w:bottom w:val="single" w:sz="4" w:space="1" w:color="CCCCCC"/>
        </w:pBdr>
        <w:spacing w:before="80" w:after="80"/>
      </w:pPr>
    </w:p>
    <w:p>
      <w:pPr>
        <w:pStyle w:val="Heading4"/>
        <w:keepNext/>
      </w:pPr>
      <w:r>
        <w:rPr>
          <w:rFonts w:ascii="Calibri" w:hAnsi="Calibri"/>
          <w:b w:val="0"/>
          <w:sz w:val="22"/>
        </w:rPr>
        <w:t>Section 8 — Reference Implementations</w:t>
      </w:r>
    </w:p>
    <w:p>
      <w:pPr>
        <w:pStyle w:val="Heading5"/>
        <w:keepNext/>
      </w:pPr>
      <w:r>
        <w:rPr>
          <w:rFonts w:ascii="Calibri" w:hAnsi="Calibri"/>
          <w:b w:val="0"/>
          <w:sz w:val="22"/>
        </w:rPr>
        <w:t>8.1 Hollywood Bets — Primary Oracle HCM Reference</w:t>
      </w:r>
    </w:p>
    <w:p>
      <w:pPr/>
      <w:r>
        <w:rPr>
          <w:rFonts w:ascii="Calibri" w:hAnsi="Calibri"/>
          <w:sz w:val="22"/>
        </w:rPr>
        <w:t>**Client:**</w:t>
      </w:r>
      <w:r>
        <w:rPr>
          <w:rFonts w:ascii="Calibri" w:hAnsi="Calibri"/>
          <w:b w:val="0"/>
          <w:sz w:val="22"/>
        </w:rPr>
        <w:t xml:space="preserve"> Hollywood Bets   </w:t>
      </w:r>
      <w:r>
        <w:rPr>
          <w:rFonts w:ascii="Calibri" w:hAnsi="Calibri"/>
          <w:sz w:val="22"/>
        </w:rPr>
        <w:t>**Industry:**</w:t>
      </w:r>
      <w:r>
        <w:rPr>
          <w:rFonts w:ascii="Calibri" w:hAnsi="Calibri"/>
          <w:b w:val="0"/>
          <w:sz w:val="22"/>
        </w:rPr>
        <w:t xml:space="preserve"> Gaming and Entertainment   </w:t>
      </w:r>
      <w:r>
        <w:rPr>
          <w:rFonts w:ascii="Calibri" w:hAnsi="Calibri"/>
          <w:sz w:val="22"/>
        </w:rPr>
        <w:t>**Solution:**</w:t>
      </w:r>
      <w:r>
        <w:rPr>
          <w:rFonts w:ascii="Calibri" w:hAnsi="Calibri"/>
          <w:b w:val="0"/>
          <w:sz w:val="22"/>
        </w:rPr>
        <w:t xml:space="preserve"> Oracle Fusion HCM — Core HCM, Absence Management, Recruiting, Talent Management, Performance Management, Career Development, Succession Planning, Help Desk   </w:t>
      </w:r>
      <w:r>
        <w:rPr>
          <w:rFonts w:ascii="Calibri" w:hAnsi="Calibri"/>
          <w:sz w:val="22"/>
        </w:rPr>
        <w:t>**Go-live:**</w:t>
      </w:r>
      <w:r>
        <w:rPr>
          <w:rFonts w:ascii="Calibri" w:hAnsi="Calibri"/>
          <w:b w:val="0"/>
          <w:sz w:val="22"/>
        </w:rPr>
        <w:t xml:space="preserve"> July 2025   </w:t>
      </w:r>
      <w:r>
        <w:rPr>
          <w:rFonts w:ascii="Calibri" w:hAnsi="Calibri"/>
          <w:sz w:val="22"/>
        </w:rPr>
        <w:t>**User count:**</w:t>
      </w:r>
      <w:r>
        <w:rPr>
          <w:rFonts w:ascii="Calibri" w:hAnsi="Calibri"/>
          <w:b w:val="0"/>
          <w:sz w:val="22"/>
        </w:rPr>
        <w:t xml:space="preserve"> 7,000 users   </w:t>
      </w:r>
      <w:r>
        <w:rPr>
          <w:rFonts w:ascii="Calibri" w:hAnsi="Calibri"/>
          <w:sz w:val="22"/>
        </w:rPr>
        <w:t>**Status:**</w:t>
      </w:r>
      <w:r>
        <w:rPr>
          <w:rFonts w:ascii="Calibri" w:hAnsi="Calibri"/>
          <w:b w:val="0"/>
          <w:sz w:val="22"/>
        </w:rPr>
        <w:t xml:space="preserve"> Live — post-go-live support active</w:t>
      </w:r>
    </w:p>
    <w:p>
      <w:pPr/>
      <w:r>
        <w:rPr>
          <w:rFonts w:ascii="Calibri" w:hAnsi="Calibri"/>
          <w:b w:val="0"/>
          <w:sz w:val="22"/>
        </w:rPr>
        <w:t>Hollywood Bets is APPSolve's primary Oracle Fusion HCM reference implementation. This engagement represents the full scope of APPSolve's Oracle HCM delivery capability: a complex, multi-module implementation for a large South African employer with over 7,000 active system users, delivered to production and successfully transitioned to a live operating environment in July 2025.</w:t>
      </w:r>
    </w:p>
    <w:p>
      <w:pPr/>
      <w:r>
        <w:rPr>
          <w:rFonts w:ascii="Calibri" w:hAnsi="Calibri"/>
          <w:sz w:val="22"/>
        </w:rPr>
        <w:t>**Implementation scope:**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Core (Global HR)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Absence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Recruiting Cloud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Talent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Performance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Career Development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Succession Planning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Help Desk</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to third-party payroll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Biometric system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 WSP / ATR reporting extract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 (Annexure 1)</w:t>
            </w:r>
          </w:p>
        </w:tc>
      </w:tr>
    </w:tbl>
    <w:p>
      <w:pPr>
        <w:spacing w:before="0" w:after="120"/>
      </w:pPr>
    </w:p>
    <w:p>
      <w:pPr/>
      <w:r>
        <w:rPr>
          <w:rFonts w:ascii="Calibri" w:hAnsi="Calibri"/>
          <w:sz w:val="22"/>
        </w:rPr>
        <w:t>**Integration architecture:**</w:t>
      </w:r>
      <w:r>
        <w:rPr>
          <w:rFonts w:ascii="Calibri" w:hAnsi="Calibri"/>
          <w:b w:val="0"/>
          <w:sz w:val="22"/>
        </w:rPr>
        <w:t xml:space="preserve"> APPSolve implemented Oracle Integration Cloud (OIC) as the standard integration layer, connecting Oracle Fusion HCM to the client's third-party payroll system and biometric infrastructure. Payroll data flows from Oracle HCM to the payroll system via OIC-managed interfaces on a defined payroll cycle. Biometric attendance data flows into Time and Labor for payroll-relevant time capture.</w:t>
      </w:r>
    </w:p>
    <w:p>
      <w:pPr/>
      <w:r>
        <w:rPr>
          <w:rFonts w:ascii="Calibri" w:hAnsi="Calibri"/>
          <w:sz w:val="22"/>
        </w:rPr>
        <w:t>**SETA compliance:**</w:t>
      </w:r>
      <w:r>
        <w:rPr>
          <w:rFonts w:ascii="Calibri" w:hAnsi="Calibri"/>
          <w:b w:val="0"/>
          <w:sz w:val="22"/>
        </w:rPr>
        <w:t xml:space="preserve"> APPSolve implemented a SETA reporting extract — integrating Oracle HCM with the client's learning platform to produce Workplace Skills Plan (WSP) and Annual Training Report (ATR) data in the format required for Skills Development Act compliance.</w:t>
      </w:r>
    </w:p>
    <w:p>
      <w:pPr/>
      <w:r>
        <w:rPr>
          <w:rFonts w:ascii="Calibri" w:hAnsi="Calibri"/>
          <w:sz w:val="22"/>
        </w:rPr>
        <w:t>**HR Help Desk:**</w:t>
      </w:r>
      <w:r>
        <w:rPr>
          <w:rFonts w:ascii="Calibri" w:hAnsi="Calibri"/>
          <w:b w:val="0"/>
          <w:sz w:val="22"/>
        </w:rPr>
        <w:t xml:space="preserve"> Hollywood Bets extended the scope to include Oracle HCM Help Desk — enabling employees to submit HR inquiries via chatbot and SMS channels, with routing to HR representatives and an HR knowledge base for self-service resolution.</w:t>
      </w:r>
    </w:p>
    <w:p>
      <w:pPr/>
      <w:r>
        <w:rPr>
          <w:rFonts w:ascii="Calibri" w:hAnsi="Calibri"/>
          <w:sz w:val="22"/>
        </w:rPr>
        <w:t>*Reference availability: Hollywood Bets is a confirmed and referenceable APPSolve Oracle HCM client (F-W3-002 CLOSED, 2026-06-12). Contact via APPSolve account manager.*</w:t>
      </w:r>
    </w:p>
    <w:p>
      <w:pPr>
        <w:pStyle w:val="Heading5"/>
        <w:keepNext/>
      </w:pPr>
      <w:r>
        <w:rPr>
          <w:rFonts w:ascii="Calibri" w:hAnsi="Calibri"/>
          <w:b w:val="0"/>
          <w:sz w:val="22"/>
        </w:rPr>
        <w:t>8.2 Additional Oracle HCM Implementations</w:t>
      </w:r>
    </w:p>
    <w:p>
      <w:pPr/>
      <w:r>
        <w:rPr>
          <w:rFonts w:ascii="Calibri" w:hAnsi="Calibri"/>
          <w:b w:val="0"/>
          <w:sz w:val="22"/>
        </w:rPr>
        <w:t>APPSolve has delivered Oracle Fusion HCM implementations across enterprise clients in retail, mining, and professional services sectors, establishing a track record of multi-industry HCM delivery across South African and international organisations. These implementations span the full HCM module suite, including Core HR, Absence Management, Recruiting, Talent Management, Learning Cloud, Workforce Compensation, Time and Labor, Help Desk, and HCM Analytics.</w:t>
      </w:r>
    </w:p>
    <w:p>
      <w:pPr/>
      <w:r>
        <w:rPr>
          <w:rFonts w:ascii="Calibri" w:hAnsi="Calibri"/>
          <w:b w:val="0"/>
          <w:sz w:val="22"/>
        </w:rPr>
        <w:t>Additionally, APPSolve has delivered Oracle HCM implementations that include multi-country organisational models, multi-legal-entity configurations, and integration to diverse payroll systems — including SAP Payroll, PaySpace, and Oracle Payroll Cloud.</w:t>
      </w:r>
    </w:p>
    <w:p>
      <w:pPr/>
      <w:r>
        <w:rPr>
          <w:rFonts w:ascii="Calibri" w:hAnsi="Calibri"/>
          <w:sz w:val="22"/>
        </w:rPr>
        <w:t>*Specific reference details for additional implementations are available on request, subject to client consent and reference letter availability.*</w:t>
      </w:r>
    </w:p>
    <w:p>
      <w:pPr>
        <w:pStyle w:val="Heading5"/>
        <w:keepNext/>
      </w:pPr>
      <w:r>
        <w:rPr>
          <w:rFonts w:ascii="Calibri" w:hAnsi="Calibri"/>
          <w:b w:val="0"/>
          <w:sz w:val="22"/>
        </w:rPr>
        <w:t>8.3 Mr Price Group — Oracle HCM Learning Cloud and Support</w:t>
      </w:r>
    </w:p>
    <w:p>
      <w:pPr/>
      <w:r>
        <w:rPr>
          <w:rFonts w:ascii="Calibri" w:hAnsi="Calibri"/>
          <w:sz w:val="22"/>
        </w:rPr>
        <w:t>**Client:**</w:t>
      </w:r>
      <w:r>
        <w:rPr>
          <w:rFonts w:ascii="Calibri" w:hAnsi="Calibri"/>
          <w:b w:val="0"/>
          <w:sz w:val="22"/>
        </w:rPr>
        <w:t xml:space="preserve"> Mr Price Group   </w:t>
      </w:r>
      <w:r>
        <w:rPr>
          <w:rFonts w:ascii="Calibri" w:hAnsi="Calibri"/>
          <w:sz w:val="22"/>
        </w:rPr>
        <w:t>**Industry:**</w:t>
      </w:r>
      <w:r>
        <w:rPr>
          <w:rFonts w:ascii="Calibri" w:hAnsi="Calibri"/>
          <w:b w:val="0"/>
          <w:sz w:val="22"/>
        </w:rPr>
        <w:t xml:space="preserve"> Retail   </w:t>
      </w:r>
      <w:r>
        <w:rPr>
          <w:rFonts w:ascii="Calibri" w:hAnsi="Calibri"/>
          <w:sz w:val="22"/>
        </w:rPr>
        <w:t>**Implementation scope:**</w:t>
      </w:r>
      <w:r>
        <w:rPr>
          <w:rFonts w:ascii="Calibri" w:hAnsi="Calibri"/>
          <w:b w:val="0"/>
          <w:sz w:val="22"/>
        </w:rPr>
        <w:t xml:space="preserve"> Oracle HCM Learning Cloud (implemented by APPSolve)   </w:t>
      </w:r>
      <w:r>
        <w:rPr>
          <w:rFonts w:ascii="Calibri" w:hAnsi="Calibri"/>
          <w:sz w:val="22"/>
        </w:rPr>
        <w:t>**Support scope:**</w:t>
      </w:r>
      <w:r>
        <w:rPr>
          <w:rFonts w:ascii="Calibri" w:hAnsi="Calibri"/>
          <w:b w:val="0"/>
          <w:sz w:val="22"/>
        </w:rPr>
        <w:t xml:space="preserve"> Broader Oracle HCM estate (ongoing support provided by APPSolve)   </w:t>
      </w:r>
      <w:r>
        <w:rPr>
          <w:rFonts w:ascii="Calibri" w:hAnsi="Calibri"/>
          <w:sz w:val="22"/>
        </w:rPr>
        <w:t>**Status:**</w:t>
      </w:r>
      <w:r>
        <w:rPr>
          <w:rFonts w:ascii="Calibri" w:hAnsi="Calibri"/>
          <w:b w:val="0"/>
          <w:sz w:val="22"/>
        </w:rPr>
        <w:t xml:space="preserve"> Live</w:t>
      </w:r>
    </w:p>
    <w:p>
      <w:pPr/>
      <w:r>
        <w:rPr>
          <w:rFonts w:ascii="Calibri" w:hAnsi="Calibri"/>
          <w:b w:val="0"/>
          <w:sz w:val="22"/>
        </w:rPr>
        <w:t>APPSolve implemented Oracle Learning Cloud for Mr Price Group and provides ongoing support services across the client's broader Oracle HCM landscape.</w:t>
      </w:r>
    </w:p>
    <w:p>
      <w:pPr/>
      <w:r>
        <w:rPr>
          <w:rFonts w:ascii="Calibri" w:hAnsi="Calibri"/>
          <w:sz w:val="22"/>
        </w:rPr>
        <w:t>**Scope governance note:**</w:t>
      </w:r>
      <w:r>
        <w:rPr>
          <w:rFonts w:ascii="Calibri" w:hAnsi="Calibri"/>
          <w:b w:val="0"/>
          <w:sz w:val="22"/>
        </w:rPr>
        <w:t xml:space="preserve"> Mr Price Group is an implementation reference for Oracle HCM Learning Cloud only. APPSolve's role across the broader Mr Price Oracle HCM environment is ongoing application support — APPSolve did not implement those modules. When citing Mr Price as a reference, distinguish clearly between implementation responsibility (Learning Cloud) and support responsibility (broader HCM estate). Do not imply APPSolve originally implemented every Oracle HCM module in use at Mr Price.</w:t>
      </w:r>
    </w:p>
    <w:p>
      <w:pPr>
        <w:pBdr>
          <w:bottom w:val="single" w:sz="4" w:space="1" w:color="CCCCCC"/>
        </w:pBdr>
        <w:spacing w:before="80" w:after="80"/>
      </w:pPr>
    </w:p>
    <w:p>
      <w:pPr>
        <w:pStyle w:val="Heading4"/>
        <w:keepNext/>
      </w:pPr>
      <w:r>
        <w:rPr>
          <w:rFonts w:ascii="Calibri" w:hAnsi="Calibri"/>
          <w:b w:val="0"/>
          <w:sz w:val="22"/>
        </w:rPr>
        <w:t>Section 9 — Integration Architecture and Ecosystem</w:t>
      </w:r>
    </w:p>
    <w:p>
      <w:pPr>
        <w:pStyle w:val="Heading5"/>
        <w:keepNext/>
      </w:pPr>
      <w:r>
        <w:rPr>
          <w:rFonts w:ascii="Calibri" w:hAnsi="Calibri"/>
          <w:b w:val="0"/>
          <w:sz w:val="22"/>
        </w:rPr>
        <w:t>9.1 Oracle Integration Cloud — Standard Integration Layer</w:t>
      </w:r>
    </w:p>
    <w:p>
      <w:pPr/>
      <w:r>
        <w:rPr>
          <w:rFonts w:ascii="Calibri" w:hAnsi="Calibri"/>
          <w:b w:val="0"/>
          <w:sz w:val="22"/>
        </w:rPr>
        <w:t>Oracle Integration Cloud (OIC) is the mandatory, standard integration layer in every APPSolve Oracle Fusion HCM implementation. APPSolve does not deliver Oracle Fusion HCM without OIC — it is the integration fabric that connects HCM to the client's payroll system, identity provider, biometric infrastructure, and enterprise systems.</w:t>
      </w:r>
    </w:p>
    <w:p>
      <w:pPr/>
      <w:r>
        <w:rPr>
          <w:rFonts w:ascii="Calibri" w:hAnsi="Calibri"/>
          <w:b w:val="0"/>
          <w:sz w:val="22"/>
        </w:rPr>
        <w:t>OIC provides:</w:t>
      </w:r>
    </w:p>
    <w:p>
      <w:pPr>
        <w:pStyle w:val="ListBullet"/>
        <w:spacing w:before="20" w:after="20"/>
      </w:pPr>
      <w:r>
        <w:rPr>
          <w:rFonts w:ascii="Calibri" w:hAnsi="Calibri"/>
          <w:b w:val="0"/>
          <w:sz w:val="22"/>
        </w:rPr>
        <w:t>Pre-built Oracle adapters for Oracle HCM, ERP, and cloud services</w:t>
      </w:r>
    </w:p>
    <w:p>
      <w:pPr>
        <w:pStyle w:val="ListBullet"/>
        <w:spacing w:before="20" w:after="20"/>
      </w:pPr>
      <w:r>
        <w:rPr>
          <w:rFonts w:ascii="Calibri" w:hAnsi="Calibri"/>
          <w:b w:val="0"/>
          <w:sz w:val="22"/>
        </w:rPr>
        <w:t>Custom REST and SOAP adapter configurations for third-party systems</w:t>
      </w:r>
    </w:p>
    <w:p>
      <w:pPr>
        <w:pStyle w:val="ListBullet"/>
        <w:spacing w:before="20" w:after="20"/>
      </w:pPr>
      <w:r>
        <w:rPr>
          <w:rFonts w:ascii="Calibri" w:hAnsi="Calibri"/>
          <w:b w:val="0"/>
          <w:sz w:val="22"/>
        </w:rPr>
        <w:t>Orchestration and transformation of HCM data in transit</w:t>
      </w:r>
    </w:p>
    <w:p>
      <w:pPr>
        <w:pStyle w:val="ListBullet"/>
        <w:spacing w:before="20" w:after="20"/>
      </w:pPr>
      <w:r>
        <w:rPr>
          <w:rFonts w:ascii="Calibri" w:hAnsi="Calibri"/>
          <w:b w:val="0"/>
          <w:sz w:val="22"/>
        </w:rPr>
        <w:t>Error handling, retry, and alerting for all interfaces</w:t>
      </w:r>
    </w:p>
    <w:p>
      <w:pPr>
        <w:pStyle w:val="ListBullet"/>
        <w:spacing w:before="20" w:after="20"/>
      </w:pPr>
      <w:r>
        <w:rPr>
          <w:rFonts w:ascii="Calibri" w:hAnsi="Calibri"/>
          <w:b w:val="0"/>
          <w:sz w:val="22"/>
        </w:rPr>
        <w:t>An audit trail of every data movement across the integration landscape</w:t>
      </w:r>
    </w:p>
    <w:p>
      <w:pPr>
        <w:pStyle w:val="Heading5"/>
        <w:keepNext/>
      </w:pPr>
      <w:r>
        <w:rPr>
          <w:rFonts w:ascii="Calibri" w:hAnsi="Calibri"/>
          <w:b w:val="0"/>
          <w:sz w:val="22"/>
        </w:rPr>
        <w:t>9.2 Payroll System Integrations</w:t>
      </w:r>
    </w:p>
    <w:p>
      <w:pPr/>
      <w:r>
        <w:rPr>
          <w:rFonts w:ascii="Calibri" w:hAnsi="Calibri"/>
          <w:b w:val="0"/>
          <w:sz w:val="22"/>
        </w:rPr>
        <w:t>APPSolve configures the Oracle HCM payroll interface (Payroll Interface module) and implements the corresponding OIC integration to the client's nominated payroll system. Payroll integration patterns confirmed as delivered by APPSolve: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Method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OIC-managed interface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has the technical integration capability to connect Oracle HCM to SAP Payroll via OIC</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payroll (generic)</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interface or HCM Extracts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Hollywood Bets implementation </w:t>
            </w:r>
            <w:r>
              <w:rPr>
                <w:rFonts w:ascii="Calibri" w:hAnsi="Calibri"/>
                <w:sz w:val="20"/>
              </w:rPr>
              <w:t>*(HIST-007)*</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 or OIC</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*(ORACLE_FACT_BASELINE Section 12)*</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Payroll Cloud (native)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payroll in same instance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 where Oracle Payroll Cloud is licensed</w:t>
            </w:r>
          </w:p>
        </w:tc>
      </w:tr>
    </w:tbl>
    <w:p>
      <w:pPr>
        <w:spacing w:before="0" w:after="120"/>
      </w:pPr>
    </w:p>
    <w:p>
      <w:pPr/>
      <w:r>
        <w:rPr>
          <w:rFonts w:ascii="Calibri" w:hAnsi="Calibri"/>
          <w:sz w:val="22"/>
        </w:rPr>
        <w:t>**Integration data flows**</w:t>
      </w:r>
      <w:r>
        <w:rPr>
          <w:rFonts w:ascii="Calibri" w:hAnsi="Calibri"/>
          <w:b w:val="0"/>
          <w:sz w:val="22"/>
        </w:rPr>
        <w:t xml:space="preserve"> (standard payroll integration):</w:t>
      </w:r>
    </w:p>
    <w:p>
      <w:pPr>
        <w:pStyle w:val="ListNumber"/>
        <w:spacing w:before="20" w:after="20"/>
      </w:pPr>
      <w:r>
        <w:rPr>
          <w:rFonts w:ascii="Calibri" w:hAnsi="Calibri"/>
          <w:b w:val="0"/>
          <w:sz w:val="22"/>
        </w:rPr>
        <w:t>HCM Extracts or OIC extracts payroll-relevant worker and assignment data at defined frequency</w:t>
      </w:r>
    </w:p>
    <w:p>
      <w:pPr>
        <w:pStyle w:val="ListNumber"/>
        <w:spacing w:before="20" w:after="20"/>
      </w:pPr>
      <w:r>
        <w:rPr>
          <w:rFonts w:ascii="Calibri" w:hAnsi="Calibri"/>
          <w:b w:val="0"/>
          <w:sz w:val="22"/>
        </w:rPr>
        <w:t>Absence balances and approved leave are included in the extract</w:t>
      </w:r>
    </w:p>
    <w:p>
      <w:pPr>
        <w:pStyle w:val="ListNumber"/>
        <w:spacing w:before="20" w:after="20"/>
      </w:pPr>
      <w:r>
        <w:rPr>
          <w:rFonts w:ascii="Calibri" w:hAnsi="Calibri"/>
          <w:b w:val="0"/>
          <w:sz w:val="22"/>
        </w:rPr>
        <w:t>Overtime and time-capture data (where Time and Labor is in scope) is appended</w:t>
      </w:r>
    </w:p>
    <w:p>
      <w:pPr>
        <w:pStyle w:val="ListNumber"/>
        <w:spacing w:before="20" w:after="20"/>
      </w:pPr>
      <w:r>
        <w:rPr>
          <w:rFonts w:ascii="Calibri" w:hAnsi="Calibri"/>
          <w:b w:val="0"/>
          <w:sz w:val="22"/>
        </w:rPr>
        <w:t>The extract is transformed by OIC into the target payroll system's input format</w:t>
      </w:r>
    </w:p>
    <w:p>
      <w:pPr>
        <w:pStyle w:val="ListNumber"/>
        <w:spacing w:before="20" w:after="20"/>
      </w:pPr>
      <w:r>
        <w:rPr>
          <w:rFonts w:ascii="Calibri" w:hAnsi="Calibri"/>
          <w:b w:val="0"/>
          <w:sz w:val="22"/>
        </w:rPr>
        <w:t>The payroll system processes the data and returns a payroll results file</w:t>
      </w:r>
    </w:p>
    <w:p>
      <w:pPr>
        <w:pStyle w:val="ListNumber"/>
        <w:spacing w:before="20" w:after="20"/>
      </w:pPr>
      <w:r>
        <w:rPr>
          <w:rFonts w:ascii="Calibri" w:hAnsi="Calibri"/>
          <w:b w:val="0"/>
          <w:sz w:val="22"/>
        </w:rPr>
        <w:t>Payroll results are loaded back into Oracle HCM for record-keeping and reporting</w:t>
      </w:r>
    </w:p>
    <w:p>
      <w:pPr>
        <w:pStyle w:val="Heading5"/>
        <w:keepNext/>
      </w:pPr>
      <w:r>
        <w:rPr>
          <w:rFonts w:ascii="Calibri" w:hAnsi="Calibri"/>
          <w:b w:val="0"/>
          <w:sz w:val="22"/>
        </w:rPr>
        <w:t>9.3 Identity and Access Integrations</w:t>
      </w:r>
    </w:p>
    <w:p>
      <w:pPr/>
      <w:r>
        <w:rPr>
          <w:rFonts w:ascii="Calibri" w:hAnsi="Calibri"/>
          <w:b w:val="0"/>
          <w:sz w:val="22"/>
        </w:rPr>
        <w:t>APPSolve configures Oracle Fusion HCM user provisioning as part of the implementation, integrating with the client's identity management environment:</w:t>
      </w:r>
    </w:p>
    <w:p>
      <w:pPr>
        <w:pStyle w:val="ListBullet"/>
        <w:spacing w:before="20" w:after="20"/>
      </w:pPr>
      <w:r>
        <w:rPr>
          <w:rFonts w:ascii="Calibri" w:hAnsi="Calibri"/>
          <w:sz w:val="22"/>
        </w:rPr>
        <w:t>**Active Directory / Azure AD**</w:t>
      </w:r>
      <w:r>
        <w:rPr>
          <w:rFonts w:ascii="Calibri" w:hAnsi="Calibri"/>
          <w:b w:val="0"/>
          <w:sz w:val="22"/>
        </w:rPr>
        <w:t xml:space="preserve"> — worker creation in Oracle HCM triggers user account provisioning in AD/Azure AD via OIC</w:t>
      </w:r>
    </w:p>
    <w:p>
      <w:pPr>
        <w:pStyle w:val="ListBullet"/>
        <w:spacing w:before="20" w:after="20"/>
      </w:pPr>
      <w:r>
        <w:rPr>
          <w:rFonts w:ascii="Calibri" w:hAnsi="Calibri"/>
          <w:sz w:val="22"/>
        </w:rPr>
        <w:t>**Single Sign-On (SSO)**</w:t>
      </w:r>
      <w:r>
        <w:rPr>
          <w:rFonts w:ascii="Calibri" w:hAnsi="Calibri"/>
          <w:b w:val="0"/>
          <w:sz w:val="22"/>
        </w:rPr>
        <w:t xml:space="preserve"> — Oracle Fusion HCM is configured to authenticate against the client's identity provider (SAML 2.0 or OAuth 2.0 standard)</w:t>
      </w:r>
    </w:p>
    <w:p>
      <w:pPr>
        <w:pStyle w:val="ListBullet"/>
        <w:spacing w:before="20" w:after="20"/>
      </w:pPr>
      <w:r>
        <w:rPr>
          <w:rFonts w:ascii="Calibri" w:hAnsi="Calibri"/>
          <w:sz w:val="22"/>
        </w:rPr>
        <w:t>**Role provisioning**</w:t>
      </w:r>
      <w:r>
        <w:rPr>
          <w:rFonts w:ascii="Calibri" w:hAnsi="Calibri"/>
          <w:b w:val="0"/>
          <w:sz w:val="22"/>
        </w:rPr>
        <w:t xml:space="preserve"> — HCM security roles are provisioned based on position and employment assignment, automatically updating as workers change roles</w:t>
      </w:r>
    </w:p>
    <w:p>
      <w:pPr>
        <w:pStyle w:val="Heading5"/>
        <w:keepNext/>
      </w:pPr>
      <w:r>
        <w:rPr>
          <w:rFonts w:ascii="Calibri" w:hAnsi="Calibri"/>
          <w:b w:val="0"/>
          <w:sz w:val="22"/>
        </w:rPr>
        <w:t>9.4 Third-Party Enterprise System Integrations</w:t>
      </w:r>
    </w:p>
    <w:p>
      <w:pPr/>
      <w:r>
        <w:rPr>
          <w:rFonts w:ascii="Calibri" w:hAnsi="Calibri"/>
          <w:b w:val="0"/>
          <w:sz w:val="22"/>
        </w:rPr>
        <w:t>APPSolve designs and delivers integrations between Oracle Fusion HCM and the client's third-party systems based on confirmed business requirements. Typical integrations in scope for HCM Core engagements: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System type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 purpose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Method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Biometric / time capture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Attendance data to Oracle Time and Labor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or HCM Data Loader (HDL)</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Management System (Moodle, others)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record sync; SETA extract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or HCM Extracts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Finance / ERP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Headcount and costing data to GL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or FBDI</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Benefits administration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Benefits enrolment data to benefits provider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Background screening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screening results to Recruiting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REST integration</w:t>
            </w:r>
          </w:p>
        </w:tc>
      </w:tr>
    </w:tbl>
    <w:p>
      <w:pPr>
        <w:spacing w:before="0" w:after="120"/>
      </w:pPr>
    </w:p>
    <w:p>
      <w:pPr>
        <w:pStyle w:val="Heading5"/>
        <w:keepNext/>
      </w:pPr>
      <w:r>
        <w:rPr>
          <w:rFonts w:ascii="Calibri" w:hAnsi="Calibri"/>
          <w:b w:val="0"/>
          <w:sz w:val="22"/>
        </w:rPr>
        <w:t>9.5 Reporting and Analytics Ecosystem</w:t>
      </w:r>
    </w:p>
    <w:p>
      <w:pPr/>
      <w:r>
        <w:rPr>
          <w:rFonts w:ascii="Calibri" w:hAnsi="Calibri"/>
          <w:b w:val="0"/>
          <w:sz w:val="22"/>
        </w:rPr>
        <w:t>APPSolve configures Oracle Fusion HCM's embedded reporting and analytics tools as part of the Core HR implementation: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Tool</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Purpose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Configured by APPSolve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(Oracle Transactional Business Intelligence)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 hoc and scheduled reporting against live HCM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standard subject areas and custom reports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TDE (Transactional Data Extracts)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Bulk data extracts for downstream reporting or audit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extract configuration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Delivered dashboards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Pre-built HCM dashboards for HR managers and executives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activated and personalised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Analytics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workforce analytics (where licensed)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where in subscription scope</w:t>
            </w:r>
          </w:p>
        </w:tc>
      </w:tr>
    </w:tbl>
    <w:p>
      <w:pPr>
        <w:spacing w:before="0" w:after="120"/>
      </w:pPr>
    </w:p>
    <w:p>
      <w:pPr>
        <w:pStyle w:val="Heading5"/>
        <w:keepNext/>
      </w:pPr>
      <w:r>
        <w:rPr>
          <w:rFonts w:ascii="Calibri" w:hAnsi="Calibri"/>
          <w:b w:val="0"/>
          <w:sz w:val="22"/>
        </w:rPr>
        <w:t>9.6 Integration Patterns</w:t>
      </w:r>
    </w:p>
    <w:p>
      <w:pPr/>
      <w:r>
        <w:rPr>
          <w:rFonts w:ascii="Calibri" w:hAnsi="Calibri"/>
          <w:b w:val="0"/>
          <w:sz w:val="22"/>
        </w:rPr>
        <w:t>APPSolve designs integrations using one of three standard patterns, selected based on data volume, frequency, and the capabilities of the target system:</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Pattern</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When used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real-time**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Low-latency, event-driven integration (e.g., new hire triggers AD provisioning immediately)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scheduled batch**</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data synchronisation on defined schedule (e.g., payroll extract nightly)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Extracts**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Oracle-native bulk data export; used where OIC is not in scope or where the target system accepts flat file input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Data Loader (HDL)**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Bulk data loading into Oracle HCM (used for data migration and mass updates)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10 — Implementation Approach</w:t>
      </w:r>
    </w:p>
    <w:p>
      <w:pPr>
        <w:pStyle w:val="Heading5"/>
        <w:keepNext/>
      </w:pPr>
      <w:r>
        <w:rPr>
          <w:rFonts w:ascii="Calibri" w:hAnsi="Calibri"/>
          <w:b w:val="0"/>
          <w:sz w:val="22"/>
        </w:rPr>
        <w:t>10.1 OUM Methodology</w:t>
      </w:r>
    </w:p>
    <w:p>
      <w:pPr/>
      <w:r>
        <w:rPr>
          <w:rFonts w:ascii="Calibri" w:hAnsi="Calibri"/>
          <w:b w:val="0"/>
          <w:sz w:val="22"/>
        </w:rPr>
        <w:t xml:space="preserve">APPSolve implements Oracle Fusion HCM using the </w:t>
      </w:r>
      <w:r>
        <w:rPr>
          <w:rFonts w:ascii="Calibri" w:hAnsi="Calibri"/>
          <w:sz w:val="22"/>
        </w:rPr>
        <w:t>**Oracle Unified Methodology (OUM)**</w:t>
      </w:r>
      <w:r>
        <w:rPr>
          <w:rFonts w:ascii="Calibri" w:hAnsi="Calibri"/>
          <w:b w:val="0"/>
          <w:sz w:val="22"/>
        </w:rPr>
        <w:t>, Oracle's standard implementation framework for Oracle Applications. OUM is structured to align Oracle's product capability with the client's business requirements through a structured sequence of discovery, design, build, and validation activities.</w:t>
      </w:r>
    </w:p>
    <w:p>
      <w:pPr/>
      <w:r>
        <w:rPr>
          <w:rFonts w:ascii="Calibri" w:hAnsi="Calibri"/>
          <w:b w:val="0"/>
          <w:sz w:val="22"/>
        </w:rPr>
        <w:t>The OUM framework ensures:</w:t>
      </w:r>
    </w:p>
    <w:p>
      <w:pPr>
        <w:pStyle w:val="ListBullet"/>
        <w:spacing w:before="20" w:after="20"/>
      </w:pPr>
      <w:r>
        <w:rPr>
          <w:rFonts w:ascii="Calibri" w:hAnsi="Calibri"/>
          <w:b w:val="0"/>
          <w:sz w:val="22"/>
        </w:rPr>
        <w:t>Clear deliverables and sign-off points at each phase gate</w:t>
      </w:r>
    </w:p>
    <w:p>
      <w:pPr>
        <w:pStyle w:val="ListBullet"/>
        <w:spacing w:before="20" w:after="20"/>
      </w:pPr>
      <w:r>
        <w:rPr>
          <w:rFonts w:ascii="Calibri" w:hAnsi="Calibri"/>
          <w:b w:val="0"/>
          <w:sz w:val="22"/>
        </w:rPr>
        <w:t>Consistent documentation standards across all engagements</w:t>
      </w:r>
    </w:p>
    <w:p>
      <w:pPr>
        <w:pStyle w:val="ListBullet"/>
        <w:spacing w:before="20" w:after="20"/>
      </w:pPr>
      <w:r>
        <w:rPr>
          <w:rFonts w:ascii="Calibri" w:hAnsi="Calibri"/>
          <w:b w:val="0"/>
          <w:sz w:val="22"/>
        </w:rPr>
        <w:t>A change-controlled approach that protects scope integrity</w:t>
      </w:r>
    </w:p>
    <w:p>
      <w:pPr>
        <w:pStyle w:val="ListBullet"/>
        <w:spacing w:before="20" w:after="20"/>
      </w:pPr>
      <w:r>
        <w:rPr>
          <w:rFonts w:ascii="Calibri" w:hAnsi="Calibri"/>
          <w:b w:val="0"/>
          <w:sz w:val="22"/>
        </w:rPr>
        <w:t>Traceability between business requirements, configuration decisions, and test outcomes</w:t>
      </w:r>
    </w:p>
    <w:p>
      <w:pPr>
        <w:pStyle w:val="Heading5"/>
        <w:keepNext/>
      </w:pPr>
      <w:r>
        <w:rPr>
          <w:rFonts w:ascii="Calibri" w:hAnsi="Calibri"/>
          <w:b w:val="0"/>
          <w:sz w:val="22"/>
        </w:rPr>
        <w:t>10.2 Delivery Phases</w:t>
      </w:r>
    </w:p>
    <w:p>
      <w:pPr>
        <w:pStyle w:val="Heading5"/>
        <w:keepNext/>
      </w:pPr>
      <w:r>
        <w:rPr>
          <w:rFonts w:ascii="Calibri" w:hAnsi="Calibri"/>
          <w:b w:val="0"/>
          <w:sz w:val="22"/>
        </w:rPr>
        <w:t>10.3 Hypercare and Post-Go-Live Support</w:t>
      </w:r>
    </w:p>
    <w:p>
      <w:pPr>
        <w:pStyle w:val="Heading5"/>
        <w:keepNext/>
      </w:pPr>
      <w:r>
        <w:rPr>
          <w:rFonts w:ascii="Calibri" w:hAnsi="Calibri"/>
          <w:b w:val="0"/>
          <w:sz w:val="22"/>
        </w:rPr>
        <w:t>10.4 Governance</w:t>
      </w:r>
    </w:p>
    <w:p>
      <w:pPr>
        <w:pStyle w:val="Heading5"/>
        <w:keepNext/>
      </w:pPr>
      <w:r>
        <w:rPr>
          <w:rFonts w:ascii="Calibri" w:hAnsi="Calibri"/>
          <w:b w:val="0"/>
          <w:sz w:val="22"/>
        </w:rPr>
        <w:t>10.5 Testing</w:t>
      </w:r>
    </w:p>
    <w:p>
      <w:pPr>
        <w:pStyle w:val="Heading5"/>
        <w:keepNext/>
      </w:pPr>
      <w:r>
        <w:rPr>
          <w:rFonts w:ascii="Calibri" w:hAnsi="Calibri"/>
          <w:b w:val="0"/>
          <w:sz w:val="22"/>
        </w:rPr>
        <w:t>10.6 Change Management</w:t>
      </w:r>
    </w:p>
    <w:p>
      <w:pPr>
        <w:pBdr>
          <w:bottom w:val="single" w:sz="4" w:space="1" w:color="CCCCCC"/>
        </w:pBdr>
        <w:spacing w:before="80" w:after="80"/>
      </w:pPr>
    </w:p>
    <w:p>
      <w:pPr>
        <w:pStyle w:val="Heading4"/>
        <w:keepNext/>
      </w:pPr>
      <w:r>
        <w:rPr>
          <w:rFonts w:ascii="Calibri" w:hAnsi="Calibri"/>
          <w:b w:val="0"/>
          <w:sz w:val="22"/>
        </w:rPr>
        <w:t>Section 11 — Risk Register</w:t>
      </w:r>
    </w:p>
    <w:p>
      <w:pPr>
        <w:pBdr>
          <w:bottom w:val="single" w:sz="4" w:space="1" w:color="CCCCCC"/>
        </w:pBdr>
        <w:spacing w:before="80" w:after="80"/>
      </w:pPr>
    </w:p>
    <w:p>
      <w:pPr>
        <w:pStyle w:val="Heading4"/>
        <w:keepNext/>
      </w:pPr>
      <w:r>
        <w:rPr>
          <w:rFonts w:ascii="Calibri" w:hAnsi="Calibri"/>
          <w:b w:val="0"/>
          <w:sz w:val="22"/>
        </w:rPr>
        <w:t>Section 12 — Assumptions Register</w:t>
      </w:r>
    </w:p>
    <w:p>
      <w:pPr>
        <w:pBdr>
          <w:bottom w:val="single" w:sz="4" w:space="1" w:color="CCCCCC"/>
        </w:pBdr>
        <w:spacing w:before="80" w:after="80"/>
      </w:pPr>
    </w:p>
    <w:p>
      <w:pPr>
        <w:pStyle w:val="Heading4"/>
        <w:keepNext/>
      </w:pPr>
      <w:r>
        <w:rPr>
          <w:rFonts w:ascii="Calibri" w:hAnsi="Calibri"/>
          <w:b w:val="0"/>
          <w:sz w:val="22"/>
        </w:rPr>
        <w:t>Section 13 — Source Mapping Table</w:t>
      </w:r>
    </w:p>
    <w:p>
      <w:pPr>
        <w:pBdr>
          <w:bottom w:val="single" w:sz="4" w:space="1" w:color="CCCCCC"/>
        </w:pBdr>
        <w:spacing w:before="80" w:after="80"/>
      </w:pPr>
    </w:p>
    <w:p>
      <w:pPr>
        <w:pStyle w:val="Heading4"/>
        <w:keepNext/>
      </w:pPr>
      <w:r>
        <w:rPr>
          <w:rFonts w:ascii="Calibri" w:hAnsi="Calibri"/>
          <w:b w:val="0"/>
          <w:sz w:val="22"/>
        </w:rPr>
        <w:t>Section 14 — Governance Self-Review</w:t>
      </w:r>
    </w:p>
    <w:p>
      <w:pPr>
        <w:pStyle w:val="Heading5"/>
        <w:keepNext/>
      </w:pPr>
      <w:r>
        <w:rPr>
          <w:rFonts w:ascii="Calibri" w:hAnsi="Calibri"/>
          <w:b w:val="0"/>
          <w:sz w:val="22"/>
        </w:rPr>
        <w:t>14.1 Prohibited Wording Check</w:t>
      </w:r>
    </w:p>
    <w:p>
      <w:pPr>
        <w:pStyle w:val="Heading5"/>
        <w:keepNext/>
      </w:pPr>
      <w:r>
        <w:rPr>
          <w:rFonts w:ascii="Calibri" w:hAnsi="Calibri"/>
          <w:b w:val="0"/>
          <w:sz w:val="22"/>
        </w:rPr>
        <w:t>14.2 Framing Check</w:t>
      </w:r>
    </w:p>
    <w:p>
      <w:pPr>
        <w:pStyle w:val="Heading5"/>
        <w:keepNext/>
      </w:pPr>
      <w:r>
        <w:rPr>
          <w:rFonts w:ascii="Calibri" w:hAnsi="Calibri"/>
          <w:b w:val="0"/>
          <w:sz w:val="22"/>
        </w:rPr>
        <w:t>14.3 Source Traceability Check</w:t>
      </w:r>
    </w:p>
    <w:p>
      <w:pPr>
        <w:pStyle w:val="Heading5"/>
        <w:keepNext/>
      </w:pPr>
      <w:r>
        <w:rPr>
          <w:rFonts w:ascii="Calibri" w:hAnsi="Calibri"/>
          <w:b w:val="0"/>
          <w:sz w:val="22"/>
        </w:rPr>
        <w:t>14.4 Open Items — ALL CLOSED</w:t>
      </w:r>
    </w:p>
    <w:p>
      <w:pPr>
        <w:pStyle w:val="Heading5"/>
        <w:keepNext/>
      </w:pPr>
      <w:r>
        <w:rPr>
          <w:rFonts w:ascii="Calibri" w:hAnsi="Calibri"/>
          <w:b w:val="0"/>
          <w:sz w:val="22"/>
        </w:rPr>
        <w:t>14.5 BU Lead Corrections Applied</w:t>
      </w:r>
    </w:p>
    <w:p>
      <w:pPr>
        <w:pStyle w:val="Heading5"/>
        <w:keepNext/>
      </w:pPr>
      <w:r>
        <w:rPr>
          <w:rFonts w:ascii="Calibri" w:hAnsi="Calibri"/>
          <w:b w:val="0"/>
          <w:sz w:val="22"/>
        </w:rPr>
        <w:t>14.6 Implementation vs Support Governance Rule (Permanent)</w:t>
      </w:r>
    </w:p>
    <w:p>
      <w:pPr>
        <w:pBdr>
          <w:bottom w:val="single" w:sz="4" w:space="1" w:color="CCCCCC"/>
        </w:pBdr>
        <w:spacing w:before="80" w:after="80"/>
      </w:pPr>
    </w:p>
    <w:p>
      <w:pPr>
        <w:pStyle w:val="Heading4"/>
        <w:keepNext/>
      </w:pPr>
      <w:r>
        <w:rPr>
          <w:rFonts w:ascii="Calibri" w:hAnsi="Calibri"/>
          <w:b w:val="0"/>
          <w:sz w:val="22"/>
        </w:rPr>
        <w:t>Section 15 — Extraction Return Report</w:t>
      </w:r>
    </w:p>
    <w:p>
      <w:pPr>
        <w:pStyle w:val="Heading5"/>
        <w:keepNext/>
      </w:pPr>
      <w:r>
        <w:rPr>
          <w:rFonts w:ascii="Calibri" w:hAnsi="Calibri"/>
          <w:b w:val="0"/>
          <w:sz w:val="22"/>
        </w:rPr>
        <w:t>Status</w:t>
      </w:r>
    </w:p>
    <w:p>
      <w:pPr>
        <w:pStyle w:val="Heading5"/>
        <w:keepNext/>
      </w:pPr>
      <w:r>
        <w:rPr>
          <w:rFonts w:ascii="Calibri" w:hAnsi="Calibri"/>
          <w:b w:val="0"/>
          <w:sz w:val="22"/>
        </w:rPr>
        <w:t>Deliverables Produced</w:t>
      </w:r>
    </w:p>
    <w:p>
      <w:pPr>
        <w:pStyle w:val="Heading5"/>
        <w:keepNext/>
      </w:pPr>
      <w:r>
        <w:rPr>
          <w:rFonts w:ascii="Calibri" w:hAnsi="Calibri"/>
          <w:b w:val="0"/>
          <w:sz w:val="22"/>
        </w:rPr>
        <w:t>Source Usage Summary</w:t>
      </w:r>
    </w:p>
    <w:p>
      <w:pPr>
        <w:pStyle w:val="Heading5"/>
        <w:keepNext/>
      </w:pPr>
      <w:r>
        <w:rPr>
          <w:rFonts w:ascii="Calibri" w:hAnsi="Calibri"/>
          <w:b w:val="0"/>
          <w:sz w:val="22"/>
        </w:rPr>
        <w:t>Changes from v1.0 to v1.1</w:t>
      </w:r>
    </w:p>
    <w:p>
      <w:pPr>
        <w:pStyle w:val="Heading5"/>
        <w:keepNext/>
      </w:pPr>
      <w:r>
        <w:rPr>
          <w:rFonts w:ascii="Calibri" w:hAnsi="Calibri"/>
          <w:b w:val="0"/>
          <w:sz w:val="22"/>
        </w:rPr>
        <w:t>Changes from v1.1 to v1.2</w:t>
      </w:r>
    </w:p>
    <w:p>
      <w:pPr>
        <w:pStyle w:val="Heading5"/>
        <w:keepNext/>
      </w:pPr>
      <w:r>
        <w:rPr>
          <w:rFonts w:ascii="Calibri" w:hAnsi="Calibri"/>
          <w:b w:val="0"/>
          <w:sz w:val="22"/>
        </w:rPr>
        <w:t>Changes from v1.2 to v1.3</w:t>
      </w:r>
    </w:p>
    <w:p>
      <w:pPr>
        <w:pStyle w:val="Heading5"/>
        <w:keepNext/>
      </w:pPr>
      <w:r>
        <w:rPr>
          <w:rFonts w:ascii="Calibri" w:hAnsi="Calibri"/>
          <w:b w:val="0"/>
          <w:sz w:val="22"/>
        </w:rPr>
        <w:t>Recommended Next Action</w:t>
      </w:r>
    </w:p>
    <w:p>
      <w:pPr>
        <w:pBdr>
          <w:bottom w:val="single" w:sz="4" w:space="1" w:color="CCCCCC"/>
        </w:pBdr>
        <w:spacing w:before="80" w:after="80"/>
      </w:pPr>
    </w:p>
    <w:p>
      <w:pPr>
        <w:pStyle w:val="Heading4"/>
        <w:keepNext/>
      </w:pPr>
      <w:r>
        <w:rPr>
          <w:rFonts w:ascii="Calibri" w:hAnsi="Calibri"/>
          <w:b w:val="0"/>
          <w:sz w:val="22"/>
        </w:rPr>
        <w:t>Section 17 — Approval Record and Pre-Tender Checks</w:t>
      </w:r>
    </w:p>
    <w:p>
      <w:pPr>
        <w:pStyle w:val="Heading5"/>
        <w:keepNext/>
      </w:pPr>
      <w:r>
        <w:rPr>
          <w:rFonts w:ascii="Calibri" w:hAnsi="Calibri"/>
          <w:b w:val="0"/>
          <w:sz w:val="22"/>
        </w:rPr>
        <w:t>17.1 Approval Record</w:t>
      </w:r>
    </w:p>
    <w:p>
      <w:pPr>
        <w:pStyle w:val="Heading5"/>
        <w:keepNext/>
      </w:pPr>
      <w:r>
        <w:rPr>
          <w:rFonts w:ascii="Calibri" w:hAnsi="Calibri"/>
          <w:b w:val="0"/>
          <w:sz w:val="22"/>
        </w:rPr>
        <w:t>17.2 Pre-Tender Checks</w:t>
      </w:r>
    </w:p>
    <w:p>
      <w:pPr>
        <w:pBdr>
          <w:bottom w:val="single" w:sz="4" w:space="1" w:color="CCCCCC"/>
        </w:pBdr>
        <w:spacing w:before="80" w:after="80"/>
      </w:pPr>
    </w:p>
    <w:p>
      <w:pPr>
        <w:pStyle w:val="Heading3"/>
        <w:keepNext/>
      </w:pPr>
      <w:r>
        <w:rPr>
          <w:rFonts w:ascii="Calibri" w:hAnsi="Calibri"/>
          <w:b w:val="0"/>
          <w:sz w:val="26"/>
        </w:rPr>
        <w:t>Oracle Fusion Talent Management Suite</w:t>
      </w:r>
    </w:p>
    <w:p>
      <w:pPr>
        <w:pBdr>
          <w:bottom w:val="single" w:sz="4" w:space="1" w:color="CCCCCC"/>
        </w:pBdr>
        <w:spacing w:before="80" w:after="80"/>
      </w:pPr>
    </w:p>
    <w:p>
      <w:pPr>
        <w:pStyle w:val="Heading4"/>
        <w:keepNext/>
      </w:pPr>
      <w:r>
        <w:rPr>
          <w:rFonts w:ascii="Calibri" w:hAnsi="Calibri"/>
          <w:b w:val="0"/>
          <w:sz w:val="22"/>
        </w:rPr>
        <w:t>Section 1 — APPSolve Oracle HCM Practice — Talent Management</w:t>
      </w:r>
    </w:p>
    <w:p>
      <w:pPr>
        <w:pBdr>
          <w:bottom w:val="single" w:sz="4" w:space="1" w:color="CCCCCC"/>
        </w:pBdr>
        <w:spacing w:before="80" w:after="80"/>
      </w:pPr>
    </w:p>
    <w:p>
      <w:pPr>
        <w:pStyle w:val="Heading4"/>
        <w:keepNext/>
      </w:pPr>
      <w:r>
        <w:rPr>
          <w:rFonts w:ascii="Calibri" w:hAnsi="Calibri"/>
          <w:b w:val="0"/>
          <w:sz w:val="22"/>
        </w:rPr>
        <w:t>Section 2 — Oracle Fusion Talent Management Suite Overview</w:t>
      </w:r>
    </w:p>
    <w:p>
      <w:pPr>
        <w:pStyle w:val="Heading5"/>
        <w:keepNext/>
      </w:pPr>
      <w:r>
        <w:rPr>
          <w:rFonts w:ascii="Calibri" w:hAnsi="Calibri"/>
          <w:b w:val="0"/>
          <w:sz w:val="22"/>
        </w:rPr>
        <w:t>2.1 Suite Positioning</w:t>
      </w:r>
    </w:p>
    <w:p>
      <w:pPr>
        <w:pStyle w:val="Heading5"/>
        <w:keepNext/>
      </w:pPr>
      <w:r>
        <w:rPr>
          <w:rFonts w:ascii="Calibri" w:hAnsi="Calibri"/>
          <w:b w:val="0"/>
          <w:sz w:val="22"/>
        </w:rPr>
        <w:t>2.2 Platform Foundation</w:t>
      </w:r>
    </w:p>
    <w:p>
      <w:pPr>
        <w:pStyle w:val="Heading5"/>
        <w:keepNext/>
      </w:pPr>
      <w:r>
        <w:rPr>
          <w:rFonts w:ascii="Calibri" w:hAnsi="Calibri"/>
          <w:b w:val="0"/>
          <w:sz w:val="22"/>
        </w:rPr>
        <w:t>2.3 AI-Assisted Talent Capabilities</w:t>
      </w:r>
    </w:p>
    <w:p>
      <w:pPr>
        <w:pStyle w:val="Heading5"/>
        <w:keepNext/>
      </w:pPr>
      <w:r>
        <w:rPr>
          <w:rFonts w:ascii="Calibri" w:hAnsi="Calibri"/>
          <w:b w:val="0"/>
          <w:sz w:val="22"/>
        </w:rPr>
        <w:t>2.4 HCM Core Dependency</w:t>
      </w:r>
    </w:p>
    <w:p>
      <w:pPr>
        <w:pBdr>
          <w:bottom w:val="single" w:sz="4" w:space="1" w:color="CCCCCC"/>
        </w:pBdr>
        <w:spacing w:before="80" w:after="80"/>
      </w:pPr>
    </w:p>
    <w:p>
      <w:pPr>
        <w:pStyle w:val="Heading4"/>
        <w:keepNext/>
      </w:pPr>
      <w:r>
        <w:rPr>
          <w:rFonts w:ascii="Calibri" w:hAnsi="Calibri"/>
          <w:b w:val="0"/>
          <w:sz w:val="22"/>
        </w:rPr>
        <w:t>Section 3 — Talent Profiles and Job Profiles</w:t>
      </w:r>
    </w:p>
    <w:p>
      <w:pPr>
        <w:pStyle w:val="Heading5"/>
        <w:keepNext/>
      </w:pPr>
      <w:r>
        <w:rPr>
          <w:rFonts w:ascii="Calibri" w:hAnsi="Calibri"/>
          <w:b w:val="0"/>
          <w:sz w:val="22"/>
        </w:rPr>
        <w:t>3.1 The Talent Profile Foundation</w:t>
      </w:r>
    </w:p>
    <w:p>
      <w:pPr>
        <w:pStyle w:val="Heading5"/>
        <w:keepNext/>
      </w:pPr>
      <w:r>
        <w:rPr>
          <w:rFonts w:ascii="Calibri" w:hAnsi="Calibri"/>
          <w:b w:val="0"/>
          <w:sz w:val="22"/>
        </w:rPr>
        <w:t>3.2 Person Profiles</w:t>
      </w:r>
    </w:p>
    <w:p>
      <w:pPr>
        <w:pStyle w:val="Heading5"/>
        <w:keepNext/>
      </w:pPr>
      <w:r>
        <w:rPr>
          <w:rFonts w:ascii="Calibri" w:hAnsi="Calibri"/>
          <w:b w:val="0"/>
          <w:sz w:val="22"/>
        </w:rPr>
        <w:t>3.3 Job Profiles</w:t>
      </w:r>
    </w:p>
    <w:p>
      <w:pPr>
        <w:pStyle w:val="Heading5"/>
        <w:keepNext/>
      </w:pPr>
      <w:r>
        <w:rPr>
          <w:rFonts w:ascii="Calibri" w:hAnsi="Calibri"/>
          <w:b w:val="0"/>
          <w:sz w:val="22"/>
        </w:rPr>
        <w:t>3.4 Profile Matching and Talent Search</w:t>
      </w:r>
    </w:p>
    <w:p>
      <w:pPr>
        <w:pBdr>
          <w:bottom w:val="single" w:sz="4" w:space="1" w:color="CCCCCC"/>
        </w:pBdr>
        <w:spacing w:before="80" w:after="80"/>
      </w:pPr>
    </w:p>
    <w:p>
      <w:pPr>
        <w:pStyle w:val="Heading4"/>
        <w:keepNext/>
      </w:pPr>
      <w:r>
        <w:rPr>
          <w:rFonts w:ascii="Calibri" w:hAnsi="Calibri"/>
          <w:b w:val="0"/>
          <w:sz w:val="22"/>
        </w:rPr>
        <w:t>Section 4 — Goal Management</w:t>
      </w:r>
    </w:p>
    <w:p>
      <w:pPr>
        <w:pStyle w:val="Heading5"/>
        <w:keepNext/>
      </w:pPr>
      <w:r>
        <w:rPr>
          <w:rFonts w:ascii="Calibri" w:hAnsi="Calibri"/>
          <w:b w:val="0"/>
          <w:sz w:val="22"/>
        </w:rPr>
        <w:t>4.1 Goal Frameworks</w:t>
      </w:r>
    </w:p>
    <w:p>
      <w:pPr>
        <w:pStyle w:val="Heading5"/>
        <w:keepNext/>
      </w:pPr>
      <w:r>
        <w:rPr>
          <w:rFonts w:ascii="Calibri" w:hAnsi="Calibri"/>
          <w:b w:val="0"/>
          <w:sz w:val="22"/>
        </w:rPr>
        <w:t>4.2 Progress Tracking and Check-ins</w:t>
      </w:r>
    </w:p>
    <w:p>
      <w:pPr>
        <w:pStyle w:val="Heading5"/>
        <w:keepNext/>
      </w:pPr>
      <w:r>
        <w:rPr>
          <w:rFonts w:ascii="Calibri" w:hAnsi="Calibri"/>
          <w:b w:val="0"/>
          <w:sz w:val="22"/>
        </w:rPr>
        <w:t>4.3 Goal Sharing and Cross-Team Alignment</w:t>
      </w:r>
    </w:p>
    <w:p>
      <w:pPr>
        <w:pStyle w:val="Heading5"/>
        <w:keepNext/>
      </w:pPr>
      <w:r>
        <w:rPr>
          <w:rFonts w:ascii="Calibri" w:hAnsi="Calibri"/>
          <w:b w:val="0"/>
          <w:sz w:val="22"/>
        </w:rPr>
        <w:t>4.4 Goal and Performance Integration</w:t>
      </w:r>
    </w:p>
    <w:p>
      <w:pPr>
        <w:pBdr>
          <w:bottom w:val="single" w:sz="4" w:space="1" w:color="CCCCCC"/>
        </w:pBdr>
        <w:spacing w:before="80" w:after="80"/>
      </w:pPr>
    </w:p>
    <w:p>
      <w:pPr>
        <w:pStyle w:val="Heading4"/>
        <w:keepNext/>
      </w:pPr>
      <w:r>
        <w:rPr>
          <w:rFonts w:ascii="Calibri" w:hAnsi="Calibri"/>
          <w:b w:val="0"/>
          <w:sz w:val="22"/>
        </w:rPr>
        <w:t>Section 5 — Performance Management</w:t>
      </w:r>
    </w:p>
    <w:p>
      <w:pPr>
        <w:pStyle w:val="Heading5"/>
        <w:keepNext/>
      </w:pPr>
      <w:r>
        <w:rPr>
          <w:rFonts w:ascii="Calibri" w:hAnsi="Calibri"/>
          <w:b w:val="0"/>
          <w:sz w:val="22"/>
        </w:rPr>
        <w:t>5.1 Performance Review Cycle Configuration</w:t>
      </w:r>
    </w:p>
    <w:p>
      <w:pPr>
        <w:pStyle w:val="Heading5"/>
        <w:keepNext/>
      </w:pPr>
      <w:r>
        <w:rPr>
          <w:rFonts w:ascii="Calibri" w:hAnsi="Calibri"/>
          <w:b w:val="0"/>
          <w:sz w:val="22"/>
        </w:rPr>
        <w:t>5.2 Competency Assessment</w:t>
      </w:r>
    </w:p>
    <w:p>
      <w:pPr>
        <w:pStyle w:val="Heading5"/>
        <w:keepNext/>
      </w:pPr>
      <w:r>
        <w:rPr>
          <w:rFonts w:ascii="Calibri" w:hAnsi="Calibri"/>
          <w:b w:val="0"/>
          <w:sz w:val="22"/>
        </w:rPr>
        <w:t>5.3 360-Degree Feedback</w:t>
      </w:r>
    </w:p>
    <w:p>
      <w:pPr>
        <w:pStyle w:val="Heading5"/>
        <w:keepNext/>
      </w:pPr>
      <w:r>
        <w:rPr>
          <w:rFonts w:ascii="Calibri" w:hAnsi="Calibri"/>
          <w:b w:val="0"/>
          <w:sz w:val="22"/>
        </w:rPr>
        <w:t>5.4 Performance Calibration</w:t>
      </w:r>
    </w:p>
    <w:p>
      <w:pPr>
        <w:pStyle w:val="Heading5"/>
        <w:keepNext/>
      </w:pPr>
      <w:r>
        <w:rPr>
          <w:rFonts w:ascii="Calibri" w:hAnsi="Calibri"/>
          <w:b w:val="0"/>
          <w:sz w:val="22"/>
        </w:rPr>
        <w:t>5.5 Performance and Compensation Integration</w:t>
      </w:r>
    </w:p>
    <w:p>
      <w:pPr>
        <w:pBdr>
          <w:bottom w:val="single" w:sz="4" w:space="1" w:color="CCCCCC"/>
        </w:pBdr>
        <w:spacing w:before="80" w:after="80"/>
      </w:pPr>
    </w:p>
    <w:p>
      <w:pPr>
        <w:pStyle w:val="Heading4"/>
        <w:keepNext/>
      </w:pPr>
      <w:r>
        <w:rPr>
          <w:rFonts w:ascii="Calibri" w:hAnsi="Calibri"/>
          <w:b w:val="0"/>
          <w:sz w:val="22"/>
        </w:rPr>
        <w:t>Section 6 — Talent Review and Succession Planning</w:t>
      </w:r>
    </w:p>
    <w:p>
      <w:pPr>
        <w:pStyle w:val="Heading5"/>
        <w:keepNext/>
      </w:pPr>
      <w:r>
        <w:rPr>
          <w:rFonts w:ascii="Calibri" w:hAnsi="Calibri"/>
          <w:b w:val="0"/>
          <w:sz w:val="22"/>
        </w:rPr>
        <w:t>6.1 Talent Review</w:t>
      </w:r>
    </w:p>
    <w:p>
      <w:pPr>
        <w:pStyle w:val="Heading5"/>
        <w:keepNext/>
      </w:pPr>
      <w:r>
        <w:rPr>
          <w:rFonts w:ascii="Calibri" w:hAnsi="Calibri"/>
          <w:b w:val="0"/>
          <w:sz w:val="22"/>
        </w:rPr>
        <w:t>6.2 Succession Planning</w:t>
      </w:r>
    </w:p>
    <w:p>
      <w:pPr>
        <w:pStyle w:val="Heading5"/>
        <w:keepNext/>
      </w:pPr>
      <w:r>
        <w:rPr>
          <w:rFonts w:ascii="Calibri" w:hAnsi="Calibri"/>
          <w:b w:val="0"/>
          <w:sz w:val="22"/>
        </w:rPr>
        <w:t>6.3 Succession and Talent Review Integration</w:t>
      </w:r>
    </w:p>
    <w:p>
      <w:pPr>
        <w:pBdr>
          <w:bottom w:val="single" w:sz="4" w:space="1" w:color="CCCCCC"/>
        </w:pBdr>
        <w:spacing w:before="80" w:after="80"/>
      </w:pPr>
    </w:p>
    <w:p>
      <w:pPr>
        <w:pStyle w:val="Heading4"/>
        <w:keepNext/>
      </w:pPr>
      <w:r>
        <w:rPr>
          <w:rFonts w:ascii="Calibri" w:hAnsi="Calibri"/>
          <w:b w:val="0"/>
          <w:sz w:val="22"/>
        </w:rPr>
        <w:t>Section 7 — Career Development</w:t>
      </w:r>
    </w:p>
    <w:p>
      <w:pPr>
        <w:pStyle w:val="Heading5"/>
        <w:keepNext/>
      </w:pPr>
      <w:r>
        <w:rPr>
          <w:rFonts w:ascii="Calibri" w:hAnsi="Calibri"/>
          <w:b w:val="0"/>
          <w:sz w:val="22"/>
        </w:rPr>
        <w:t>7.1 Career Pathways</w:t>
      </w:r>
    </w:p>
    <w:p>
      <w:pPr>
        <w:pStyle w:val="Heading5"/>
        <w:keepNext/>
      </w:pPr>
      <w:r>
        <w:rPr>
          <w:rFonts w:ascii="Calibri" w:hAnsi="Calibri"/>
          <w:b w:val="0"/>
          <w:sz w:val="22"/>
        </w:rPr>
        <w:t>7.2 Development Plans</w:t>
      </w:r>
    </w:p>
    <w:p>
      <w:pPr>
        <w:pStyle w:val="Heading5"/>
        <w:keepNext/>
      </w:pPr>
      <w:r>
        <w:rPr>
          <w:rFonts w:ascii="Calibri" w:hAnsi="Calibri"/>
          <w:b w:val="0"/>
          <w:sz w:val="22"/>
        </w:rPr>
        <w:t>7.3 Internal Opportunity Marketplace</w:t>
      </w:r>
    </w:p>
    <w:p>
      <w:pPr>
        <w:pStyle w:val="Heading5"/>
        <w:keepNext/>
      </w:pPr>
      <w:r>
        <w:rPr>
          <w:rFonts w:ascii="Calibri" w:hAnsi="Calibri"/>
          <w:b w:val="0"/>
          <w:sz w:val="22"/>
        </w:rPr>
        <w:t>7.4 Mentoring</w:t>
      </w:r>
    </w:p>
    <w:p>
      <w:pPr>
        <w:pBdr>
          <w:bottom w:val="single" w:sz="4" w:space="1" w:color="CCCCCC"/>
        </w:pBdr>
        <w:spacing w:before="80" w:after="80"/>
      </w:pPr>
    </w:p>
    <w:p>
      <w:pPr>
        <w:pStyle w:val="Heading4"/>
        <w:keepNext/>
      </w:pPr>
      <w:r>
        <w:rPr>
          <w:rFonts w:ascii="Calibri" w:hAnsi="Calibri"/>
          <w:b w:val="0"/>
          <w:sz w:val="22"/>
        </w:rPr>
        <w:t>Section 8 — APPSolve Delivery Capability — Talent Management</w:t>
      </w:r>
    </w:p>
    <w:p>
      <w:pPr>
        <w:pStyle w:val="Heading5"/>
        <w:keepNext/>
      </w:pPr>
      <w:r>
        <w:rPr>
          <w:rFonts w:ascii="Calibri" w:hAnsi="Calibri"/>
          <w:b w:val="0"/>
          <w:sz w:val="22"/>
        </w:rPr>
        <w:t>8.1 Implementation Capability</w:t>
      </w:r>
    </w:p>
    <w:p>
      <w:pPr>
        <w:pStyle w:val="Heading5"/>
        <w:keepNext/>
      </w:pPr>
      <w:r>
        <w:rPr>
          <w:rFonts w:ascii="Calibri" w:hAnsi="Calibri"/>
          <w:b w:val="0"/>
          <w:sz w:val="22"/>
        </w:rPr>
        <w:t>8.2 Configuration Capability</w:t>
      </w:r>
    </w:p>
    <w:p>
      <w:pPr>
        <w:pStyle w:val="Heading5"/>
        <w:keepNext/>
      </w:pPr>
      <w:r>
        <w:rPr>
          <w:rFonts w:ascii="Calibri" w:hAnsi="Calibri"/>
          <w:b w:val="0"/>
          <w:sz w:val="22"/>
        </w:rPr>
        <w:t>8.3 Delivery Sequencing</w:t>
      </w:r>
    </w:p>
    <w:p>
      <w:pPr>
        <w:pStyle w:val="Heading5"/>
        <w:keepNext/>
      </w:pPr>
      <w:r>
        <w:rPr>
          <w:rFonts w:ascii="Calibri" w:hAnsi="Calibri"/>
          <w:b w:val="0"/>
          <w:sz w:val="22"/>
        </w:rPr>
        <w:t>8.4 Talent Design Workshops</w:t>
      </w:r>
    </w:p>
    <w:p>
      <w:pPr>
        <w:pStyle w:val="Heading5"/>
        <w:keepNext/>
      </w:pPr>
      <w:r>
        <w:rPr>
          <w:rFonts w:ascii="Calibri" w:hAnsi="Calibri"/>
          <w:b w:val="0"/>
          <w:sz w:val="22"/>
        </w:rPr>
        <w:t>8.5 Post-Go-Live and Managed Services</w:t>
      </w:r>
    </w:p>
    <w:p>
      <w:pPr>
        <w:pBdr>
          <w:bottom w:val="single" w:sz="4" w:space="1" w:color="CCCCCC"/>
        </w:pBdr>
        <w:spacing w:before="80" w:after="80"/>
      </w:pPr>
    </w:p>
    <w:p>
      <w:pPr>
        <w:pStyle w:val="Heading4"/>
        <w:keepNext/>
      </w:pPr>
      <w:r>
        <w:rPr>
          <w:rFonts w:ascii="Calibri" w:hAnsi="Calibri"/>
          <w:b w:val="0"/>
          <w:sz w:val="22"/>
        </w:rPr>
        <w:t>Section 9 — Reference Implementations</w:t>
      </w:r>
    </w:p>
    <w:p>
      <w:pPr>
        <w:pStyle w:val="Heading5"/>
        <w:keepNext/>
      </w:pPr>
      <w:r>
        <w:rPr>
          <w:rFonts w:ascii="Calibri" w:hAnsi="Calibri"/>
          <w:b w:val="0"/>
          <w:sz w:val="22"/>
        </w:rPr>
        <w:t>9.1 Hollywood Bets — Oracle Fusion Talent Management Reference</w:t>
      </w:r>
    </w:p>
    <w:p>
      <w:pPr>
        <w:pStyle w:val="Heading5"/>
        <w:keepNext/>
      </w:pPr>
      <w:r>
        <w:rPr>
          <w:rFonts w:ascii="Calibri" w:hAnsi="Calibri"/>
          <w:b w:val="0"/>
          <w:sz w:val="22"/>
        </w:rPr>
        <w:t>9.2 Additional Oracle HCM Implementations</w:t>
      </w:r>
    </w:p>
    <w:p>
      <w:pPr>
        <w:pStyle w:val="Heading5"/>
        <w:keepNext/>
      </w:pPr>
      <w:r>
        <w:rPr>
          <w:rFonts w:ascii="Calibri" w:hAnsi="Calibri"/>
          <w:b w:val="0"/>
          <w:sz w:val="22"/>
        </w:rPr>
        <w:t>9.3 Mr Price Group — Oracle HCM Support</w:t>
      </w:r>
    </w:p>
    <w:p>
      <w:pPr>
        <w:pBdr>
          <w:bottom w:val="single" w:sz="4" w:space="1" w:color="CCCCCC"/>
        </w:pBdr>
        <w:spacing w:before="80" w:after="80"/>
      </w:pPr>
    </w:p>
    <w:p>
      <w:pPr>
        <w:pStyle w:val="Heading4"/>
        <w:keepNext/>
      </w:pPr>
      <w:r>
        <w:rPr>
          <w:rFonts w:ascii="Calibri" w:hAnsi="Calibri"/>
          <w:b w:val="0"/>
          <w:sz w:val="22"/>
        </w:rPr>
        <w:t>Section 10 — Integration Architecture</w:t>
      </w:r>
    </w:p>
    <w:p>
      <w:pPr>
        <w:pStyle w:val="Heading5"/>
        <w:keepNext/>
      </w:pPr>
      <w:r>
        <w:rPr>
          <w:rFonts w:ascii="Calibri" w:hAnsi="Calibri"/>
          <w:b w:val="0"/>
          <w:sz w:val="22"/>
        </w:rPr>
        <w:t>10.1 Oracle Integration Cloud — Standard Integration Layer</w:t>
      </w:r>
    </w:p>
    <w:p>
      <w:pPr>
        <w:pStyle w:val="Heading5"/>
        <w:keepNext/>
      </w:pPr>
      <w:r>
        <w:rPr>
          <w:rFonts w:ascii="Calibri" w:hAnsi="Calibri"/>
          <w:b w:val="0"/>
          <w:sz w:val="22"/>
        </w:rPr>
        <w:t>10.2 HCM Core Integration (Mandatory)</w:t>
      </w:r>
    </w:p>
    <w:p>
      <w:pPr>
        <w:pStyle w:val="Heading5"/>
        <w:keepNext/>
      </w:pPr>
      <w:r>
        <w:rPr>
          <w:rFonts w:ascii="Calibri" w:hAnsi="Calibri"/>
          <w:b w:val="0"/>
          <w:sz w:val="22"/>
        </w:rPr>
        <w:t>10.3 Performance to Compensation Integration</w:t>
      </w:r>
    </w:p>
    <w:p>
      <w:pPr>
        <w:pStyle w:val="Heading5"/>
        <w:keepNext/>
      </w:pPr>
      <w:r>
        <w:rPr>
          <w:rFonts w:ascii="Calibri" w:hAnsi="Calibri"/>
          <w:b w:val="0"/>
          <w:sz w:val="22"/>
        </w:rPr>
        <w:t>10.4 Talent to Learning Integration</w:t>
      </w:r>
    </w:p>
    <w:p>
      <w:pPr>
        <w:pStyle w:val="Heading5"/>
        <w:keepNext/>
      </w:pPr>
      <w:r>
        <w:rPr>
          <w:rFonts w:ascii="Calibri" w:hAnsi="Calibri"/>
          <w:b w:val="0"/>
          <w:sz w:val="22"/>
        </w:rPr>
        <w:t>10.5 Reporting and Analytics</w:t>
      </w:r>
    </w:p>
    <w:p>
      <w:pPr>
        <w:pBdr>
          <w:bottom w:val="single" w:sz="4" w:space="1" w:color="CCCCCC"/>
        </w:pBdr>
        <w:spacing w:before="80" w:after="80"/>
      </w:pPr>
    </w:p>
    <w:p>
      <w:pPr>
        <w:pStyle w:val="Heading4"/>
        <w:keepNext/>
      </w:pPr>
      <w:r>
        <w:rPr>
          <w:rFonts w:ascii="Calibri" w:hAnsi="Calibri"/>
          <w:b w:val="0"/>
          <w:sz w:val="22"/>
        </w:rPr>
        <w:t>Section 11 — Implementation Approach</w:t>
      </w:r>
    </w:p>
    <w:p>
      <w:pPr>
        <w:pStyle w:val="Heading5"/>
        <w:keepNext/>
      </w:pPr>
      <w:r>
        <w:rPr>
          <w:rFonts w:ascii="Calibri" w:hAnsi="Calibri"/>
          <w:b w:val="0"/>
          <w:sz w:val="22"/>
        </w:rPr>
        <w:t>11.1 Talent Phase Sequencing</w:t>
      </w:r>
    </w:p>
    <w:p>
      <w:pPr>
        <w:pStyle w:val="Heading5"/>
        <w:keepNext/>
      </w:pPr>
      <w:r>
        <w:rPr>
          <w:rFonts w:ascii="Calibri" w:hAnsi="Calibri"/>
          <w:b w:val="0"/>
          <w:sz w:val="22"/>
        </w:rPr>
        <w:t>11.2 Performance Cycle Timing</w:t>
      </w:r>
    </w:p>
    <w:p>
      <w:pPr>
        <w:pStyle w:val="Heading5"/>
        <w:keepNext/>
      </w:pPr>
      <w:r>
        <w:rPr>
          <w:rFonts w:ascii="Calibri" w:hAnsi="Calibri"/>
          <w:b w:val="0"/>
          <w:sz w:val="22"/>
        </w:rPr>
        <w:t>11.3 Change Management for Talent Adoption</w:t>
      </w:r>
    </w:p>
    <w:p>
      <w:pPr>
        <w:pStyle w:val="Heading5"/>
        <w:keepNext/>
      </w:pPr>
      <w:r>
        <w:rPr>
          <w:rFonts w:ascii="Calibri" w:hAnsi="Calibri"/>
          <w:b w:val="0"/>
          <w:sz w:val="22"/>
        </w:rPr>
        <w:t>11.4 Testing</w:t>
      </w:r>
    </w:p>
    <w:p>
      <w:pPr>
        <w:pBdr>
          <w:bottom w:val="single" w:sz="4" w:space="1" w:color="CCCCCC"/>
        </w:pBdr>
        <w:spacing w:before="80" w:after="80"/>
      </w:pPr>
    </w:p>
    <w:p>
      <w:pPr>
        <w:pStyle w:val="Heading4"/>
        <w:keepNext/>
      </w:pPr>
      <w:r>
        <w:rPr>
          <w:rFonts w:ascii="Calibri" w:hAnsi="Calibri"/>
          <w:b w:val="0"/>
          <w:sz w:val="22"/>
        </w:rPr>
        <w:t>Section 12 — Risk Register</w:t>
      </w:r>
    </w:p>
    <w:p>
      <w:pPr>
        <w:pBdr>
          <w:bottom w:val="single" w:sz="4" w:space="1" w:color="CCCCCC"/>
        </w:pBdr>
        <w:spacing w:before="80" w:after="80"/>
      </w:pPr>
    </w:p>
    <w:p>
      <w:pPr>
        <w:pStyle w:val="Heading4"/>
        <w:keepNext/>
      </w:pPr>
      <w:r>
        <w:rPr>
          <w:rFonts w:ascii="Calibri" w:hAnsi="Calibri"/>
          <w:b w:val="0"/>
          <w:sz w:val="22"/>
        </w:rPr>
        <w:t>Section 13 — Assumptions Register</w:t>
      </w:r>
    </w:p>
    <w:p>
      <w:pPr>
        <w:pBdr>
          <w:bottom w:val="single" w:sz="4" w:space="1" w:color="CCCCCC"/>
        </w:pBdr>
        <w:spacing w:before="80" w:after="80"/>
      </w:pPr>
    </w:p>
    <w:p>
      <w:pPr>
        <w:pStyle w:val="Heading4"/>
        <w:keepNext/>
      </w:pPr>
      <w:r>
        <w:rPr>
          <w:rFonts w:ascii="Calibri" w:hAnsi="Calibri"/>
          <w:b w:val="0"/>
          <w:sz w:val="22"/>
        </w:rPr>
        <w:t>Section A — Source Mapping Table</w:t>
      </w:r>
    </w:p>
    <w:p>
      <w:pPr>
        <w:pBdr>
          <w:bottom w:val="single" w:sz="4" w:space="1" w:color="CCCCCC"/>
        </w:pBdr>
        <w:spacing w:before="80" w:after="80"/>
      </w:pPr>
    </w:p>
    <w:p>
      <w:pPr>
        <w:pStyle w:val="Heading4"/>
        <w:keepNext/>
      </w:pPr>
      <w:r>
        <w:rPr>
          <w:rFonts w:ascii="Calibri" w:hAnsi="Calibri"/>
          <w:b w:val="0"/>
          <w:sz w:val="22"/>
        </w:rPr>
        <w:t>Section B — Governance Self-Review</w:t>
      </w:r>
    </w:p>
    <w:p>
      <w:pPr>
        <w:pStyle w:val="Heading5"/>
        <w:keepNext/>
      </w:pPr>
      <w:r>
        <w:rPr>
          <w:rFonts w:ascii="Calibri" w:hAnsi="Calibri"/>
          <w:b w:val="0"/>
          <w:sz w:val="22"/>
        </w:rPr>
        <w:t>B.1 Prohibited Wording Check</w:t>
      </w:r>
    </w:p>
    <w:p>
      <w:pPr>
        <w:pStyle w:val="Heading5"/>
        <w:keepNext/>
      </w:pPr>
      <w:r>
        <w:rPr>
          <w:rFonts w:ascii="Calibri" w:hAnsi="Calibri"/>
          <w:b w:val="0"/>
          <w:sz w:val="22"/>
        </w:rPr>
        <w:t>B.2 Framing Check</w:t>
      </w:r>
    </w:p>
    <w:p>
      <w:pPr>
        <w:pStyle w:val="Heading5"/>
        <w:keepNext/>
      </w:pPr>
      <w:r>
        <w:rPr>
          <w:rFonts w:ascii="Calibri" w:hAnsi="Calibri"/>
          <w:b w:val="0"/>
          <w:sz w:val="22"/>
        </w:rPr>
        <w:t>B.3 Source Traceability Check</w:t>
      </w:r>
    </w:p>
    <w:p>
      <w:pPr>
        <w:pStyle w:val="Heading5"/>
        <w:keepNext/>
      </w:pPr>
      <w:r>
        <w:rPr>
          <w:rFonts w:ascii="Calibri" w:hAnsi="Calibri"/>
          <w:b w:val="0"/>
          <w:sz w:val="22"/>
        </w:rPr>
        <w:t>B.4 Open Items — ALL CLOSED</w:t>
      </w:r>
    </w:p>
    <w:p>
      <w:pPr>
        <w:pBdr>
          <w:bottom w:val="single" w:sz="4" w:space="1" w:color="CCCCCC"/>
        </w:pBdr>
        <w:spacing w:before="80" w:after="80"/>
      </w:pPr>
    </w:p>
    <w:p>
      <w:pPr>
        <w:pStyle w:val="Heading4"/>
        <w:keepNext/>
      </w:pPr>
      <w:r>
        <w:rPr>
          <w:rFonts w:ascii="Calibri" w:hAnsi="Calibri"/>
          <w:b w:val="0"/>
          <w:sz w:val="22"/>
        </w:rPr>
        <w:t>Section C — Extraction Return Report</w:t>
      </w:r>
    </w:p>
    <w:p>
      <w:pPr>
        <w:pStyle w:val="Heading5"/>
        <w:keepNext/>
      </w:pPr>
      <w:r>
        <w:rPr>
          <w:rFonts w:ascii="Calibri" w:hAnsi="Calibri"/>
          <w:b w:val="0"/>
          <w:sz w:val="22"/>
        </w:rPr>
        <w:t>Status</w:t>
      </w:r>
    </w:p>
    <w:p>
      <w:pPr>
        <w:pStyle w:val="Heading5"/>
        <w:keepNext/>
      </w:pPr>
      <w:r>
        <w:rPr>
          <w:rFonts w:ascii="Calibri" w:hAnsi="Calibri"/>
          <w:b w:val="0"/>
          <w:sz w:val="22"/>
        </w:rPr>
        <w:t>Deliverables Produced</w:t>
      </w:r>
    </w:p>
    <w:p>
      <w:pPr>
        <w:pStyle w:val="Heading5"/>
        <w:keepNext/>
      </w:pPr>
      <w:r>
        <w:rPr>
          <w:rFonts w:ascii="Calibri" w:hAnsi="Calibri"/>
          <w:b w:val="0"/>
          <w:sz w:val="22"/>
        </w:rPr>
        <w:t>Source Usage Summary</w:t>
      </w:r>
    </w:p>
    <w:p>
      <w:pPr>
        <w:pStyle w:val="Heading5"/>
        <w:keepNext/>
      </w:pPr>
      <w:r>
        <w:rPr>
          <w:rFonts w:ascii="Calibri" w:hAnsi="Calibri"/>
          <w:b w:val="0"/>
          <w:sz w:val="22"/>
        </w:rPr>
        <w:t>Changes from v1.0 to v1.1</w:t>
      </w:r>
    </w:p>
    <w:p>
      <w:pPr>
        <w:pStyle w:val="Heading5"/>
        <w:keepNext/>
      </w:pPr>
      <w:r>
        <w:rPr>
          <w:rFonts w:ascii="Calibri" w:hAnsi="Calibri"/>
          <w:b w:val="0"/>
          <w:sz w:val="22"/>
        </w:rPr>
        <w:t>Changes from v1.1 to v1.2</w:t>
      </w:r>
    </w:p>
    <w:p>
      <w:pPr>
        <w:pStyle w:val="Heading5"/>
        <w:keepNext/>
      </w:pPr>
      <w:r>
        <w:rPr>
          <w:rFonts w:ascii="Calibri" w:hAnsi="Calibri"/>
          <w:b w:val="0"/>
          <w:sz w:val="22"/>
        </w:rPr>
        <w:t>Recommended Next Action</w:t>
      </w:r>
    </w:p>
    <w:p>
      <w:pPr>
        <w:pBdr>
          <w:bottom w:val="single" w:sz="4" w:space="1" w:color="CCCCCC"/>
        </w:pBdr>
        <w:spacing w:before="80" w:after="80"/>
      </w:pPr>
    </w:p>
    <w:p>
      <w:pPr>
        <w:pStyle w:val="Heading4"/>
        <w:keepNext/>
      </w:pPr>
      <w:r>
        <w:rPr>
          <w:rFonts w:ascii="Calibri" w:hAnsi="Calibri"/>
          <w:b w:val="0"/>
          <w:sz w:val="22"/>
        </w:rPr>
        <w:t>Section 17 — Approval Record and Pre-Tender Checks</w:t>
      </w:r>
    </w:p>
    <w:p>
      <w:pPr>
        <w:pStyle w:val="Heading5"/>
        <w:keepNext/>
      </w:pPr>
      <w:r>
        <w:rPr>
          <w:rFonts w:ascii="Calibri" w:hAnsi="Calibri"/>
          <w:b w:val="0"/>
          <w:sz w:val="22"/>
        </w:rPr>
        <w:t>17.1 Approval Record</w:t>
      </w:r>
    </w:p>
    <w:p>
      <w:pPr>
        <w:pStyle w:val="Heading5"/>
        <w:keepNext/>
      </w:pPr>
      <w:r>
        <w:rPr>
          <w:rFonts w:ascii="Calibri" w:hAnsi="Calibri"/>
          <w:b w:val="0"/>
          <w:sz w:val="22"/>
        </w:rPr>
        <w:t>17.2 Pre-Tender Checks</w:t>
      </w:r>
    </w:p>
    <w:p>
      <w:pPr>
        <w:pBdr>
          <w:bottom w:val="single" w:sz="4" w:space="1" w:color="CCCCCC"/>
        </w:pBdr>
        <w:spacing w:before="80" w:after="80"/>
      </w:pPr>
    </w:p>
    <w:p>
      <w:pPr>
        <w:pStyle w:val="Heading3"/>
        <w:keepNext/>
      </w:pPr>
      <w:r>
        <w:rPr>
          <w:rFonts w:ascii="Calibri" w:hAnsi="Calibri"/>
          <w:b w:val="0"/>
          <w:sz w:val="26"/>
        </w:rPr>
        <w:t>Oracle Fusion Recruiting Cloud</w:t>
      </w:r>
    </w:p>
    <w:p>
      <w:pPr>
        <w:pBdr>
          <w:bottom w:val="single" w:sz="4" w:space="1" w:color="CCCCCC"/>
        </w:pBdr>
        <w:spacing w:before="80" w:after="80"/>
      </w:pPr>
    </w:p>
    <w:p>
      <w:pPr>
        <w:pStyle w:val="Heading4"/>
        <w:keepNext/>
      </w:pPr>
      <w:r>
        <w:rPr>
          <w:rFonts w:ascii="Calibri" w:hAnsi="Calibri"/>
          <w:b w:val="0"/>
          <w:sz w:val="22"/>
        </w:rPr>
        <w:t>Section 1: Statement of Capability</w:t>
      </w:r>
    </w:p>
    <w:p>
      <w:pPr>
        <w:pBdr>
          <w:bottom w:val="single" w:sz="4" w:space="1" w:color="CCCCCC"/>
        </w:pBdr>
        <w:spacing w:before="80" w:after="80"/>
      </w:pPr>
    </w:p>
    <w:p>
      <w:pPr>
        <w:pStyle w:val="Heading4"/>
        <w:keepNext/>
      </w:pPr>
      <w:r>
        <w:rPr>
          <w:rFonts w:ascii="Calibri" w:hAnsi="Calibri"/>
          <w:b w:val="0"/>
          <w:sz w:val="22"/>
        </w:rPr>
        <w:t>Section 2: Oracle Fusion Recruiting Cloud — Module Overview</w:t>
      </w:r>
    </w:p>
    <w:p>
      <w:pPr>
        <w:pBdr>
          <w:bottom w:val="single" w:sz="4" w:space="1" w:color="CCCCCC"/>
        </w:pBdr>
        <w:spacing w:before="80" w:after="80"/>
      </w:pPr>
    </w:p>
    <w:p>
      <w:pPr>
        <w:pStyle w:val="Heading4"/>
        <w:keepNext/>
      </w:pPr>
      <w:r>
        <w:rPr>
          <w:rFonts w:ascii="Calibri" w:hAnsi="Calibri"/>
          <w:b w:val="0"/>
          <w:sz w:val="22"/>
        </w:rPr>
        <w:t>Section 3: Talent Acquisition Foundation and Platform Architecture</w:t>
      </w:r>
    </w:p>
    <w:p>
      <w:pPr>
        <w:pStyle w:val="Heading5"/>
        <w:keepNext/>
      </w:pPr>
      <w:r>
        <w:rPr>
          <w:rFonts w:ascii="Calibri" w:hAnsi="Calibri"/>
          <w:b w:val="0"/>
          <w:sz w:val="22"/>
        </w:rPr>
        <w:t>3.1 Oracle Fusion Recruiting Cloud — Core Architecture</w:t>
      </w:r>
    </w:p>
    <w:p>
      <w:pPr>
        <w:pStyle w:val="Heading5"/>
        <w:keepNext/>
      </w:pPr>
      <w:r>
        <w:rPr>
          <w:rFonts w:ascii="Calibri" w:hAnsi="Calibri"/>
          <w:b w:val="0"/>
          <w:sz w:val="22"/>
        </w:rPr>
        <w:t>3.2 Taleo Recruiting — Legacy Platform Experience</w:t>
      </w:r>
    </w:p>
    <w:p>
      <w:pPr>
        <w:pStyle w:val="Heading5"/>
        <w:keepNext/>
      </w:pPr>
      <w:r>
        <w:rPr>
          <w:rFonts w:ascii="Calibri" w:hAnsi="Calibri"/>
          <w:b w:val="0"/>
          <w:sz w:val="22"/>
        </w:rPr>
        <w:t>3.3 Internal Mobility</w:t>
      </w:r>
    </w:p>
    <w:p>
      <w:pPr>
        <w:pBdr>
          <w:bottom w:val="single" w:sz="4" w:space="1" w:color="CCCCCC"/>
        </w:pBdr>
        <w:spacing w:before="80" w:after="80"/>
      </w:pPr>
    </w:p>
    <w:p>
      <w:pPr>
        <w:pStyle w:val="Heading4"/>
        <w:keepNext/>
      </w:pPr>
      <w:r>
        <w:rPr>
          <w:rFonts w:ascii="Calibri" w:hAnsi="Calibri"/>
          <w:b w:val="0"/>
          <w:sz w:val="22"/>
        </w:rPr>
        <w:t>Section 4: Requisition and Vacancy Management</w:t>
      </w:r>
    </w:p>
    <w:p>
      <w:pPr>
        <w:pStyle w:val="Heading5"/>
        <w:keepNext/>
      </w:pPr>
      <w:r>
        <w:rPr>
          <w:rFonts w:ascii="Calibri" w:hAnsi="Calibri"/>
          <w:b w:val="0"/>
          <w:sz w:val="22"/>
        </w:rPr>
        <w:t>4.1 Job Requisition Configuration</w:t>
      </w:r>
    </w:p>
    <w:p>
      <w:pPr>
        <w:pStyle w:val="Heading5"/>
        <w:keepNext/>
      </w:pPr>
      <w:r>
        <w:rPr>
          <w:rFonts w:ascii="Calibri" w:hAnsi="Calibri"/>
          <w:b w:val="0"/>
          <w:sz w:val="22"/>
        </w:rPr>
        <w:t>4.2 Vacancy Management and Hiring Workflows</w:t>
      </w:r>
    </w:p>
    <w:p>
      <w:pPr>
        <w:pBdr>
          <w:bottom w:val="single" w:sz="4" w:space="1" w:color="CCCCCC"/>
        </w:pBdr>
        <w:spacing w:before="80" w:after="80"/>
      </w:pPr>
    </w:p>
    <w:p>
      <w:pPr>
        <w:pStyle w:val="Heading4"/>
        <w:keepNext/>
      </w:pPr>
      <w:r>
        <w:rPr>
          <w:rFonts w:ascii="Calibri" w:hAnsi="Calibri"/>
          <w:b w:val="0"/>
          <w:sz w:val="22"/>
        </w:rPr>
        <w:t>Section 5: Candidate Experience and Employer Branding</w:t>
      </w:r>
    </w:p>
    <w:p>
      <w:pPr>
        <w:pStyle w:val="Heading5"/>
        <w:keepNext/>
      </w:pPr>
      <w:r>
        <w:rPr>
          <w:rFonts w:ascii="Calibri" w:hAnsi="Calibri"/>
          <w:b w:val="0"/>
          <w:sz w:val="22"/>
        </w:rPr>
        <w:t>5.1 Branded Career Sites and Candidate Portals</w:t>
      </w:r>
    </w:p>
    <w:p>
      <w:pPr>
        <w:pStyle w:val="Heading5"/>
        <w:keepNext/>
      </w:pPr>
      <w:r>
        <w:rPr>
          <w:rFonts w:ascii="Calibri" w:hAnsi="Calibri"/>
          <w:b w:val="0"/>
          <w:sz w:val="22"/>
        </w:rPr>
        <w:t>5.2 Multi-Channel Job Posting and Candidate Sourcing</w:t>
      </w:r>
    </w:p>
    <w:p>
      <w:pPr>
        <w:pStyle w:val="Heading5"/>
        <w:keepNext/>
      </w:pPr>
      <w:r>
        <w:rPr>
          <w:rFonts w:ascii="Calibri" w:hAnsi="Calibri"/>
          <w:b w:val="0"/>
          <w:sz w:val="22"/>
        </w:rPr>
        <w:t>5.3 Employee Referral Programme</w:t>
      </w:r>
    </w:p>
    <w:p>
      <w:pPr>
        <w:pBdr>
          <w:bottom w:val="single" w:sz="4" w:space="1" w:color="CCCCCC"/>
        </w:pBdr>
        <w:spacing w:before="80" w:after="80"/>
      </w:pPr>
    </w:p>
    <w:p>
      <w:pPr>
        <w:pStyle w:val="Heading4"/>
        <w:keepNext/>
      </w:pPr>
      <w:r>
        <w:rPr>
          <w:rFonts w:ascii="Calibri" w:hAnsi="Calibri"/>
          <w:b w:val="0"/>
          <w:sz w:val="22"/>
        </w:rPr>
        <w:t>Section 6: Screening, Shortlisting and Interview Management</w:t>
      </w:r>
    </w:p>
    <w:p>
      <w:pPr>
        <w:pStyle w:val="Heading5"/>
        <w:keepNext/>
      </w:pPr>
      <w:r>
        <w:rPr>
          <w:rFonts w:ascii="Calibri" w:hAnsi="Calibri"/>
          <w:b w:val="0"/>
          <w:sz w:val="22"/>
        </w:rPr>
        <w:t>6.1 Screening and Shortlisting</w:t>
      </w:r>
    </w:p>
    <w:p>
      <w:pPr>
        <w:pStyle w:val="Heading5"/>
        <w:keepNext/>
      </w:pPr>
      <w:r>
        <w:rPr>
          <w:rFonts w:ascii="Calibri" w:hAnsi="Calibri"/>
          <w:b w:val="0"/>
          <w:sz w:val="22"/>
        </w:rPr>
        <w:t>6.2 Interview Management</w:t>
      </w:r>
    </w:p>
    <w:p>
      <w:pPr>
        <w:pBdr>
          <w:bottom w:val="single" w:sz="4" w:space="1" w:color="CCCCCC"/>
        </w:pBdr>
        <w:spacing w:before="80" w:after="80"/>
      </w:pPr>
    </w:p>
    <w:p>
      <w:pPr>
        <w:pStyle w:val="Heading4"/>
        <w:keepNext/>
      </w:pPr>
      <w:r>
        <w:rPr>
          <w:rFonts w:ascii="Calibri" w:hAnsi="Calibri"/>
          <w:b w:val="0"/>
          <w:sz w:val="22"/>
        </w:rPr>
        <w:t>Section 7: Offer Management</w:t>
      </w:r>
    </w:p>
    <w:p>
      <w:pPr>
        <w:pStyle w:val="Heading5"/>
        <w:keepNext/>
      </w:pPr>
      <w:r>
        <w:rPr>
          <w:rFonts w:ascii="Calibri" w:hAnsi="Calibri"/>
          <w:b w:val="0"/>
          <w:sz w:val="22"/>
        </w:rPr>
        <w:t>7.1 Offer Letter Generation and Approval</w:t>
      </w:r>
    </w:p>
    <w:p>
      <w:pPr>
        <w:pStyle w:val="Heading5"/>
        <w:keepNext/>
      </w:pPr>
      <w:r>
        <w:rPr>
          <w:rFonts w:ascii="Calibri" w:hAnsi="Calibri"/>
          <w:b w:val="0"/>
          <w:sz w:val="22"/>
        </w:rPr>
        <w:t>7.2 Transition from Offer to Onboarding</w:t>
      </w:r>
    </w:p>
    <w:p>
      <w:pPr>
        <w:pBdr>
          <w:bottom w:val="single" w:sz="4" w:space="1" w:color="CCCCCC"/>
        </w:pBdr>
        <w:spacing w:before="80" w:after="80"/>
      </w:pPr>
    </w:p>
    <w:p>
      <w:pPr>
        <w:pStyle w:val="Heading4"/>
        <w:keepNext/>
      </w:pPr>
      <w:r>
        <w:rPr>
          <w:rFonts w:ascii="Calibri" w:hAnsi="Calibri"/>
          <w:b w:val="0"/>
          <w:sz w:val="22"/>
        </w:rPr>
        <w:t>Section 8: Onboarding and Preboarding</w:t>
      </w:r>
    </w:p>
    <w:p>
      <w:pPr>
        <w:pStyle w:val="Heading5"/>
        <w:keepNext/>
      </w:pPr>
      <w:r>
        <w:rPr>
          <w:rFonts w:ascii="Calibri" w:hAnsi="Calibri"/>
          <w:b w:val="0"/>
          <w:sz w:val="22"/>
        </w:rPr>
        <w:t>8.1 Preboarding — From Offer Acceptance to Start Date</w:t>
      </w:r>
    </w:p>
    <w:p>
      <w:pPr>
        <w:pStyle w:val="Heading5"/>
        <w:keepNext/>
      </w:pPr>
      <w:r>
        <w:rPr>
          <w:rFonts w:ascii="Calibri" w:hAnsi="Calibri"/>
          <w:b w:val="0"/>
          <w:sz w:val="22"/>
        </w:rPr>
        <w:t>8.2 Structured Onboarding Workflows</w:t>
      </w:r>
    </w:p>
    <w:p>
      <w:pPr>
        <w:pStyle w:val="Heading5"/>
        <w:keepNext/>
      </w:pPr>
      <w:r>
        <w:rPr>
          <w:rFonts w:ascii="Calibri" w:hAnsi="Calibri"/>
          <w:b w:val="0"/>
          <w:sz w:val="22"/>
        </w:rPr>
        <w:t>8.3 Onboarding Reporting</w:t>
      </w:r>
    </w:p>
    <w:p>
      <w:pPr>
        <w:pBdr>
          <w:bottom w:val="single" w:sz="4" w:space="1" w:color="CCCCCC"/>
        </w:pBdr>
        <w:spacing w:before="80" w:after="80"/>
      </w:pPr>
    </w:p>
    <w:p>
      <w:pPr>
        <w:pStyle w:val="Heading4"/>
        <w:keepNext/>
      </w:pPr>
      <w:r>
        <w:rPr>
          <w:rFonts w:ascii="Calibri" w:hAnsi="Calibri"/>
          <w:b w:val="0"/>
          <w:sz w:val="22"/>
        </w:rPr>
        <w:t>Section 9: APPSolve Delivery Capability</w:t>
      </w:r>
    </w:p>
    <w:p>
      <w:pPr>
        <w:pStyle w:val="Heading5"/>
        <w:keepNext/>
      </w:pPr>
      <w:r>
        <w:rPr>
          <w:rFonts w:ascii="Calibri" w:hAnsi="Calibri"/>
          <w:b w:val="0"/>
          <w:sz w:val="22"/>
        </w:rPr>
        <w:t>9.1 Oracle Recruiting Cloud Practice</w:t>
      </w:r>
    </w:p>
    <w:p>
      <w:pPr>
        <w:pStyle w:val="Heading5"/>
        <w:keepNext/>
      </w:pPr>
      <w:r>
        <w:rPr>
          <w:rFonts w:ascii="Calibri" w:hAnsi="Calibri"/>
          <w:b w:val="0"/>
          <w:sz w:val="22"/>
        </w:rPr>
        <w:t>9.2 Recruiting Cloud Delivery Methodology</w:t>
      </w:r>
    </w:p>
    <w:p>
      <w:pPr>
        <w:pStyle w:val="Heading5"/>
        <w:keepNext/>
      </w:pPr>
      <w:r>
        <w:rPr>
          <w:rFonts w:ascii="Calibri" w:hAnsi="Calibri"/>
          <w:b w:val="0"/>
          <w:sz w:val="22"/>
        </w:rPr>
        <w:t>9.3 Resource and Delivery Model</w:t>
      </w:r>
    </w:p>
    <w:p>
      <w:pPr>
        <w:pBdr>
          <w:bottom w:val="single" w:sz="4" w:space="1" w:color="CCCCCC"/>
        </w:pBdr>
        <w:spacing w:before="80" w:after="80"/>
      </w:pPr>
    </w:p>
    <w:p>
      <w:pPr>
        <w:pStyle w:val="Heading4"/>
        <w:keepNext/>
      </w:pPr>
      <w:r>
        <w:rPr>
          <w:rFonts w:ascii="Calibri" w:hAnsi="Calibri"/>
          <w:b w:val="0"/>
          <w:sz w:val="22"/>
        </w:rPr>
        <w:t>Section 10: Implementation References</w:t>
      </w:r>
    </w:p>
    <w:p>
      <w:pPr>
        <w:pStyle w:val="Heading5"/>
        <w:keepNext/>
      </w:pPr>
      <w:r>
        <w:rPr>
          <w:rFonts w:ascii="Calibri" w:hAnsi="Calibri"/>
          <w:b w:val="0"/>
          <w:sz w:val="22"/>
        </w:rPr>
        <w:t>10.1 Hollywood Bets — Oracle Fusion Recruiting Cloud (Primary Reference)</w:t>
      </w:r>
    </w:p>
    <w:p>
      <w:pPr>
        <w:pStyle w:val="Heading5"/>
        <w:keepNext/>
      </w:pPr>
      <w:r>
        <w:rPr>
          <w:rFonts w:ascii="Calibri" w:hAnsi="Calibri"/>
          <w:b w:val="0"/>
          <w:sz w:val="22"/>
        </w:rPr>
        <w:t>10.2 Mining Sector — Active Oracle Recruiting Cloud Implementation (Pipeline Evidence)</w:t>
      </w:r>
    </w:p>
    <w:p>
      <w:pPr>
        <w:pStyle w:val="Heading5"/>
        <w:keepNext/>
      </w:pPr>
      <w:r>
        <w:rPr>
          <w:rFonts w:ascii="Calibri" w:hAnsi="Calibri"/>
          <w:b w:val="0"/>
          <w:sz w:val="22"/>
        </w:rPr>
        <w:t>10.3 Oracle Taleo Recruiting — Historical Platform Experience</w:t>
      </w:r>
    </w:p>
    <w:p>
      <w:pPr>
        <w:pBdr>
          <w:bottom w:val="single" w:sz="4" w:space="1" w:color="CCCCCC"/>
        </w:pBdr>
        <w:spacing w:before="80" w:after="80"/>
      </w:pPr>
    </w:p>
    <w:p>
      <w:pPr>
        <w:pStyle w:val="Heading4"/>
        <w:keepNext/>
      </w:pPr>
      <w:r>
        <w:rPr>
          <w:rFonts w:ascii="Calibri" w:hAnsi="Calibri"/>
          <w:b w:val="0"/>
          <w:sz w:val="22"/>
        </w:rPr>
        <w:t>Section 11: Integration Architecture</w:t>
      </w:r>
    </w:p>
    <w:p>
      <w:pPr>
        <w:pStyle w:val="Heading5"/>
        <w:keepNext/>
      </w:pPr>
      <w:r>
        <w:rPr>
          <w:rFonts w:ascii="Calibri" w:hAnsi="Calibri"/>
          <w:b w:val="0"/>
          <w:sz w:val="22"/>
        </w:rPr>
        <w:t>11.1 Standard Recruiting Cloud Integration Points</w:t>
      </w:r>
    </w:p>
    <w:p>
      <w:pPr>
        <w:pStyle w:val="Heading5"/>
        <w:keepNext/>
      </w:pPr>
      <w:r>
        <w:rPr>
          <w:rFonts w:ascii="Calibri" w:hAnsi="Calibri"/>
          <w:b w:val="0"/>
          <w:sz w:val="22"/>
        </w:rPr>
        <w:t>11.2 REST API Availability</w:t>
      </w:r>
    </w:p>
    <w:p>
      <w:pPr>
        <w:pBdr>
          <w:bottom w:val="single" w:sz="4" w:space="1" w:color="CCCCCC"/>
        </w:pBdr>
        <w:spacing w:before="80" w:after="80"/>
      </w:pPr>
    </w:p>
    <w:p>
      <w:pPr>
        <w:pStyle w:val="Heading4"/>
        <w:keepNext/>
      </w:pPr>
      <w:r>
        <w:rPr>
          <w:rFonts w:ascii="Calibri" w:hAnsi="Calibri"/>
          <w:b w:val="0"/>
          <w:sz w:val="22"/>
        </w:rPr>
        <w:t>Section 12: Implementation Approach</w:t>
      </w:r>
    </w:p>
    <w:p>
      <w:pPr>
        <w:pStyle w:val="Heading5"/>
        <w:keepNext/>
      </w:pPr>
      <w:r>
        <w:rPr>
          <w:rFonts w:ascii="Calibri" w:hAnsi="Calibri"/>
          <w:b w:val="0"/>
          <w:sz w:val="22"/>
        </w:rPr>
        <w:t>12.1 Recruiting Cloud within the Oracle HCM Programme</w:t>
      </w:r>
    </w:p>
    <w:p>
      <w:pPr>
        <w:pStyle w:val="Heading5"/>
        <w:keepNext/>
      </w:pPr>
      <w:r>
        <w:rPr>
          <w:rFonts w:ascii="Calibri" w:hAnsi="Calibri"/>
          <w:b w:val="0"/>
          <w:sz w:val="22"/>
        </w:rPr>
        <w:t>12.2 OUM Delivery Phases — Recruiting Cloud</w:t>
      </w:r>
    </w:p>
    <w:p>
      <w:pPr>
        <w:pStyle w:val="Heading5"/>
        <w:keepNext/>
      </w:pPr>
      <w:r>
        <w:rPr>
          <w:rFonts w:ascii="Calibri" w:hAnsi="Calibri"/>
          <w:b w:val="0"/>
          <w:sz w:val="22"/>
        </w:rPr>
        <w:t>12.3 Standard Implementation Assumptions</w:t>
      </w:r>
    </w:p>
    <w:p>
      <w:pPr>
        <w:pBdr>
          <w:bottom w:val="single" w:sz="4" w:space="1" w:color="CCCCCC"/>
        </w:pBdr>
        <w:spacing w:before="80" w:after="80"/>
      </w:pPr>
    </w:p>
    <w:p>
      <w:pPr>
        <w:pStyle w:val="Heading4"/>
        <w:keepNext/>
      </w:pPr>
      <w:r>
        <w:rPr>
          <w:rFonts w:ascii="Calibri" w:hAnsi="Calibri"/>
          <w:b w:val="0"/>
          <w:sz w:val="22"/>
        </w:rPr>
        <w:t>Section 13: Risk Register</w:t>
      </w:r>
    </w:p>
    <w:p>
      <w:pPr>
        <w:pBdr>
          <w:bottom w:val="single" w:sz="4" w:space="1" w:color="CCCCCC"/>
        </w:pBdr>
        <w:spacing w:before="80" w:after="80"/>
      </w:pPr>
    </w:p>
    <w:p>
      <w:pPr>
        <w:pStyle w:val="Heading4"/>
        <w:keepNext/>
      </w:pPr>
      <w:r>
        <w:rPr>
          <w:rFonts w:ascii="Calibri" w:hAnsi="Calibri"/>
          <w:b w:val="0"/>
          <w:sz w:val="22"/>
        </w:rPr>
        <w:t>Section 14: Assumptions Register</w:t>
      </w:r>
    </w:p>
    <w:p>
      <w:pPr>
        <w:pBdr>
          <w:bottom w:val="single" w:sz="4" w:space="1" w:color="CCCCCC"/>
        </w:pBdr>
        <w:spacing w:before="80" w:after="80"/>
      </w:pPr>
    </w:p>
    <w:p>
      <w:pPr>
        <w:pStyle w:val="Heading4"/>
        <w:keepNext/>
      </w:pPr>
      <w:r>
        <w:rPr>
          <w:rFonts w:ascii="Calibri" w:hAnsi="Calibri"/>
          <w:b w:val="0"/>
          <w:sz w:val="22"/>
        </w:rPr>
        <w:t>Section 17: Approval Record</w:t>
      </w:r>
    </w:p>
    <w:p>
      <w:pPr>
        <w:pBdr>
          <w:bottom w:val="single" w:sz="4" w:space="1" w:color="CCCCCC"/>
        </w:pBdr>
        <w:spacing w:before="80" w:after="80"/>
      </w:pPr>
    </w:p>
    <w:p>
      <w:pPr>
        <w:pStyle w:val="Heading4"/>
        <w:keepNext/>
      </w:pPr>
      <w:r>
        <w:rPr>
          <w:rFonts w:ascii="Calibri" w:hAnsi="Calibri"/>
          <w:b w:val="0"/>
          <w:sz w:val="22"/>
        </w:rPr>
        <w:t>Appendix A: Source Mapping Table</w:t>
      </w:r>
    </w:p>
    <w:p>
      <w:pPr>
        <w:pBdr>
          <w:bottom w:val="single" w:sz="4" w:space="1" w:color="CCCCCC"/>
        </w:pBdr>
        <w:spacing w:before="80" w:after="80"/>
      </w:pPr>
    </w:p>
    <w:p>
      <w:pPr>
        <w:pStyle w:val="Heading4"/>
        <w:keepNext/>
      </w:pPr>
      <w:r>
        <w:rPr>
          <w:rFonts w:ascii="Calibri" w:hAnsi="Calibri"/>
          <w:b w:val="0"/>
          <w:sz w:val="22"/>
        </w:rPr>
        <w:t>Appendix B: Governance Self-Review</w:t>
      </w:r>
    </w:p>
    <w:p>
      <w:pPr>
        <w:pBdr>
          <w:bottom w:val="single" w:sz="4" w:space="1" w:color="CCCCCC"/>
        </w:pBdr>
        <w:spacing w:before="80" w:after="80"/>
      </w:pPr>
    </w:p>
    <w:p>
      <w:pPr>
        <w:pStyle w:val="Heading4"/>
        <w:keepNext/>
      </w:pPr>
      <w:r>
        <w:rPr>
          <w:rFonts w:ascii="Calibri" w:hAnsi="Calibri"/>
          <w:b w:val="0"/>
          <w:sz w:val="22"/>
        </w:rPr>
        <w:t>Appendix C: Extraction Return Report</w:t>
      </w:r>
    </w:p>
    <w:p>
      <w:pPr>
        <w:pBdr>
          <w:bottom w:val="single" w:sz="4" w:space="1" w:color="CCCCCC"/>
        </w:pBdr>
        <w:spacing w:before="80" w:after="80"/>
      </w:pPr>
    </w:p>
    <w:p>
      <w:pPr>
        <w:pStyle w:val="Heading3"/>
        <w:keepNext/>
      </w:pPr>
      <w:r>
        <w:rPr>
          <w:rFonts w:ascii="Calibri" w:hAnsi="Calibri"/>
          <w:b w:val="0"/>
          <w:sz w:val="26"/>
        </w:rPr>
        <w:t>Oracle Fusion Learning Cloud</w:t>
      </w:r>
    </w:p>
    <w:p>
      <w:pPr>
        <w:pBdr>
          <w:bottom w:val="single" w:sz="4" w:space="1" w:color="CCCCCC"/>
        </w:pBdr>
        <w:spacing w:before="80" w:after="80"/>
      </w:pPr>
    </w:p>
    <w:p>
      <w:pPr>
        <w:pStyle w:val="Heading4"/>
        <w:keepNext/>
      </w:pPr>
      <w:r>
        <w:rPr>
          <w:rFonts w:ascii="Calibri" w:hAnsi="Calibri"/>
          <w:b w:val="0"/>
          <w:sz w:val="22"/>
        </w:rPr>
        <w:t>Section 1: Statement of Capability</w:t>
      </w:r>
    </w:p>
    <w:p>
      <w:pPr>
        <w:pBdr>
          <w:bottom w:val="single" w:sz="4" w:space="1" w:color="CCCCCC"/>
        </w:pBdr>
        <w:spacing w:before="80" w:after="80"/>
      </w:pPr>
    </w:p>
    <w:p>
      <w:pPr>
        <w:pStyle w:val="Heading4"/>
        <w:keepNext/>
      </w:pPr>
      <w:r>
        <w:rPr>
          <w:rFonts w:ascii="Calibri" w:hAnsi="Calibri"/>
          <w:b w:val="0"/>
          <w:sz w:val="22"/>
        </w:rPr>
        <w:t>Section 2: Oracle Fusion Learning Cloud — Module Overview</w:t>
      </w:r>
    </w:p>
    <w:p>
      <w:pPr>
        <w:pBdr>
          <w:bottom w:val="single" w:sz="4" w:space="1" w:color="CCCCCC"/>
        </w:pBdr>
        <w:spacing w:before="80" w:after="80"/>
      </w:pPr>
    </w:p>
    <w:p>
      <w:pPr>
        <w:pStyle w:val="Heading4"/>
        <w:keepNext/>
      </w:pPr>
      <w:r>
        <w:rPr>
          <w:rFonts w:ascii="Calibri" w:hAnsi="Calibri"/>
          <w:b w:val="0"/>
          <w:sz w:val="22"/>
        </w:rPr>
        <w:t>Section 3: Learning Administration and Course Catalog Management</w:t>
      </w:r>
    </w:p>
    <w:p>
      <w:pPr>
        <w:pStyle w:val="Heading5"/>
        <w:keepNext/>
      </w:pPr>
      <w:r>
        <w:rPr>
          <w:rFonts w:ascii="Calibri" w:hAnsi="Calibri"/>
          <w:b w:val="0"/>
          <w:sz w:val="22"/>
        </w:rPr>
        <w:t>3.1 Learning Administration Framework</w:t>
      </w:r>
    </w:p>
    <w:p>
      <w:pPr>
        <w:pStyle w:val="Heading5"/>
        <w:keepNext/>
      </w:pPr>
      <w:r>
        <w:rPr>
          <w:rFonts w:ascii="Calibri" w:hAnsi="Calibri"/>
          <w:b w:val="0"/>
          <w:sz w:val="22"/>
        </w:rPr>
        <w:t>3.2 Course Catalog and Content Management</w:t>
      </w:r>
    </w:p>
    <w:p>
      <w:pPr>
        <w:pBdr>
          <w:bottom w:val="single" w:sz="4" w:space="1" w:color="CCCCCC"/>
        </w:pBdr>
        <w:spacing w:before="80" w:after="80"/>
      </w:pPr>
    </w:p>
    <w:p>
      <w:pPr>
        <w:pStyle w:val="Heading4"/>
        <w:keepNext/>
      </w:pPr>
      <w:r>
        <w:rPr>
          <w:rFonts w:ascii="Calibri" w:hAnsi="Calibri"/>
          <w:b w:val="0"/>
          <w:sz w:val="22"/>
        </w:rPr>
        <w:t>Section 4: Learning Assignments and Compliance Training</w:t>
      </w:r>
    </w:p>
    <w:p>
      <w:pPr>
        <w:pStyle w:val="Heading5"/>
        <w:keepNext/>
      </w:pPr>
      <w:r>
        <w:rPr>
          <w:rFonts w:ascii="Calibri" w:hAnsi="Calibri"/>
          <w:b w:val="0"/>
          <w:sz w:val="22"/>
        </w:rPr>
        <w:t>4.1 Learning Assignments</w:t>
      </w:r>
    </w:p>
    <w:p>
      <w:pPr>
        <w:pStyle w:val="Heading5"/>
        <w:keepNext/>
      </w:pPr>
      <w:r>
        <w:rPr>
          <w:rFonts w:ascii="Calibri" w:hAnsi="Calibri"/>
          <w:b w:val="0"/>
          <w:sz w:val="22"/>
        </w:rPr>
        <w:t>4.2 Compliance Training</w:t>
      </w:r>
    </w:p>
    <w:p>
      <w:pPr>
        <w:pBdr>
          <w:bottom w:val="single" w:sz="4" w:space="1" w:color="CCCCCC"/>
        </w:pBdr>
        <w:spacing w:before="80" w:after="80"/>
      </w:pPr>
    </w:p>
    <w:p>
      <w:pPr>
        <w:pStyle w:val="Heading4"/>
        <w:keepNext/>
      </w:pPr>
      <w:r>
        <w:rPr>
          <w:rFonts w:ascii="Calibri" w:hAnsi="Calibri"/>
          <w:b w:val="0"/>
          <w:sz w:val="22"/>
        </w:rPr>
        <w:t>Section 5: Learning Paths and Certifications</w:t>
      </w:r>
    </w:p>
    <w:p>
      <w:pPr>
        <w:pStyle w:val="Heading5"/>
        <w:keepNext/>
      </w:pPr>
      <w:r>
        <w:rPr>
          <w:rFonts w:ascii="Calibri" w:hAnsi="Calibri"/>
          <w:b w:val="0"/>
          <w:sz w:val="22"/>
        </w:rPr>
        <w:t>5.1 Learning Paths and Structured Development Programmes</w:t>
      </w:r>
    </w:p>
    <w:p>
      <w:pPr>
        <w:pStyle w:val="Heading5"/>
        <w:keepNext/>
      </w:pPr>
      <w:r>
        <w:rPr>
          <w:rFonts w:ascii="Calibri" w:hAnsi="Calibri"/>
          <w:b w:val="0"/>
          <w:sz w:val="22"/>
        </w:rPr>
        <w:t>5.2 Certification Management</w:t>
      </w:r>
    </w:p>
    <w:p>
      <w:pPr>
        <w:pBdr>
          <w:bottom w:val="single" w:sz="4" w:space="1" w:color="CCCCCC"/>
        </w:pBdr>
        <w:spacing w:before="80" w:after="80"/>
      </w:pPr>
    </w:p>
    <w:p>
      <w:pPr>
        <w:pStyle w:val="Heading4"/>
        <w:keepNext/>
      </w:pPr>
      <w:r>
        <w:rPr>
          <w:rFonts w:ascii="Calibri" w:hAnsi="Calibri"/>
          <w:b w:val="0"/>
          <w:sz w:val="22"/>
        </w:rPr>
        <w:t>Section 6: Self-Service Learning and Mobile Access</w:t>
      </w:r>
    </w:p>
    <w:p>
      <w:pPr>
        <w:pStyle w:val="Heading5"/>
        <w:keepNext/>
      </w:pPr>
      <w:r>
        <w:rPr>
          <w:rFonts w:ascii="Calibri" w:hAnsi="Calibri"/>
          <w:b w:val="0"/>
          <w:sz w:val="22"/>
        </w:rPr>
        <w:t>6.1 Employee Self-Service Learning</w:t>
      </w:r>
    </w:p>
    <w:p>
      <w:pPr>
        <w:pStyle w:val="Heading5"/>
        <w:keepNext/>
      </w:pPr>
      <w:r>
        <w:rPr>
          <w:rFonts w:ascii="Calibri" w:hAnsi="Calibri"/>
          <w:b w:val="0"/>
          <w:sz w:val="22"/>
        </w:rPr>
        <w:t>6.2 Mobile Learning and Offline Access</w:t>
      </w:r>
    </w:p>
    <w:p>
      <w:pPr>
        <w:pBdr>
          <w:bottom w:val="single" w:sz="4" w:space="1" w:color="CCCCCC"/>
        </w:pBdr>
        <w:spacing w:before="80" w:after="80"/>
      </w:pPr>
    </w:p>
    <w:p>
      <w:pPr>
        <w:pStyle w:val="Heading4"/>
        <w:keepNext/>
      </w:pPr>
      <w:r>
        <w:rPr>
          <w:rFonts w:ascii="Calibri" w:hAnsi="Calibri"/>
          <w:b w:val="0"/>
          <w:sz w:val="22"/>
        </w:rPr>
        <w:t>Section 7: Social and Collaborative Learning</w:t>
      </w:r>
    </w:p>
    <w:p>
      <w:pPr>
        <w:pBdr>
          <w:bottom w:val="single" w:sz="4" w:space="1" w:color="CCCCCC"/>
        </w:pBdr>
        <w:spacing w:before="80" w:after="80"/>
      </w:pPr>
    </w:p>
    <w:p>
      <w:pPr>
        <w:pStyle w:val="Heading4"/>
        <w:keepNext/>
      </w:pPr>
      <w:r>
        <w:rPr>
          <w:rFonts w:ascii="Calibri" w:hAnsi="Calibri"/>
          <w:b w:val="0"/>
          <w:sz w:val="22"/>
        </w:rPr>
        <w:t>Section 8: Skills Development and Talent Profile Integration</w:t>
      </w:r>
    </w:p>
    <w:p>
      <w:pPr>
        <w:pStyle w:val="Heading5"/>
        <w:keepNext/>
      </w:pPr>
      <w:r>
        <w:rPr>
          <w:rFonts w:ascii="Calibri" w:hAnsi="Calibri"/>
          <w:b w:val="0"/>
          <w:sz w:val="22"/>
        </w:rPr>
        <w:t>8.1 Learning and Skills Integration</w:t>
      </w:r>
    </w:p>
    <w:p>
      <w:pPr>
        <w:pStyle w:val="Heading5"/>
        <w:keepNext/>
      </w:pPr>
      <w:r>
        <w:rPr>
          <w:rFonts w:ascii="Calibri" w:hAnsi="Calibri"/>
          <w:b w:val="0"/>
          <w:sz w:val="22"/>
        </w:rPr>
        <w:t>8.2 AI-Enabled Skills Development</w:t>
      </w:r>
    </w:p>
    <w:p>
      <w:pPr>
        <w:pBdr>
          <w:bottom w:val="single" w:sz="4" w:space="1" w:color="CCCCCC"/>
        </w:pBdr>
        <w:spacing w:before="80" w:after="80"/>
      </w:pPr>
    </w:p>
    <w:p>
      <w:pPr>
        <w:pStyle w:val="Heading4"/>
        <w:keepNext/>
      </w:pPr>
      <w:r>
        <w:rPr>
          <w:rFonts w:ascii="Calibri" w:hAnsi="Calibri"/>
          <w:b w:val="0"/>
          <w:sz w:val="22"/>
        </w:rPr>
        <w:t>Section 9: Learning Analytics — Capability Scope and Boundaries</w:t>
      </w:r>
    </w:p>
    <w:p>
      <w:pPr>
        <w:pStyle w:val="Heading5"/>
        <w:keepNext/>
      </w:pPr>
      <w:r>
        <w:rPr>
          <w:rFonts w:ascii="Calibri" w:hAnsi="Calibri"/>
          <w:b w:val="0"/>
          <w:sz w:val="22"/>
        </w:rPr>
        <w:t>9.1 Oracle Fusion Learning Cloud — Built-In Tracking</w:t>
      </w:r>
    </w:p>
    <w:p>
      <w:pPr>
        <w:pStyle w:val="Heading5"/>
        <w:keepNext/>
      </w:pPr>
      <w:r>
        <w:rPr>
          <w:rFonts w:ascii="Calibri" w:hAnsi="Calibri"/>
          <w:b w:val="0"/>
          <w:sz w:val="22"/>
        </w:rPr>
        <w:t>9.2 Oracle HCM Analytics — Advanced Learning Analytics</w:t>
      </w:r>
    </w:p>
    <w:p>
      <w:pPr>
        <w:pBdr>
          <w:bottom w:val="single" w:sz="4" w:space="1" w:color="CCCCCC"/>
        </w:pBdr>
        <w:spacing w:before="80" w:after="80"/>
      </w:pPr>
    </w:p>
    <w:p>
      <w:pPr>
        <w:pStyle w:val="Heading4"/>
        <w:keepNext/>
      </w:pPr>
      <w:r>
        <w:rPr>
          <w:rFonts w:ascii="Calibri" w:hAnsi="Calibri"/>
          <w:b w:val="0"/>
          <w:sz w:val="22"/>
        </w:rPr>
        <w:t>Section 10: APPSolve Delivery Capability</w:t>
      </w:r>
    </w:p>
    <w:p>
      <w:pPr>
        <w:pStyle w:val="Heading5"/>
        <w:keepNext/>
      </w:pPr>
      <w:r>
        <w:rPr>
          <w:rFonts w:ascii="Calibri" w:hAnsi="Calibri"/>
          <w:b w:val="0"/>
          <w:sz w:val="22"/>
        </w:rPr>
        <w:t>10.1 Oracle Learning Cloud Practice</w:t>
      </w:r>
    </w:p>
    <w:p>
      <w:pPr>
        <w:pStyle w:val="Heading5"/>
        <w:keepNext/>
      </w:pPr>
      <w:r>
        <w:rPr>
          <w:rFonts w:ascii="Calibri" w:hAnsi="Calibri"/>
          <w:b w:val="0"/>
          <w:sz w:val="22"/>
        </w:rPr>
        <w:t>10.2 Learning Cloud Delivery Approach</w:t>
      </w:r>
    </w:p>
    <w:p>
      <w:pPr>
        <w:pStyle w:val="Heading5"/>
        <w:keepNext/>
      </w:pPr>
      <w:r>
        <w:rPr>
          <w:rFonts w:ascii="Calibri" w:hAnsi="Calibri"/>
          <w:b w:val="0"/>
          <w:sz w:val="22"/>
        </w:rPr>
        <w:t>10.3 Resource and Delivery Model</w:t>
      </w:r>
    </w:p>
    <w:p>
      <w:pPr>
        <w:pBdr>
          <w:bottom w:val="single" w:sz="4" w:space="1" w:color="CCCCCC"/>
        </w:pBdr>
        <w:spacing w:before="80" w:after="80"/>
      </w:pPr>
    </w:p>
    <w:p>
      <w:pPr>
        <w:pStyle w:val="Heading4"/>
        <w:keepNext/>
      </w:pPr>
      <w:r>
        <w:rPr>
          <w:rFonts w:ascii="Calibri" w:hAnsi="Calibri"/>
          <w:b w:val="0"/>
          <w:sz w:val="22"/>
        </w:rPr>
        <w:t>Section 11: Implementation References</w:t>
      </w:r>
    </w:p>
    <w:p>
      <w:pPr>
        <w:pStyle w:val="Heading5"/>
        <w:keepNext/>
      </w:pPr>
      <w:r>
        <w:rPr>
          <w:rFonts w:ascii="Calibri" w:hAnsi="Calibri"/>
          <w:b w:val="0"/>
          <w:sz w:val="22"/>
        </w:rPr>
        <w:t>11.1 Mr Price Group — Oracle Fusion Learning Cloud (Primary Reference)</w:t>
      </w:r>
    </w:p>
    <w:p>
      <w:pPr>
        <w:pStyle w:val="Heading5"/>
        <w:keepNext/>
      </w:pPr>
      <w:r>
        <w:rPr>
          <w:rFonts w:ascii="Calibri" w:hAnsi="Calibri"/>
          <w:b w:val="0"/>
          <w:sz w:val="22"/>
        </w:rPr>
        <w:t>11.2 Additional Oracle Learning Cloud Implementation Evidence (Internal)</w:t>
      </w:r>
    </w:p>
    <w:p>
      <w:pPr>
        <w:pBdr>
          <w:bottom w:val="single" w:sz="4" w:space="1" w:color="CCCCCC"/>
        </w:pBdr>
        <w:spacing w:before="80" w:after="80"/>
      </w:pPr>
    </w:p>
    <w:p>
      <w:pPr>
        <w:pStyle w:val="Heading4"/>
        <w:keepNext/>
      </w:pPr>
      <w:r>
        <w:rPr>
          <w:rFonts w:ascii="Calibri" w:hAnsi="Calibri"/>
          <w:b w:val="0"/>
          <w:sz w:val="22"/>
        </w:rPr>
        <w:t>Section 12: Integration Architecture</w:t>
      </w:r>
    </w:p>
    <w:p>
      <w:pPr>
        <w:pStyle w:val="Heading5"/>
        <w:keepNext/>
      </w:pPr>
      <w:r>
        <w:rPr>
          <w:rFonts w:ascii="Calibri" w:hAnsi="Calibri"/>
          <w:b w:val="0"/>
          <w:sz w:val="22"/>
        </w:rPr>
        <w:t>12.1 Standard Learning Cloud Integration Points</w:t>
      </w:r>
    </w:p>
    <w:p>
      <w:pPr>
        <w:pStyle w:val="Heading5"/>
        <w:keepNext/>
      </w:pPr>
      <w:r>
        <w:rPr>
          <w:rFonts w:ascii="Calibri" w:hAnsi="Calibri"/>
          <w:b w:val="0"/>
          <w:sz w:val="22"/>
        </w:rPr>
        <w:t>12.2 REST API and Data Loader Support</w:t>
      </w:r>
    </w:p>
    <w:p>
      <w:pPr>
        <w:pBdr>
          <w:bottom w:val="single" w:sz="4" w:space="1" w:color="CCCCCC"/>
        </w:pBdr>
        <w:spacing w:before="80" w:after="80"/>
      </w:pPr>
    </w:p>
    <w:p>
      <w:pPr>
        <w:pStyle w:val="Heading4"/>
        <w:keepNext/>
      </w:pPr>
      <w:r>
        <w:rPr>
          <w:rFonts w:ascii="Calibri" w:hAnsi="Calibri"/>
          <w:b w:val="0"/>
          <w:sz w:val="22"/>
        </w:rPr>
        <w:t>Section 13: Implementation Approach</w:t>
      </w:r>
    </w:p>
    <w:p>
      <w:pPr>
        <w:pStyle w:val="Heading5"/>
        <w:keepNext/>
      </w:pPr>
      <w:r>
        <w:rPr>
          <w:rFonts w:ascii="Calibri" w:hAnsi="Calibri"/>
          <w:b w:val="0"/>
          <w:sz w:val="22"/>
        </w:rPr>
        <w:t>13.1 Learning Cloud within the Oracle Fusion HCM Programme</w:t>
      </w:r>
    </w:p>
    <w:p>
      <w:pPr>
        <w:pStyle w:val="Heading5"/>
        <w:keepNext/>
      </w:pPr>
      <w:r>
        <w:rPr>
          <w:rFonts w:ascii="Calibri" w:hAnsi="Calibri"/>
          <w:b w:val="0"/>
          <w:sz w:val="22"/>
        </w:rPr>
        <w:t>13.2 OUM Delivery Phases — Learning Cloud</w:t>
      </w:r>
    </w:p>
    <w:p>
      <w:pPr>
        <w:pBdr>
          <w:bottom w:val="single" w:sz="4" w:space="1" w:color="CCCCCC"/>
        </w:pBdr>
        <w:spacing w:before="80" w:after="80"/>
      </w:pPr>
    </w:p>
    <w:p>
      <w:pPr>
        <w:pStyle w:val="Heading4"/>
        <w:keepNext/>
      </w:pPr>
      <w:r>
        <w:rPr>
          <w:rFonts w:ascii="Calibri" w:hAnsi="Calibri"/>
          <w:b w:val="0"/>
          <w:sz w:val="22"/>
        </w:rPr>
        <w:t>Section 14: Risk Register</w:t>
      </w:r>
    </w:p>
    <w:p>
      <w:pPr>
        <w:pBdr>
          <w:bottom w:val="single" w:sz="4" w:space="1" w:color="CCCCCC"/>
        </w:pBdr>
        <w:spacing w:before="80" w:after="80"/>
      </w:pPr>
    </w:p>
    <w:p>
      <w:pPr>
        <w:pStyle w:val="Heading4"/>
        <w:keepNext/>
      </w:pPr>
      <w:r>
        <w:rPr>
          <w:rFonts w:ascii="Calibri" w:hAnsi="Calibri"/>
          <w:b w:val="0"/>
          <w:sz w:val="22"/>
        </w:rPr>
        <w:t>Section 15: Assumptions Register</w:t>
      </w:r>
    </w:p>
    <w:p>
      <w:pPr>
        <w:pBdr>
          <w:bottom w:val="single" w:sz="4" w:space="1" w:color="CCCCCC"/>
        </w:pBdr>
        <w:spacing w:before="80" w:after="80"/>
      </w:pPr>
    </w:p>
    <w:p>
      <w:pPr>
        <w:pStyle w:val="Heading4"/>
        <w:keepNext/>
      </w:pPr>
      <w:r>
        <w:rPr>
          <w:rFonts w:ascii="Calibri" w:hAnsi="Calibri"/>
          <w:b w:val="0"/>
          <w:sz w:val="22"/>
        </w:rPr>
        <w:t>Section 17: Approval Record</w:t>
      </w:r>
    </w:p>
    <w:p>
      <w:pPr>
        <w:pBdr>
          <w:bottom w:val="single" w:sz="4" w:space="1" w:color="CCCCCC"/>
        </w:pBdr>
        <w:spacing w:before="80" w:after="80"/>
      </w:pPr>
    </w:p>
    <w:p>
      <w:pPr>
        <w:pStyle w:val="Heading4"/>
        <w:keepNext/>
      </w:pPr>
      <w:r>
        <w:rPr>
          <w:rFonts w:ascii="Calibri" w:hAnsi="Calibri"/>
          <w:b w:val="0"/>
          <w:sz w:val="22"/>
        </w:rPr>
        <w:t>Appendix A: Source Mapping Table</w:t>
      </w:r>
    </w:p>
    <w:p>
      <w:pPr>
        <w:pBdr>
          <w:bottom w:val="single" w:sz="4" w:space="1" w:color="CCCCCC"/>
        </w:pBdr>
        <w:spacing w:before="80" w:after="80"/>
      </w:pPr>
    </w:p>
    <w:p>
      <w:pPr>
        <w:pStyle w:val="Heading4"/>
        <w:keepNext/>
      </w:pPr>
      <w:r>
        <w:rPr>
          <w:rFonts w:ascii="Calibri" w:hAnsi="Calibri"/>
          <w:b w:val="0"/>
          <w:sz w:val="22"/>
        </w:rPr>
        <w:t>Appendix B: Governance Self-Review</w:t>
      </w:r>
    </w:p>
    <w:p>
      <w:pPr>
        <w:pBdr>
          <w:bottom w:val="single" w:sz="4" w:space="1" w:color="CCCCCC"/>
        </w:pBdr>
        <w:spacing w:before="80" w:after="80"/>
      </w:pPr>
    </w:p>
    <w:p>
      <w:pPr>
        <w:pStyle w:val="Heading4"/>
        <w:keepNext/>
      </w:pPr>
      <w:r>
        <w:rPr>
          <w:rFonts w:ascii="Calibri" w:hAnsi="Calibri"/>
          <w:b w:val="0"/>
          <w:sz w:val="22"/>
        </w:rPr>
        <w:t>Appendix C: Extraction Return Report</w:t>
      </w:r>
    </w:p>
    <w:p>
      <w:pPr>
        <w:pBdr>
          <w:bottom w:val="single" w:sz="4" w:space="1" w:color="CCCCCC"/>
        </w:pBdr>
        <w:spacing w:before="80" w:after="80"/>
      </w:pPr>
    </w:p>
    <w:p>
      <w:pPr>
        <w:pStyle w:val="Heading3"/>
        <w:keepNext/>
      </w:pPr>
      <w:r>
        <w:rPr>
          <w:rFonts w:ascii="Calibri" w:hAnsi="Calibri"/>
          <w:b w:val="0"/>
          <w:sz w:val="26"/>
        </w:rPr>
        <w:t>Oracle HCM Analytics &amp; Workforce Intelligence</w:t>
      </w:r>
    </w:p>
    <w:p>
      <w:pPr>
        <w:pBdr>
          <w:bottom w:val="single" w:sz="4" w:space="1" w:color="CCCCCC"/>
        </w:pBdr>
        <w:spacing w:before="80" w:after="80"/>
      </w:pPr>
    </w:p>
    <w:p>
      <w:pPr>
        <w:pStyle w:val="Heading4"/>
        <w:keepNext/>
      </w:pPr>
      <w:r>
        <w:rPr>
          <w:rFonts w:ascii="Calibri" w:hAnsi="Calibri"/>
          <w:b w:val="0"/>
          <w:sz w:val="22"/>
        </w:rPr>
        <w:t>Section 1: Statement of Capability</w:t>
      </w:r>
    </w:p>
    <w:p>
      <w:pPr>
        <w:pBdr>
          <w:bottom w:val="single" w:sz="4" w:space="1" w:color="CCCCCC"/>
        </w:pBdr>
        <w:spacing w:before="80" w:after="80"/>
      </w:pPr>
    </w:p>
    <w:p>
      <w:pPr>
        <w:pStyle w:val="Heading4"/>
        <w:keepNext/>
      </w:pPr>
      <w:r>
        <w:rPr>
          <w:rFonts w:ascii="Calibri" w:hAnsi="Calibri"/>
          <w:b w:val="0"/>
          <w:sz w:val="22"/>
        </w:rPr>
        <w:t>Section 2: Oracle HCM Analytics Architecture — Product Hierarchy and Boundary</w:t>
      </w:r>
    </w:p>
    <w:p>
      <w:pPr>
        <w:pStyle w:val="Heading5"/>
        <w:keepNext/>
      </w:pPr>
      <w:r>
        <w:rPr>
          <w:rFonts w:ascii="Calibri" w:hAnsi="Calibri"/>
          <w:b w:val="0"/>
          <w:sz w:val="22"/>
        </w:rPr>
        <w:t>2.1 Analytics Product Hierarchy</w:t>
      </w:r>
    </w:p>
    <w:p>
      <w:pPr>
        <w:pStyle w:val="Heading5"/>
        <w:keepNext/>
      </w:pPr>
      <w:r>
        <w:rPr>
          <w:rFonts w:ascii="Calibri" w:hAnsi="Calibri"/>
          <w:b w:val="0"/>
          <w:sz w:val="22"/>
        </w:rPr>
        <w:t>2.2 Critical Licensing Boundary</w:t>
      </w:r>
    </w:p>
    <w:p>
      <w:pPr>
        <w:pStyle w:val="Heading5"/>
        <w:keepNext/>
      </w:pPr>
      <w:r>
        <w:rPr>
          <w:rFonts w:ascii="Calibri" w:hAnsi="Calibri"/>
          <w:b w:val="0"/>
          <w:sz w:val="22"/>
        </w:rPr>
        <w:t>2.3 Fusion Analytics Warehouse (FAW)</w:t>
      </w:r>
    </w:p>
    <w:p>
      <w:pPr>
        <w:pBdr>
          <w:bottom w:val="single" w:sz="4" w:space="1" w:color="CCCCCC"/>
        </w:pBdr>
        <w:spacing w:before="80" w:after="80"/>
      </w:pPr>
    </w:p>
    <w:p>
      <w:pPr>
        <w:pStyle w:val="Heading4"/>
        <w:keepNext/>
      </w:pPr>
      <w:r>
        <w:rPr>
          <w:rFonts w:ascii="Calibri" w:hAnsi="Calibri"/>
          <w:b w:val="0"/>
          <w:sz w:val="22"/>
        </w:rPr>
        <w:t>Section 3: Oracle Transactional Business Intelligence (OTBI) — Standard Embedded Reporting</w:t>
      </w:r>
    </w:p>
    <w:p>
      <w:pPr>
        <w:pStyle w:val="Heading5"/>
        <w:keepNext/>
      </w:pPr>
      <w:r>
        <w:rPr>
          <w:rFonts w:ascii="Calibri" w:hAnsi="Calibri"/>
          <w:b w:val="0"/>
          <w:sz w:val="22"/>
        </w:rPr>
        <w:t>3.1 OTBI Overview</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**APPSolve delivery confirmation:**</w:t>
            </w:r>
            <w:r>
              <w:rPr>
                <w:rFonts w:ascii="Calibri" w:hAnsi="Calibri"/>
                <w:b w:val="0"/>
                <w:sz w:val="20"/>
              </w:rPr>
              <w:t xml:space="preserve"> RedPath Mining RFI (March 2026) — </w:t>
            </w:r>
            <w:r>
              <w:rPr>
                <w:rFonts w:ascii="Calibri" w:hAnsi="Calibri"/>
                <w:sz w:val="20"/>
              </w:rPr>
              <w:t>*"APPSolve developers have extensive experience in writing OTBI and BI Publisher reports. Also using Visual Builder Studio (VB Studio) for Oracle Redwood pages for extensive personalisation of Redwood UI elements."*</w:t>
            </w:r>
          </w:p>
        </w:tc>
      </w:tr>
    </w:tbl>
    <w:p>
      <w:pPr>
        <w:spacing w:before="0" w:after="120"/>
      </w:pPr>
    </w:p>
    <w:p>
      <w:pPr>
        <w:pStyle w:val="Heading5"/>
        <w:keepNext/>
      </w:pPr>
      <w:r>
        <w:rPr>
          <w:rFonts w:ascii="Calibri" w:hAnsi="Calibri"/>
          <w:b w:val="0"/>
          <w:sz w:val="22"/>
        </w:rPr>
        <w:t>3.2 OTBI Capabilities</w:t>
      </w:r>
    </w:p>
    <w:p>
      <w:pPr>
        <w:pStyle w:val="Heading5"/>
        <w:keepNext/>
      </w:pPr>
      <w:r>
        <w:rPr>
          <w:rFonts w:ascii="Calibri" w:hAnsi="Calibri"/>
          <w:b w:val="0"/>
          <w:sz w:val="22"/>
        </w:rPr>
        <w:t>3.3 OTBI in APPSolve Implementations</w:t>
      </w:r>
    </w:p>
    <w:p>
      <w:pPr>
        <w:pStyle w:val="Heading5"/>
        <w:keepNext/>
      </w:pPr>
      <w:r>
        <w:rPr>
          <w:rFonts w:ascii="Calibri" w:hAnsi="Calibri"/>
          <w:b w:val="0"/>
          <w:sz w:val="22"/>
        </w:rPr>
        <w:t>3.4 Module-Level OTBI Reporting Coverage</w:t>
      </w:r>
    </w:p>
    <w:p>
      <w:pPr>
        <w:pBdr>
          <w:bottom w:val="single" w:sz="4" w:space="1" w:color="CCCCCC"/>
        </w:pBdr>
        <w:spacing w:before="80" w:after="80"/>
      </w:pPr>
    </w:p>
    <w:p>
      <w:pPr>
        <w:pStyle w:val="Heading4"/>
        <w:keepNext/>
      </w:pPr>
      <w:r>
        <w:rPr>
          <w:rFonts w:ascii="Calibri" w:hAnsi="Calibri"/>
          <w:b w:val="0"/>
          <w:sz w:val="22"/>
        </w:rPr>
        <w:t>Section 4: BI Publisher — Formatted and Scheduled Reporting</w:t>
      </w:r>
    </w:p>
    <w:p>
      <w:pPr>
        <w:pStyle w:val="Heading5"/>
        <w:keepNext/>
      </w:pPr>
      <w:r>
        <w:rPr>
          <w:rFonts w:ascii="Calibri" w:hAnsi="Calibri"/>
          <w:b w:val="0"/>
          <w:sz w:val="22"/>
        </w:rPr>
        <w:t>4.1 BI Publisher Overview</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**APPSolve delivery confirmation:**</w:t>
            </w:r>
            <w:r>
              <w:rPr>
                <w:rFonts w:ascii="Calibri" w:hAnsi="Calibri"/>
                <w:b w:val="0"/>
                <w:sz w:val="20"/>
              </w:rPr>
              <w:t xml:space="preserve"> RedPath Mining RFI (March 2026) — </w:t>
            </w:r>
            <w:r>
              <w:rPr>
                <w:rFonts w:ascii="Calibri" w:hAnsi="Calibri"/>
                <w:sz w:val="20"/>
              </w:rPr>
              <w:t>*"APPSolve developers have extensive experience in writing OTBI and BI Publisher reports."*</w:t>
            </w:r>
          </w:p>
        </w:tc>
      </w:tr>
    </w:tbl>
    <w:p>
      <w:pPr>
        <w:spacing w:before="0" w:after="120"/>
      </w:pPr>
    </w:p>
    <w:p>
      <w:pPr>
        <w:pStyle w:val="Heading5"/>
        <w:keepNext/>
      </w:pPr>
      <w:r>
        <w:rPr>
          <w:rFonts w:ascii="Calibri" w:hAnsi="Calibri"/>
          <w:b w:val="0"/>
          <w:sz w:val="22"/>
        </w:rPr>
        <w:t>4.2 BI Publisher Capabilities</w:t>
      </w:r>
    </w:p>
    <w:p>
      <w:pPr>
        <w:pStyle w:val="Heading5"/>
        <w:keepNext/>
      </w:pPr>
      <w:r>
        <w:rPr>
          <w:rFonts w:ascii="Calibri" w:hAnsi="Calibri"/>
          <w:b w:val="0"/>
          <w:sz w:val="22"/>
        </w:rPr>
        <w:t>4.3 BI Publisher in APPSolve Implementations</w:t>
      </w:r>
    </w:p>
    <w:p>
      <w:pPr>
        <w:pBdr>
          <w:bottom w:val="single" w:sz="4" w:space="1" w:color="CCCCCC"/>
        </w:pBdr>
        <w:spacing w:before="80" w:after="80"/>
      </w:pPr>
    </w:p>
    <w:p>
      <w:pPr>
        <w:pStyle w:val="Heading4"/>
        <w:keepNext/>
      </w:pPr>
      <w:r>
        <w:rPr>
          <w:rFonts w:ascii="Calibri" w:hAnsi="Calibri"/>
          <w:b w:val="0"/>
          <w:sz w:val="22"/>
        </w:rPr>
        <w:t>Section 5: Oracle HCM Analytics — Platform Overview</w:t>
      </w:r>
    </w:p>
    <w:p>
      <w:pPr>
        <w:pStyle w:val="Heading5"/>
        <w:keepNext/>
      </w:pPr>
      <w:r>
        <w:rPr>
          <w:rFonts w:ascii="Calibri" w:hAnsi="Calibri"/>
          <w:b w:val="0"/>
          <w:sz w:val="22"/>
        </w:rPr>
        <w:t>5.1 What is Oracle HCM Analytics (OAX)?</w:t>
      </w:r>
    </w:p>
    <w:p>
      <w:pPr>
        <w:pStyle w:val="Heading5"/>
        <w:keepNext/>
      </w:pPr>
      <w:r>
        <w:rPr>
          <w:rFonts w:ascii="Calibri" w:hAnsi="Calibri"/>
          <w:b w:val="0"/>
          <w:sz w:val="22"/>
        </w:rPr>
        <w:t>5.2 Oracle HCM Analytics Value Proposition</w:t>
      </w:r>
    </w:p>
    <w:p>
      <w:pPr>
        <w:pBdr>
          <w:bottom w:val="single" w:sz="4" w:space="1" w:color="CCCCCC"/>
        </w:pBdr>
        <w:spacing w:before="80" w:after="80"/>
      </w:pPr>
    </w:p>
    <w:p>
      <w:pPr>
        <w:pStyle w:val="Heading4"/>
        <w:keepNext/>
      </w:pPr>
      <w:r>
        <w:rPr>
          <w:rFonts w:ascii="Calibri" w:hAnsi="Calibri"/>
          <w:b w:val="0"/>
          <w:sz w:val="22"/>
        </w:rPr>
        <w:t>Section 6: Oracle HCM Analytics — Pre-Built Dashboard and KPI Library</w:t>
      </w:r>
    </w:p>
    <w:p>
      <w:pPr>
        <w:pStyle w:val="Heading5"/>
        <w:keepNext/>
      </w:pPr>
      <w:r>
        <w:rPr>
          <w:rFonts w:ascii="Calibri" w:hAnsi="Calibri"/>
          <w:b w:val="0"/>
          <w:sz w:val="22"/>
        </w:rPr>
        <w:t>6.1 Pre-Built KPI Library</w:t>
      </w:r>
    </w:p>
    <w:p>
      <w:pPr>
        <w:pStyle w:val="Heading5"/>
        <w:keepNext/>
      </w:pPr>
      <w:r>
        <w:rPr>
          <w:rFonts w:ascii="Calibri" w:hAnsi="Calibri"/>
          <w:b w:val="0"/>
          <w:sz w:val="22"/>
        </w:rPr>
        <w:t>6.2 Self-Service Data Exploration</w:t>
      </w:r>
    </w:p>
    <w:p>
      <w:pPr>
        <w:pBdr>
          <w:bottom w:val="single" w:sz="4" w:space="1" w:color="CCCCCC"/>
        </w:pBdr>
        <w:spacing w:before="80" w:after="80"/>
      </w:pPr>
    </w:p>
    <w:p>
      <w:pPr>
        <w:pStyle w:val="Heading4"/>
        <w:keepNext/>
      </w:pPr>
      <w:r>
        <w:rPr>
          <w:rFonts w:ascii="Calibri" w:hAnsi="Calibri"/>
          <w:b w:val="0"/>
          <w:sz w:val="22"/>
        </w:rPr>
        <w:t>Section 7: Oracle HCM Analytics — Workforce Intelligence and Predictive Insights</w:t>
      </w:r>
    </w:p>
    <w:p>
      <w:pPr>
        <w:pStyle w:val="Heading5"/>
        <w:keepNext/>
      </w:pPr>
      <w:r>
        <w:rPr>
          <w:rFonts w:ascii="Calibri" w:hAnsi="Calibri"/>
          <w:b w:val="0"/>
          <w:sz w:val="22"/>
        </w:rPr>
        <w:t>7.1 Machine Learning and Predictive Analytics</w:t>
      </w:r>
    </w:p>
    <w:p>
      <w:pPr>
        <w:pStyle w:val="Heading5"/>
        <w:keepNext/>
      </w:pPr>
      <w:r>
        <w:rPr>
          <w:rFonts w:ascii="Calibri" w:hAnsi="Calibri"/>
          <w:b w:val="0"/>
          <w:sz w:val="22"/>
        </w:rPr>
        <w:t>7.2 Workforce Intelligence — Strategic Insights</w:t>
      </w:r>
    </w:p>
    <w:p>
      <w:pPr>
        <w:pStyle w:val="Heading5"/>
        <w:keepNext/>
      </w:pPr>
      <w:r>
        <w:rPr>
          <w:rFonts w:ascii="Calibri" w:hAnsi="Calibri"/>
          <w:b w:val="0"/>
          <w:sz w:val="22"/>
        </w:rPr>
        <w:t>7.3 Approved Positioning for Predictive Analytics</w:t>
      </w:r>
    </w:p>
    <w:p>
      <w:pPr>
        <w:pBdr>
          <w:bottom w:val="single" w:sz="4" w:space="1" w:color="CCCCCC"/>
        </w:pBdr>
        <w:spacing w:before="80" w:after="80"/>
      </w:pPr>
    </w:p>
    <w:p>
      <w:pPr>
        <w:pStyle w:val="Heading4"/>
        <w:keepNext/>
      </w:pPr>
      <w:r>
        <w:rPr>
          <w:rFonts w:ascii="Calibri" w:hAnsi="Calibri"/>
          <w:b w:val="0"/>
          <w:sz w:val="22"/>
        </w:rPr>
        <w:t>Section 8: Oracle HCM Analytics — Cross-Functional Workforce Analytics</w:t>
      </w:r>
    </w:p>
    <w:p>
      <w:pPr>
        <w:pBdr>
          <w:bottom w:val="single" w:sz="4" w:space="1" w:color="CCCCCC"/>
        </w:pBdr>
        <w:spacing w:before="80" w:after="80"/>
      </w:pPr>
    </w:p>
    <w:p>
      <w:pPr>
        <w:pStyle w:val="Heading4"/>
        <w:keepNext/>
      </w:pPr>
      <w:r>
        <w:rPr>
          <w:rFonts w:ascii="Calibri" w:hAnsi="Calibri"/>
          <w:b w:val="0"/>
          <w:sz w:val="22"/>
        </w:rPr>
        <w:t>Section 9: Analytics by HCM Domain — Summary Boundary Reference</w:t>
      </w:r>
    </w:p>
    <w:p>
      <w:pPr>
        <w:pBdr>
          <w:bottom w:val="single" w:sz="4" w:space="1" w:color="CCCCCC"/>
        </w:pBdr>
        <w:spacing w:before="80" w:after="80"/>
      </w:pPr>
    </w:p>
    <w:p>
      <w:pPr>
        <w:pStyle w:val="Heading4"/>
        <w:keepNext/>
      </w:pPr>
      <w:r>
        <w:rPr>
          <w:rFonts w:ascii="Calibri" w:hAnsi="Calibri"/>
          <w:b w:val="0"/>
          <w:sz w:val="22"/>
        </w:rPr>
        <w:t>Section 10: HCM Extracts — Data Infrastructure for Analytics</w:t>
      </w:r>
    </w:p>
    <w:p>
      <w:pPr>
        <w:pBdr>
          <w:bottom w:val="single" w:sz="4" w:space="1" w:color="CCCCCC"/>
        </w:pBdr>
        <w:spacing w:before="80" w:after="80"/>
      </w:pPr>
    </w:p>
    <w:p>
      <w:pPr>
        <w:pStyle w:val="Heading4"/>
        <w:keepNext/>
      </w:pPr>
      <w:r>
        <w:rPr>
          <w:rFonts w:ascii="Calibri" w:hAnsi="Calibri"/>
          <w:b w:val="0"/>
          <w:sz w:val="22"/>
        </w:rPr>
        <w:t>Section 11: APPSolve Delivery Capability</w:t>
      </w:r>
    </w:p>
    <w:p>
      <w:pPr>
        <w:pStyle w:val="Heading5"/>
        <w:keepNext/>
      </w:pPr>
      <w:r>
        <w:rPr>
          <w:rFonts w:ascii="Calibri" w:hAnsi="Calibri"/>
          <w:b w:val="0"/>
          <w:sz w:val="22"/>
        </w:rPr>
        <w:t>11.1 Oracle Analytics Practice</w:t>
      </w:r>
    </w:p>
    <w:p>
      <w:pPr>
        <w:pStyle w:val="Heading5"/>
        <w:keepNext/>
      </w:pPr>
      <w:r>
        <w:rPr>
          <w:rFonts w:ascii="Calibri" w:hAnsi="Calibri"/>
          <w:b w:val="0"/>
          <w:sz w:val="22"/>
        </w:rPr>
        <w:t>11.2 Delivery Approach — OTBI and BI Publisher</w:t>
      </w:r>
    </w:p>
    <w:p>
      <w:pPr>
        <w:pStyle w:val="Heading5"/>
        <w:keepNext/>
      </w:pPr>
      <w:r>
        <w:rPr>
          <w:rFonts w:ascii="Calibri" w:hAnsi="Calibri"/>
          <w:b w:val="0"/>
          <w:sz w:val="22"/>
        </w:rPr>
        <w:t>11.3 Delivery Approach — Oracle HCM Analytics (OAX)</w:t>
      </w:r>
    </w:p>
    <w:p>
      <w:pPr>
        <w:pStyle w:val="Heading5"/>
        <w:keepNext/>
      </w:pPr>
      <w:r>
        <w:rPr>
          <w:rFonts w:ascii="Calibri" w:hAnsi="Calibri"/>
          <w:b w:val="0"/>
          <w:sz w:val="22"/>
        </w:rPr>
        <w:t>11.4 Resource and Delivery Model</w:t>
      </w:r>
    </w:p>
    <w:p>
      <w:pPr>
        <w:pBdr>
          <w:bottom w:val="single" w:sz="4" w:space="1" w:color="CCCCCC"/>
        </w:pBdr>
        <w:spacing w:before="80" w:after="80"/>
      </w:pPr>
    </w:p>
    <w:p>
      <w:pPr>
        <w:pStyle w:val="Heading4"/>
        <w:keepNext/>
      </w:pPr>
      <w:r>
        <w:rPr>
          <w:rFonts w:ascii="Calibri" w:hAnsi="Calibri"/>
          <w:b w:val="0"/>
          <w:sz w:val="22"/>
        </w:rPr>
        <w:t>Section 12: Implementation References</w:t>
      </w:r>
    </w:p>
    <w:p>
      <w:pPr>
        <w:pStyle w:val="Heading5"/>
        <w:keepNext/>
      </w:pPr>
      <w:r>
        <w:rPr>
          <w:rFonts w:ascii="Calibri" w:hAnsi="Calibri"/>
          <w:b w:val="0"/>
          <w:sz w:val="22"/>
        </w:rPr>
        <w:t>12.1 Oracle Fusion HCM — OTBI and Custom Reporting (Hollywood Bets)</w:t>
      </w:r>
    </w:p>
    <w:p>
      <w:pPr>
        <w:pStyle w:val="Heading5"/>
        <w:keepNext/>
      </w:pPr>
      <w:r>
        <w:rPr>
          <w:rFonts w:ascii="Calibri" w:hAnsi="Calibri"/>
          <w:b w:val="0"/>
          <w:sz w:val="22"/>
        </w:rPr>
        <w:t>12.2 OTBI and BI Publisher Developer Capability (RedPath Mining — active pipeline)</w:t>
      </w:r>
    </w:p>
    <w:p>
      <w:pPr>
        <w:pStyle w:val="Heading5"/>
        <w:keepNext/>
      </w:pPr>
      <w:r>
        <w:rPr>
          <w:rFonts w:ascii="Calibri" w:hAnsi="Calibri"/>
          <w:b w:val="0"/>
          <w:sz w:val="22"/>
        </w:rPr>
        <w:t>12.3 Oracle HCM Analytics (OAX) — Reference Position</w:t>
      </w:r>
    </w:p>
    <w:p>
      <w:pPr>
        <w:pBdr>
          <w:bottom w:val="single" w:sz="4" w:space="1" w:color="CCCCCC"/>
        </w:pBdr>
        <w:spacing w:before="80" w:after="80"/>
      </w:pPr>
    </w:p>
    <w:p>
      <w:pPr>
        <w:pStyle w:val="Heading4"/>
        <w:keepNext/>
      </w:pPr>
      <w:r>
        <w:rPr>
          <w:rFonts w:ascii="Calibri" w:hAnsi="Calibri"/>
          <w:b w:val="0"/>
          <w:sz w:val="22"/>
        </w:rPr>
        <w:t>Section 13: Implementation Approach</w:t>
      </w:r>
    </w:p>
    <w:p>
      <w:pPr>
        <w:pStyle w:val="Heading5"/>
        <w:keepNext/>
      </w:pPr>
      <w:r>
        <w:rPr>
          <w:rFonts w:ascii="Calibri" w:hAnsi="Calibri"/>
          <w:b w:val="0"/>
          <w:sz w:val="22"/>
        </w:rPr>
        <w:t>13.1 Analytics within the Oracle Fusion HCM Programme</w:t>
      </w:r>
    </w:p>
    <w:p>
      <w:pPr>
        <w:pStyle w:val="Heading5"/>
        <w:keepNext/>
      </w:pPr>
      <w:r>
        <w:rPr>
          <w:rFonts w:ascii="Calibri" w:hAnsi="Calibri"/>
          <w:b w:val="0"/>
          <w:sz w:val="22"/>
        </w:rPr>
        <w:t>13.2 OUM Alignment</w:t>
      </w:r>
    </w:p>
    <w:p>
      <w:pPr>
        <w:pBdr>
          <w:bottom w:val="single" w:sz="4" w:space="1" w:color="CCCCCC"/>
        </w:pBdr>
        <w:spacing w:before="80" w:after="80"/>
      </w:pPr>
    </w:p>
    <w:p>
      <w:pPr>
        <w:pStyle w:val="Heading4"/>
        <w:keepNext/>
      </w:pPr>
      <w:r>
        <w:rPr>
          <w:rFonts w:ascii="Calibri" w:hAnsi="Calibri"/>
          <w:b w:val="0"/>
          <w:sz w:val="22"/>
        </w:rPr>
        <w:t>Section 14: Risk Register</w:t>
      </w:r>
    </w:p>
    <w:p>
      <w:pPr>
        <w:pBdr>
          <w:bottom w:val="single" w:sz="4" w:space="1" w:color="CCCCCC"/>
        </w:pBdr>
        <w:spacing w:before="80" w:after="80"/>
      </w:pPr>
    </w:p>
    <w:p>
      <w:pPr>
        <w:pStyle w:val="Heading4"/>
        <w:keepNext/>
      </w:pPr>
      <w:r>
        <w:rPr>
          <w:rFonts w:ascii="Calibri" w:hAnsi="Calibri"/>
          <w:b w:val="0"/>
          <w:sz w:val="22"/>
        </w:rPr>
        <w:t>Section 15: Assumptions Register</w:t>
      </w:r>
    </w:p>
    <w:p>
      <w:pPr>
        <w:pBdr>
          <w:bottom w:val="single" w:sz="4" w:space="1" w:color="CCCCCC"/>
        </w:pBdr>
        <w:spacing w:before="80" w:after="80"/>
      </w:pPr>
    </w:p>
    <w:p>
      <w:pPr>
        <w:pStyle w:val="Heading4"/>
        <w:keepNext/>
      </w:pPr>
      <w:r>
        <w:rPr>
          <w:rFonts w:ascii="Calibri" w:hAnsi="Calibri"/>
          <w:b w:val="0"/>
          <w:sz w:val="22"/>
        </w:rPr>
        <w:t>Section 17: Approval Record</w:t>
      </w:r>
    </w:p>
    <w:p>
      <w:pPr>
        <w:pBdr>
          <w:bottom w:val="single" w:sz="4" w:space="1" w:color="CCCCCC"/>
        </w:pBdr>
        <w:spacing w:before="80" w:after="80"/>
      </w:pPr>
    </w:p>
    <w:p>
      <w:pPr>
        <w:pStyle w:val="Heading4"/>
        <w:keepNext/>
      </w:pPr>
      <w:r>
        <w:rPr>
          <w:rFonts w:ascii="Calibri" w:hAnsi="Calibri"/>
          <w:b w:val="0"/>
          <w:sz w:val="22"/>
        </w:rPr>
        <w:t>Appendix A: Source Mapping Table</w:t>
      </w:r>
    </w:p>
    <w:p>
      <w:pPr>
        <w:pBdr>
          <w:bottom w:val="single" w:sz="4" w:space="1" w:color="CCCCCC"/>
        </w:pBdr>
        <w:spacing w:before="80" w:after="80"/>
      </w:pPr>
    </w:p>
    <w:p>
      <w:pPr>
        <w:pStyle w:val="Heading4"/>
        <w:keepNext/>
      </w:pPr>
      <w:r>
        <w:rPr>
          <w:rFonts w:ascii="Calibri" w:hAnsi="Calibri"/>
          <w:b w:val="0"/>
          <w:sz w:val="22"/>
        </w:rPr>
        <w:t>Appendix B: Governance Self-Review</w:t>
      </w:r>
    </w:p>
    <w:p>
      <w:pPr>
        <w:pBdr>
          <w:bottom w:val="single" w:sz="4" w:space="1" w:color="CCCCCC"/>
        </w:pBdr>
        <w:spacing w:before="80" w:after="80"/>
      </w:pPr>
    </w:p>
    <w:p>
      <w:pPr>
        <w:pStyle w:val="Heading4"/>
        <w:keepNext/>
      </w:pPr>
      <w:r>
        <w:rPr>
          <w:rFonts w:ascii="Calibri" w:hAnsi="Calibri"/>
          <w:b w:val="0"/>
          <w:sz w:val="22"/>
        </w:rPr>
        <w:t>Appendix C: Extraction Return Report</w:t>
      </w:r>
    </w:p>
    <w:p>
      <w:pPr>
        <w:pBdr>
          <w:bottom w:val="single" w:sz="4" w:space="1" w:color="CCCCCC"/>
        </w:pBdr>
        <w:spacing w:before="80" w:after="80"/>
      </w:pPr>
    </w:p>
    <w:p>
      <w:pPr>
        <w:pStyle w:val="Heading3"/>
        <w:keepNext/>
      </w:pPr>
      <w:r>
        <w:rPr>
          <w:rFonts w:ascii="Calibri" w:hAnsi="Calibri"/>
          <w:b w:val="0"/>
          <w:sz w:val="26"/>
        </w:rPr>
        <w:t>Oracle Workforce Management</w:t>
      </w:r>
    </w:p>
    <w:p>
      <w:pPr>
        <w:pBdr>
          <w:bottom w:val="single" w:sz="4" w:space="1" w:color="CCCCCC"/>
        </w:pBdr>
        <w:spacing w:before="80" w:after="80"/>
      </w:pPr>
    </w:p>
    <w:p>
      <w:pPr>
        <w:pStyle w:val="Heading4"/>
        <w:keepNext/>
      </w:pPr>
      <w:r>
        <w:rPr>
          <w:rFonts w:ascii="Calibri" w:hAnsi="Calibri"/>
          <w:b w:val="0"/>
          <w:sz w:val="22"/>
        </w:rPr>
        <w:t>Section 1: Statement of Capability</w:t>
      </w:r>
    </w:p>
    <w:p>
      <w:pPr>
        <w:pBdr>
          <w:bottom w:val="single" w:sz="4" w:space="1" w:color="CCCCCC"/>
        </w:pBdr>
        <w:spacing w:before="80" w:after="80"/>
      </w:pPr>
    </w:p>
    <w:p>
      <w:pPr>
        <w:pStyle w:val="Heading4"/>
        <w:keepNext/>
      </w:pPr>
      <w:r>
        <w:rPr>
          <w:rFonts w:ascii="Calibri" w:hAnsi="Calibri"/>
          <w:b w:val="0"/>
          <w:sz w:val="22"/>
        </w:rPr>
        <w:t>Section 2: Oracle Workforce Management Architecture — Module Scope and Boundaries</w:t>
      </w:r>
    </w:p>
    <w:p>
      <w:pPr>
        <w:pStyle w:val="Heading5"/>
        <w:keepNext/>
      </w:pPr>
      <w:r>
        <w:rPr>
          <w:rFonts w:ascii="Calibri" w:hAnsi="Calibri"/>
          <w:b w:val="0"/>
          <w:sz w:val="22"/>
        </w:rPr>
        <w:t>2.1 Module Architecture</w:t>
      </w:r>
    </w:p>
    <w:p>
      <w:pPr>
        <w:pStyle w:val="Heading5"/>
        <w:keepNext/>
      </w:pPr>
      <w:r>
        <w:rPr>
          <w:rFonts w:ascii="Calibri" w:hAnsi="Calibri"/>
          <w:b w:val="0"/>
          <w:sz w:val="22"/>
        </w:rPr>
        <w:t>2.2 Absence Management within Workforce Management</w:t>
      </w:r>
    </w:p>
    <w:p>
      <w:pPr>
        <w:pStyle w:val="Heading5"/>
        <w:keepNext/>
      </w:pPr>
      <w:r>
        <w:rPr>
          <w:rFonts w:ascii="Calibri" w:hAnsi="Calibri"/>
          <w:b w:val="0"/>
          <w:sz w:val="22"/>
        </w:rPr>
        <w:t>2.3 Integration Architecture</w:t>
      </w:r>
    </w:p>
    <w:p>
      <w:pPr>
        <w:pBdr>
          <w:bottom w:val="single" w:sz="4" w:space="1" w:color="CCCCCC"/>
        </w:pBdr>
        <w:spacing w:before="80" w:after="80"/>
      </w:pPr>
    </w:p>
    <w:p>
      <w:pPr>
        <w:pStyle w:val="Heading4"/>
        <w:keepNext/>
      </w:pPr>
      <w:r>
        <w:rPr>
          <w:rFonts w:ascii="Calibri" w:hAnsi="Calibri"/>
          <w:b w:val="0"/>
          <w:sz w:val="22"/>
        </w:rPr>
        <w:t>Section 3: Absence Management</w:t>
      </w:r>
    </w:p>
    <w:p>
      <w:pPr>
        <w:pStyle w:val="Heading5"/>
        <w:keepNext/>
      </w:pPr>
      <w:r>
        <w:rPr>
          <w:rFonts w:ascii="Calibri" w:hAnsi="Calibri"/>
          <w:b w:val="0"/>
          <w:sz w:val="22"/>
        </w:rPr>
        <w:t>3.1 Overview</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 reference:**</w:t>
            </w:r>
            <w:r>
              <w:rPr>
                <w:rFonts w:ascii="Calibri" w:hAnsi="Calibri"/>
                <w:b w:val="0"/>
                <w:sz w:val="20"/>
              </w:rPr>
              <w:t xml:space="preserve"> APPSolve's Oracle HCM implementation for a major South African retail and gaming client (go-live July 2025, 7,000 users) included Oracle Absence Management as a Phase 1 deliverable. APPSolve is currently implementing Oracle HCM Absence Management for a mining-sector client as part of an active Oracle HCM programme.</w:t>
            </w:r>
          </w:p>
        </w:tc>
      </w:tr>
    </w:tbl>
    <w:p>
      <w:pPr>
        <w:spacing w:before="0" w:after="120"/>
      </w:pPr>
    </w:p>
    <w:p>
      <w:pPr>
        <w:pStyle w:val="Heading5"/>
        <w:keepNext/>
      </w:pPr>
      <w:r>
        <w:rPr>
          <w:rFonts w:ascii="Calibri" w:hAnsi="Calibri"/>
          <w:b w:val="0"/>
          <w:sz w:val="22"/>
        </w:rPr>
        <w:t>3.2 Absence Management Capabilities</w:t>
      </w:r>
    </w:p>
    <w:p>
      <w:pPr>
        <w:pStyle w:val="Heading5"/>
        <w:keepNext/>
      </w:pPr>
      <w:r>
        <w:rPr>
          <w:rFonts w:ascii="Calibri" w:hAnsi="Calibri"/>
          <w:b w:val="0"/>
          <w:sz w:val="22"/>
        </w:rPr>
        <w:t>3.3 South African Legislative Absence Requirements</w:t>
      </w:r>
    </w:p>
    <w:p>
      <w:pPr>
        <w:pStyle w:val="Heading5"/>
        <w:keepNext/>
      </w:pPr>
      <w:r>
        <w:rPr>
          <w:rFonts w:ascii="Calibri" w:hAnsi="Calibri"/>
          <w:b w:val="0"/>
          <w:sz w:val="22"/>
        </w:rPr>
        <w:t>3.4 Employee and Manager Self-Service</w:t>
      </w:r>
    </w:p>
    <w:p>
      <w:pPr>
        <w:pStyle w:val="Heading5"/>
        <w:keepNext/>
      </w:pPr>
      <w:r>
        <w:rPr>
          <w:rFonts w:ascii="Calibri" w:hAnsi="Calibri"/>
          <w:b w:val="0"/>
          <w:sz w:val="22"/>
        </w:rPr>
        <w:t>3.5 APPSolve Absence Management Delivery</w:t>
      </w:r>
    </w:p>
    <w:p>
      <w:pPr>
        <w:pBdr>
          <w:bottom w:val="single" w:sz="4" w:space="1" w:color="CCCCCC"/>
        </w:pBdr>
        <w:spacing w:before="80" w:after="80"/>
      </w:pPr>
    </w:p>
    <w:p>
      <w:pPr>
        <w:pStyle w:val="Heading4"/>
        <w:keepNext/>
      </w:pPr>
      <w:r>
        <w:rPr>
          <w:rFonts w:ascii="Calibri" w:hAnsi="Calibri"/>
          <w:b w:val="0"/>
          <w:sz w:val="22"/>
        </w:rPr>
        <w:t>Section 4: Oracle Time and Labor</w:t>
      </w:r>
    </w:p>
    <w:p>
      <w:pPr>
        <w:pStyle w:val="Heading5"/>
        <w:keepNext/>
      </w:pPr>
      <w:r>
        <w:rPr>
          <w:rFonts w:ascii="Calibri" w:hAnsi="Calibri"/>
          <w:b w:val="0"/>
          <w:sz w:val="22"/>
        </w:rPr>
        <w:t>4.1 Overview</w:t>
      </w:r>
    </w:p>
    <w:p>
      <w:pPr>
        <w:pStyle w:val="Heading5"/>
        <w:keepNext/>
      </w:pPr>
      <w:r>
        <w:rPr>
          <w:rFonts w:ascii="Calibri" w:hAnsi="Calibri"/>
          <w:b w:val="0"/>
          <w:sz w:val="22"/>
        </w:rPr>
        <w:t>4.2 Oracle Time and Labor Capabilities</w:t>
      </w:r>
    </w:p>
    <w:p>
      <w:pPr>
        <w:pStyle w:val="Heading5"/>
        <w:keepNext/>
      </w:pPr>
      <w:r>
        <w:rPr>
          <w:rFonts w:ascii="Calibri" w:hAnsi="Calibri"/>
          <w:b w:val="0"/>
          <w:sz w:val="22"/>
        </w:rPr>
        <w:t>4.3 Time and Labor Rules Engine</w:t>
      </w:r>
    </w:p>
    <w:p>
      <w:pPr>
        <w:pStyle w:val="Heading5"/>
        <w:keepNext/>
      </w:pPr>
      <w:r>
        <w:rPr>
          <w:rFonts w:ascii="Calibri" w:hAnsi="Calibri"/>
          <w:b w:val="0"/>
          <w:sz w:val="22"/>
        </w:rPr>
        <w:t>4.4 Time and Labor in APPSolve Implementations</w:t>
      </w:r>
    </w:p>
    <w:p>
      <w:pPr>
        <w:pBdr>
          <w:bottom w:val="single" w:sz="4" w:space="1" w:color="CCCCCC"/>
        </w:pBdr>
        <w:spacing w:before="80" w:after="80"/>
      </w:pPr>
    </w:p>
    <w:p>
      <w:pPr>
        <w:pStyle w:val="Heading4"/>
        <w:keepNext/>
      </w:pPr>
      <w:r>
        <w:rPr>
          <w:rFonts w:ascii="Calibri" w:hAnsi="Calibri"/>
          <w:b w:val="0"/>
          <w:sz w:val="22"/>
        </w:rPr>
        <w:t>Section 5: Workforce Scheduling</w:t>
      </w:r>
    </w:p>
    <w:p>
      <w:pPr>
        <w:pStyle w:val="Heading5"/>
        <w:keepNext/>
      </w:pPr>
      <w:r>
        <w:rPr>
          <w:rFonts w:ascii="Calibri" w:hAnsi="Calibri"/>
          <w:b w:val="0"/>
          <w:sz w:val="22"/>
        </w:rPr>
        <w:t>5.1 Overview</w:t>
      </w:r>
    </w:p>
    <w:p>
      <w:pPr>
        <w:pStyle w:val="Heading5"/>
        <w:keepNext/>
      </w:pPr>
      <w:r>
        <w:rPr>
          <w:rFonts w:ascii="Calibri" w:hAnsi="Calibri"/>
          <w:b w:val="0"/>
          <w:sz w:val="22"/>
        </w:rPr>
        <w:t>5.2 Oracle Workforce Scheduling Capabilities</w:t>
      </w:r>
    </w:p>
    <w:p>
      <w:pPr>
        <w:pStyle w:val="Heading5"/>
        <w:keepNext/>
      </w:pPr>
      <w:r>
        <w:rPr>
          <w:rFonts w:ascii="Calibri" w:hAnsi="Calibri"/>
          <w:b w:val="0"/>
          <w:sz w:val="22"/>
        </w:rPr>
        <w:t>5.3 Oracle Workforce Scheduling — APPSolve Positioning</w:t>
      </w:r>
    </w:p>
    <w:p>
      <w:pPr>
        <w:pStyle w:val="Heading3"/>
        <w:keepNext/>
      </w:pPr>
      <w:r>
        <w:rPr>
          <w:rFonts w:ascii="Calibri" w:hAnsi="Calibri"/>
          <w:b w:val="0"/>
          <w:sz w:val="26"/>
        </w:rPr>
        <w:t>Oracle AI-Based Skills Intelligence</w:t>
      </w:r>
    </w:p>
    <w:p>
      <w:pPr>
        <w:pBdr>
          <w:bottom w:val="single" w:sz="4" w:space="1" w:color="CCCCCC"/>
        </w:pBdr>
        <w:spacing w:before="80" w:after="80"/>
      </w:pPr>
    </w:p>
    <w:p>
      <w:pPr>
        <w:pStyle w:val="Heading4"/>
        <w:keepNext/>
      </w:pPr>
      <w:r>
        <w:rPr>
          <w:rFonts w:ascii="Calibri" w:hAnsi="Calibri"/>
          <w:b w:val="0"/>
          <w:sz w:val="22"/>
        </w:rPr>
        <w:t>Section 1: Statement of Capability</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w:t>
            </w:r>
            <w:r>
              <w:rPr>
                <w:rFonts w:ascii="Calibri" w:hAnsi="Calibri"/>
                <w:b w:val="0"/>
                <w:sz w:val="20"/>
              </w:rPr>
              <w:t xml:space="preserve"> Oracle AI-Based Skills was confirmed as a delivered component of the Hollywood Bets Oracle Fusion HCM Phase 4 (Talent Management) implementation (BU Lead decision 2026-06-14).</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Product Architecture</w:t>
      </w:r>
    </w:p>
    <w:p>
      <w:pPr>
        <w:pStyle w:val="Heading5"/>
        <w:keepNext/>
      </w:pPr>
      <w:r>
        <w:rPr>
          <w:rFonts w:ascii="Calibri" w:hAnsi="Calibri"/>
          <w:b w:val="0"/>
          <w:sz w:val="22"/>
        </w:rPr>
        <w:t>2.1 Oracle AI Skills Integration within Fusion HCM</w:t>
      </w:r>
    </w:p>
    <w:p>
      <w:pPr>
        <w:pStyle w:val="Heading5"/>
        <w:keepNext/>
      </w:pPr>
      <w:r>
        <w:rPr>
          <w:rFonts w:ascii="Calibri" w:hAnsi="Calibri"/>
          <w:b w:val="0"/>
          <w:sz w:val="22"/>
        </w:rPr>
        <w:t>2.2 Relationship to Oracle Talent Management Suite (W3S1-002)</w:t>
      </w:r>
    </w:p>
    <w:p>
      <w:pPr>
        <w:pBdr>
          <w:bottom w:val="single" w:sz="4" w:space="1" w:color="CCCCCC"/>
        </w:pBdr>
        <w:spacing w:before="80" w:after="80"/>
      </w:pPr>
    </w:p>
    <w:p>
      <w:pPr>
        <w:pStyle w:val="Heading4"/>
        <w:keepNext/>
      </w:pPr>
      <w:r>
        <w:rPr>
          <w:rFonts w:ascii="Calibri" w:hAnsi="Calibri"/>
          <w:b w:val="0"/>
          <w:sz w:val="22"/>
        </w:rPr>
        <w:t>Section 3: Source Mapping</w:t>
      </w:r>
    </w:p>
    <w:p>
      <w:pPr>
        <w:pBdr>
          <w:bottom w:val="single" w:sz="4" w:space="1" w:color="CCCCCC"/>
        </w:pBdr>
        <w:spacing w:before="80" w:after="80"/>
      </w:pPr>
    </w:p>
    <w:p>
      <w:pPr>
        <w:pStyle w:val="Heading4"/>
        <w:keepNext/>
      </w:pPr>
      <w:r>
        <w:rPr>
          <w:rFonts w:ascii="Calibri" w:hAnsi="Calibri"/>
          <w:b w:val="0"/>
          <w:sz w:val="22"/>
        </w:rPr>
        <w:t>Section 4: Evidence Classification</w:t>
      </w:r>
    </w:p>
    <w:p>
      <w:pPr>
        <w:pBdr>
          <w:bottom w:val="single" w:sz="4" w:space="1" w:color="CCCCCC"/>
        </w:pBdr>
        <w:spacing w:before="80" w:after="80"/>
      </w:pPr>
    </w:p>
    <w:p>
      <w:pPr>
        <w:pStyle w:val="Heading4"/>
        <w:keepNext/>
      </w:pPr>
      <w:r>
        <w:rPr>
          <w:rFonts w:ascii="Calibri" w:hAnsi="Calibri"/>
          <w:b w:val="0"/>
          <w:sz w:val="22"/>
        </w:rPr>
        <w:t>Section 5: Approved and Prohibited Wording</w:t>
      </w:r>
    </w:p>
    <w:p>
      <w:pPr>
        <w:pStyle w:val="Heading5"/>
        <w:keepNext/>
      </w:pPr>
      <w:r>
        <w:rPr>
          <w:rFonts w:ascii="Calibri" w:hAnsi="Calibri"/>
          <w:b w:val="0"/>
          <w:sz w:val="22"/>
        </w:rPr>
        <w:t>Approved Wording</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configures and implements Oracle AI-Based Skills Intelligence within Oracle Fusion HCM, enabling organisations to build dynamic employee skills profiles, identify skills gaps, and provide AI-powered career development recommendations."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has delivered Oracle AI Skills as an integrated component of Oracle Fusion HCM Talent Management implementations, providing organisations with organisation-wide skills visibility and AI-driven talent development capabilities."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"Oracle's embedded AI skills intelligence, configured by APPSolve, enables organisations to move from static, manually maintained skills records to dynamically inferred, AI-maintained skills profiles that improve talent decisions, succession planning, and learning investment."</w:t>
            </w:r>
          </w:p>
        </w:tc>
      </w:tr>
    </w:tbl>
    <w:p>
      <w:pPr>
        <w:spacing w:before="0" w:after="120"/>
      </w:pPr>
    </w:p>
    <w:p>
      <w:pPr>
        <w:pStyle w:val="Heading5"/>
        <w:keepNext/>
      </w:pPr>
      <w:r>
        <w:rPr>
          <w:rFonts w:ascii="Calibri" w:hAnsi="Calibri"/>
          <w:b w:val="0"/>
          <w:sz w:val="22"/>
        </w:rPr>
        <w:t>Prohibited Wording</w:t>
      </w:r>
    </w:p>
    <w:p>
      <w:pPr>
        <w:pBdr>
          <w:bottom w:val="single" w:sz="4" w:space="1" w:color="CCCCCC"/>
        </w:pBdr>
        <w:spacing w:before="80" w:after="80"/>
      </w:pPr>
    </w:p>
    <w:p>
      <w:pPr>
        <w:pStyle w:val="Heading4"/>
        <w:keepNext/>
      </w:pPr>
      <w:r>
        <w:rPr>
          <w:rFonts w:ascii="Calibri" w:hAnsi="Calibri"/>
          <w:b w:val="0"/>
          <w:sz w:val="22"/>
        </w:rPr>
        <w:t>Section 6: Pre-Tender Validation Checks</w:t>
      </w:r>
    </w:p>
    <w:p>
      <w:pPr>
        <w:pBdr>
          <w:bottom w:val="single" w:sz="4" w:space="1" w:color="CCCCCC"/>
        </w:pBdr>
        <w:spacing w:before="80" w:after="80"/>
      </w:pPr>
    </w:p>
    <w:p>
      <w:pPr>
        <w:pStyle w:val="Heading4"/>
        <w:keepNext/>
      </w:pPr>
      <w:r>
        <w:rPr>
          <w:rFonts w:ascii="Calibri" w:hAnsi="Calibri"/>
          <w:b w:val="0"/>
          <w:sz w:val="22"/>
        </w:rPr>
        <w:t>Section 7: Named Reference Controls</w:t>
      </w:r>
    </w:p>
    <w:p>
      <w:pPr>
        <w:pBdr>
          <w:bottom w:val="single" w:sz="4" w:space="1" w:color="CCCCCC"/>
        </w:pBdr>
        <w:spacing w:before="80" w:after="80"/>
      </w:pPr>
    </w:p>
    <w:p>
      <w:pPr>
        <w:pStyle w:val="Heading4"/>
        <w:keepNext/>
      </w:pPr>
      <w:r>
        <w:rPr>
          <w:rFonts w:ascii="Calibri" w:hAnsi="Calibri"/>
          <w:b w:val="0"/>
          <w:sz w:val="22"/>
        </w:rPr>
        <w:t>Section 8: Product Boundary Controls</w:t>
      </w:r>
    </w:p>
    <w:p>
      <w:pPr>
        <w:pBdr>
          <w:bottom w:val="single" w:sz="4" w:space="1" w:color="CCCCCC"/>
        </w:pBdr>
        <w:spacing w:before="80" w:after="80"/>
      </w:pPr>
    </w:p>
    <w:p>
      <w:pPr>
        <w:pStyle w:val="Heading4"/>
        <w:keepNext/>
      </w:pPr>
      <w:r>
        <w:rPr>
          <w:rFonts w:ascii="Calibri" w:hAnsi="Calibri"/>
          <w:b w:val="0"/>
          <w:sz w:val="22"/>
        </w:rPr>
        <w:t>Section 9: Extraction Log</w:t>
      </w:r>
    </w:p>
    <w:p>
      <w:pPr>
        <w:pBdr>
          <w:bottom w:val="single" w:sz="4" w:space="1" w:color="CCCCCC"/>
        </w:pBdr>
        <w:spacing w:before="80" w:after="80"/>
      </w:pPr>
    </w:p>
    <w:p>
      <w:pPr>
        <w:pStyle w:val="Heading3"/>
        <w:keepNext/>
      </w:pPr>
      <w:r>
        <w:rPr>
          <w:rFonts w:ascii="Calibri" w:hAnsi="Calibri"/>
          <w:b w:val="0"/>
          <w:sz w:val="26"/>
        </w:rPr>
        <w:t>Oracle Journeys — Employee Self-Service &amp; Guided Workflows</w:t>
      </w:r>
    </w:p>
    <w:p>
      <w:pPr>
        <w:pBdr>
          <w:bottom w:val="single" w:sz="4" w:space="1" w:color="CCCCCC"/>
        </w:pBdr>
        <w:spacing w:before="80" w:after="80"/>
      </w:pPr>
    </w:p>
    <w:p>
      <w:pPr>
        <w:pStyle w:val="Heading4"/>
        <w:keepNext/>
      </w:pPr>
      <w:r>
        <w:rPr>
          <w:rFonts w:ascii="Calibri" w:hAnsi="Calibri"/>
          <w:b w:val="0"/>
          <w:sz w:val="22"/>
        </w:rPr>
        <w:t>Section 1: Statement of Capability</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w:t>
            </w:r>
            <w:r>
              <w:rPr>
                <w:rFonts w:ascii="Calibri" w:hAnsi="Calibri"/>
                <w:b w:val="0"/>
                <w:sz w:val="20"/>
              </w:rPr>
              <w:t xml:space="preserve"> Oracle Journeys was confirmed as a delivered component within the Hollywood Bets Oracle Fusion HCM implementation (BU Lead decision 2026-06-14).</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Product Architecture</w:t>
      </w:r>
    </w:p>
    <w:p>
      <w:pPr>
        <w:pStyle w:val="Heading5"/>
        <w:keepNext/>
      </w:pPr>
      <w:r>
        <w:rPr>
          <w:rFonts w:ascii="Calibri" w:hAnsi="Calibri"/>
          <w:b w:val="0"/>
          <w:sz w:val="22"/>
        </w:rPr>
        <w:t>2.1 Oracle Journeys Framework</w:t>
      </w:r>
    </w:p>
    <w:p>
      <w:pPr>
        <w:pStyle w:val="Heading5"/>
        <w:keepNext/>
      </w:pPr>
      <w:r>
        <w:rPr>
          <w:rFonts w:ascii="Calibri" w:hAnsi="Calibri"/>
          <w:b w:val="0"/>
          <w:sz w:val="22"/>
        </w:rPr>
        <w:t>2.2 Integration with Oracle HCM Core</w:t>
      </w:r>
    </w:p>
    <w:p>
      <w:pPr>
        <w:pBdr>
          <w:bottom w:val="single" w:sz="4" w:space="1" w:color="CCCCCC"/>
        </w:pBdr>
        <w:spacing w:before="80" w:after="80"/>
      </w:pPr>
    </w:p>
    <w:p>
      <w:pPr>
        <w:pStyle w:val="Heading4"/>
        <w:keepNext/>
      </w:pPr>
      <w:r>
        <w:rPr>
          <w:rFonts w:ascii="Calibri" w:hAnsi="Calibri"/>
          <w:b w:val="0"/>
          <w:sz w:val="22"/>
        </w:rPr>
        <w:t>Section 3: Source Mapping</w:t>
      </w:r>
    </w:p>
    <w:p>
      <w:pPr>
        <w:pBdr>
          <w:bottom w:val="single" w:sz="4" w:space="1" w:color="CCCCCC"/>
        </w:pBdr>
        <w:spacing w:before="80" w:after="80"/>
      </w:pPr>
    </w:p>
    <w:p>
      <w:pPr>
        <w:pStyle w:val="Heading4"/>
        <w:keepNext/>
      </w:pPr>
      <w:r>
        <w:rPr>
          <w:rFonts w:ascii="Calibri" w:hAnsi="Calibri"/>
          <w:b w:val="0"/>
          <w:sz w:val="22"/>
        </w:rPr>
        <w:t>Section 4: Evidence Classification</w:t>
      </w:r>
    </w:p>
    <w:p>
      <w:pPr>
        <w:pBdr>
          <w:bottom w:val="single" w:sz="4" w:space="1" w:color="CCCCCC"/>
        </w:pBdr>
        <w:spacing w:before="80" w:after="80"/>
      </w:pPr>
    </w:p>
    <w:p>
      <w:pPr>
        <w:pStyle w:val="Heading4"/>
        <w:keepNext/>
      </w:pPr>
      <w:r>
        <w:rPr>
          <w:rFonts w:ascii="Calibri" w:hAnsi="Calibri"/>
          <w:b w:val="0"/>
          <w:sz w:val="22"/>
        </w:rPr>
        <w:t>Section 5: Approved and Prohibited Wording</w:t>
      </w:r>
    </w:p>
    <w:p>
      <w:pPr>
        <w:pStyle w:val="Heading5"/>
        <w:keepNext/>
      </w:pPr>
      <w:r>
        <w:rPr>
          <w:rFonts w:ascii="Calibri" w:hAnsi="Calibri"/>
          <w:b w:val="0"/>
          <w:sz w:val="22"/>
        </w:rPr>
        <w:t>Approved Wording</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configures and implements Oracle Journeys within Oracle Fusion HCM, enabling organisations to deliver structured, guided workflows for employee onboarding, life events, offboarding, and HR compliance processes."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has delivered Oracle Journeys as an integrated component of Oracle Fusion HCM implementations, providing employees with personalised, guided self-service workflows across the full employment lifecycle."</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"Oracle Journeys, implemented by APPSolve, enables HR teams to automate task orchestration for significant employment events — reducing manual HR workload while ensuring consistent, compliant employee experiences."</w:t>
            </w:r>
          </w:p>
        </w:tc>
      </w:tr>
    </w:tbl>
    <w:p>
      <w:pPr>
        <w:spacing w:before="0" w:after="120"/>
      </w:pPr>
    </w:p>
    <w:p>
      <w:pPr>
        <w:pStyle w:val="Heading5"/>
        <w:keepNext/>
      </w:pPr>
      <w:r>
        <w:rPr>
          <w:rFonts w:ascii="Calibri" w:hAnsi="Calibri"/>
          <w:b w:val="0"/>
          <w:sz w:val="22"/>
        </w:rPr>
        <w:t>Prohibited Wording</w:t>
      </w:r>
    </w:p>
    <w:p>
      <w:pPr>
        <w:pBdr>
          <w:bottom w:val="single" w:sz="4" w:space="1" w:color="CCCCCC"/>
        </w:pBdr>
        <w:spacing w:before="80" w:after="80"/>
      </w:pPr>
    </w:p>
    <w:p>
      <w:pPr>
        <w:pStyle w:val="Heading4"/>
        <w:keepNext/>
      </w:pPr>
      <w:r>
        <w:rPr>
          <w:rFonts w:ascii="Calibri" w:hAnsi="Calibri"/>
          <w:b w:val="0"/>
          <w:sz w:val="22"/>
        </w:rPr>
        <w:t>Section 6: Pre-Tender Validation Checks</w:t>
      </w:r>
    </w:p>
    <w:p>
      <w:pPr>
        <w:pBdr>
          <w:bottom w:val="single" w:sz="4" w:space="1" w:color="CCCCCC"/>
        </w:pBdr>
        <w:spacing w:before="80" w:after="80"/>
      </w:pPr>
    </w:p>
    <w:p>
      <w:pPr>
        <w:pStyle w:val="Heading4"/>
        <w:keepNext/>
      </w:pPr>
      <w:r>
        <w:rPr>
          <w:rFonts w:ascii="Calibri" w:hAnsi="Calibri"/>
          <w:b w:val="0"/>
          <w:sz w:val="22"/>
        </w:rPr>
        <w:t>Section 7: Named Reference Controls</w:t>
      </w:r>
    </w:p>
    <w:p>
      <w:pPr>
        <w:pBdr>
          <w:bottom w:val="single" w:sz="4" w:space="1" w:color="CCCCCC"/>
        </w:pBdr>
        <w:spacing w:before="80" w:after="80"/>
      </w:pPr>
    </w:p>
    <w:p>
      <w:pPr>
        <w:pStyle w:val="Heading4"/>
        <w:keepNext/>
      </w:pPr>
      <w:r>
        <w:rPr>
          <w:rFonts w:ascii="Calibri" w:hAnsi="Calibri"/>
          <w:b w:val="0"/>
          <w:sz w:val="22"/>
        </w:rPr>
        <w:t>Section 8: Product Boundary Controls</w:t>
      </w:r>
    </w:p>
    <w:p>
      <w:pPr>
        <w:pBdr>
          <w:bottom w:val="single" w:sz="4" w:space="1" w:color="CCCCCC"/>
        </w:pBdr>
        <w:spacing w:before="80" w:after="80"/>
      </w:pPr>
    </w:p>
    <w:p>
      <w:pPr>
        <w:pStyle w:val="Heading4"/>
        <w:keepNext/>
      </w:pPr>
      <w:r>
        <w:rPr>
          <w:rFonts w:ascii="Calibri" w:hAnsi="Calibri"/>
          <w:b w:val="0"/>
          <w:sz w:val="22"/>
        </w:rPr>
        <w:t>Section 9: Extraction Log</w:t>
      </w:r>
    </w:p>
    <w:p>
      <w:pPr>
        <w:pBdr>
          <w:bottom w:val="single" w:sz="4" w:space="1" w:color="CCCCCC"/>
        </w:pBdr>
        <w:spacing w:before="80" w:after="80"/>
      </w:pPr>
    </w:p>
    <w:p>
      <w:pPr>
        <w:pStyle w:val="Heading3"/>
        <w:keepNext/>
      </w:pPr>
      <w:r>
        <w:rPr>
          <w:rFonts w:ascii="Calibri" w:hAnsi="Calibri"/>
          <w:b w:val="0"/>
          <w:sz w:val="26"/>
        </w:rPr>
        <w:t>Oracle Fusion Cloud Capability Statement</w:t>
      </w:r>
    </w:p>
    <w:p>
      <w:pPr>
        <w:pStyle w:val="Heading4"/>
        <w:keepNext/>
      </w:pPr>
      <w:r>
        <w:rPr>
          <w:rFonts w:ascii="Calibri" w:hAnsi="Calibri"/>
          <w:b w:val="0"/>
          <w:sz w:val="22"/>
        </w:rPr>
        <w:t>Section 1 — Oracle Fusion Platform Overview</w:t>
      </w:r>
    </w:p>
    <w:p>
      <w:pPr>
        <w:pBdr>
          <w:bottom w:val="single" w:sz="4" w:space="1" w:color="CCCCCC"/>
        </w:pBdr>
        <w:spacing w:before="80" w:after="80"/>
      </w:pPr>
    </w:p>
    <w:p>
      <w:pPr>
        <w:pStyle w:val="Heading4"/>
        <w:keepNext/>
      </w:pPr>
      <w:r>
        <w:rPr>
          <w:rFonts w:ascii="Calibri" w:hAnsi="Calibri"/>
          <w:b w:val="0"/>
          <w:sz w:val="22"/>
        </w:rPr>
        <w:t>Section 2 — APPSolve Oracle Fusion Partnership</w:t>
      </w:r>
    </w:p>
    <w:p>
      <w:pPr>
        <w:pStyle w:val="Heading5"/>
        <w:keepNext/>
      </w:pPr>
      <w:r>
        <w:rPr>
          <w:rFonts w:ascii="Calibri" w:hAnsi="Calibri"/>
          <w:b w:val="0"/>
          <w:sz w:val="22"/>
        </w:rPr>
        <w:t>Partnership Status</w:t>
      </w:r>
    </w:p>
    <w:tbl>
      <w:tblPr>
        <w:tblStyle w:val="TableGrid"/>
        <w:tblW w:type="auto" w:w="0"/>
        <w:tblLook w:firstColumn="1" w:firstRow="1" w:lastColumn="0" w:lastRow="0" w:noHBand="0" w:noVBand="1" w:val="04A0"/>
      </w:tblPr>
      <w:tblGrid>
        <w:gridCol w:w="9026"/>
      </w:tblGrid>
      <w:tr>
        <w:tc>
          <w:tcPr>
            <w:tcW w:type="dxa" w:w="9026"/>
            <w:shd w:val="clear" w:color="auto" w:fill="EAF4E6"/>
            <w:tcBorders>
              <w:top w:val="single" w:sz="16" w:space="0" w:color="548235"/>
              <w:left w:val="single" w:sz="16" w:space="0" w:color="548235"/>
              <w:bottom w:val="single" w:sz="16" w:space="0" w:color="548235"/>
              <w:right w:val="single" w:sz="16" w:space="0" w:color="548235"/>
            </w:tcBorders>
          </w:tcPr>
          <w:p>
            <w:pPr>
              <w:spacing w:before="80" w:after="40"/>
            </w:pPr>
            <w:r>
              <w:rPr>
                <w:rFonts w:ascii="Calibri" w:hAnsi="Calibri"/>
                <w:b/>
                <w:color w:val="404040"/>
                <w:sz w:val="18"/>
              </w:rPr>
              <w:t>⚙  GOVERNANCE</w:t>
            </w:r>
          </w:p>
          <w:p>
            <w:pPr>
              <w:spacing w:before="20" w:after="40"/>
            </w:pPr>
            <w:r>
              <w:rPr>
                <w:rFonts w:ascii="Calibri" w:hAnsi="Calibri"/>
                <w:sz w:val="20"/>
              </w:rPr>
              <w:t>**Governance rule:**</w:t>
            </w:r>
            <w:r>
              <w:rPr>
                <w:rFonts w:ascii="Calibri" w:hAnsi="Calibri"/>
                <w:b w:val="0"/>
                <w:sz w:val="20"/>
              </w:rPr>
              <w:t xml:space="preserve"> The phrase "Oracle Gold Partner" and "Gold Level" are PROHIBITED. Oracle's Gold tier expired August 2021. All partnership references use "Level 1 Partner" or "Level 1 Principal Partner" only.</w:t>
            </w:r>
          </w:p>
        </w:tc>
      </w:tr>
    </w:tbl>
    <w:p>
      <w:pPr>
        <w:spacing w:before="0" w:after="120"/>
      </w:pPr>
    </w:p>
    <w:p>
      <w:pPr>
        <w:pStyle w:val="Heading5"/>
        <w:keepNext/>
      </w:pPr>
      <w:r>
        <w:rPr>
          <w:rFonts w:ascii="Calibri" w:hAnsi="Calibri"/>
          <w:b w:val="0"/>
          <w:sz w:val="22"/>
        </w:rPr>
        <w:t>Oracle Awards</w:t>
      </w:r>
    </w:p>
    <w:p>
      <w:pPr>
        <w:pStyle w:val="Heading5"/>
        <w:keepNext/>
      </w:pPr>
      <w:r>
        <w:rPr>
          <w:rFonts w:ascii="Calibri" w:hAnsi="Calibri"/>
          <w:b w:val="0"/>
          <w:sz w:val="22"/>
        </w:rPr>
        <w:t>Oracle Integration Cloud as Standard</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"All our Fusion implementation we have also implemented Oracle Integration Cloud. We have used OIC for all inbound and out bound interfaces between Oracle SaaS and 3rd party systems."</w:t>
            </w:r>
          </w:p>
        </w:tc>
      </w:tr>
    </w:tbl>
    <w:p>
      <w:pPr>
        <w:spacing w:before="0" w:after="120"/>
      </w:pPr>
    </w:p>
    <w:p>
      <w:pPr>
        <w:pStyle w:val="Heading5"/>
        <w:keepNext/>
      </w:pPr>
      <w:r>
        <w:rPr>
          <w:rFonts w:ascii="Calibri" w:hAnsi="Calibri"/>
          <w:b w:val="0"/>
          <w:sz w:val="22"/>
        </w:rPr>
        <w:t>Consulting Team</w:t>
      </w:r>
    </w:p>
    <w:tbl>
      <w:tblPr>
        <w:tblStyle w:val="TableGrid"/>
        <w:tblW w:type="auto" w:w="0"/>
        <w:tblLook w:firstColumn="1" w:firstRow="1" w:lastColumn="0" w:lastRow="0" w:noHBand="0" w:noVBand="1" w:val="04A0"/>
      </w:tblPr>
      <w:tblGrid>
        <w:gridCol w:w="9026"/>
      </w:tblGrid>
      <w:tr>
        <w:tc>
          <w:tcPr>
            <w:tcW w:type="dxa" w:w="9026"/>
            <w:shd w:val="clear" w:color="auto" w:fill="EAF4E6"/>
            <w:tcBorders>
              <w:top w:val="single" w:sz="16" w:space="0" w:color="548235"/>
              <w:left w:val="single" w:sz="16" w:space="0" w:color="548235"/>
              <w:bottom w:val="single" w:sz="16" w:space="0" w:color="548235"/>
              <w:right w:val="single" w:sz="16" w:space="0" w:color="548235"/>
            </w:tcBorders>
          </w:tcPr>
          <w:p>
            <w:pPr>
              <w:spacing w:before="80" w:after="40"/>
            </w:pPr>
            <w:r>
              <w:rPr>
                <w:rFonts w:ascii="Calibri" w:hAnsi="Calibri"/>
                <w:b/>
                <w:color w:val="404040"/>
                <w:sz w:val="18"/>
              </w:rPr>
              <w:t>⚙  GOVERNANCE</w:t>
            </w:r>
          </w:p>
          <w:p>
            <w:pPr>
              <w:spacing w:before="20" w:after="40"/>
            </w:pPr>
            <w:r>
              <w:rPr>
                <w:rFonts w:ascii="Calibri" w:hAnsi="Calibri"/>
                <w:sz w:val="20"/>
              </w:rPr>
              <w:t>**Governance rule:**</w:t>
            </w:r>
            <w:r>
              <w:rPr>
                <w:rFonts w:ascii="Calibri" w:hAnsi="Calibri"/>
                <w:b w:val="0"/>
                <w:sz w:val="20"/>
              </w:rPr>
              <w:t xml:space="preserve"> The figures "110 Senior Consultants", "over 100 consultants" are PROHIBITED. Use "50+" only.</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3 — Oracle Fusion HCM</w:t>
      </w:r>
    </w:p>
    <w:p>
      <w:pPr>
        <w:pStyle w:val="Heading5"/>
        <w:keepNext/>
      </w:pPr>
      <w:r>
        <w:rPr>
          <w:rFonts w:ascii="Calibri" w:hAnsi="Calibri"/>
          <w:b w:val="0"/>
          <w:sz w:val="22"/>
        </w:rPr>
        <w:t>3.1 Global Human Resources (Core HR)</w:t>
      </w:r>
    </w:p>
    <w:p>
      <w:pPr>
        <w:pStyle w:val="Heading5"/>
        <w:keepNext/>
      </w:pPr>
      <w:r>
        <w:rPr>
          <w:rFonts w:ascii="Calibri" w:hAnsi="Calibri"/>
          <w:b w:val="0"/>
          <w:sz w:val="22"/>
        </w:rPr>
        <w:t>3.2 AI-Based Dynamic Skills</w:t>
      </w:r>
    </w:p>
    <w:p>
      <w:pPr>
        <w:pStyle w:val="Heading5"/>
        <w:keepNext/>
      </w:pPr>
      <w:r>
        <w:rPr>
          <w:rFonts w:ascii="Calibri" w:hAnsi="Calibri"/>
          <w:b w:val="0"/>
          <w:sz w:val="22"/>
        </w:rPr>
        <w:t>3.3 Absence Management</w:t>
      </w:r>
    </w:p>
    <w:p>
      <w:pPr>
        <w:pStyle w:val="Heading5"/>
        <w:keepNext/>
      </w:pPr>
      <w:r>
        <w:rPr>
          <w:rFonts w:ascii="Calibri" w:hAnsi="Calibri"/>
          <w:b w:val="0"/>
          <w:sz w:val="22"/>
        </w:rPr>
        <w:t>3.4 Benefits Administration</w:t>
      </w:r>
    </w:p>
    <w:p>
      <w:pPr>
        <w:pStyle w:val="Heading5"/>
        <w:keepNext/>
      </w:pPr>
      <w:r>
        <w:rPr>
          <w:rFonts w:ascii="Calibri" w:hAnsi="Calibri"/>
          <w:b w:val="0"/>
          <w:sz w:val="22"/>
        </w:rPr>
        <w:t>3.5 Oracle Journeys</w:t>
      </w:r>
    </w:p>
    <w:p>
      <w:pPr>
        <w:pStyle w:val="Heading5"/>
        <w:keepNext/>
      </w:pPr>
      <w:r>
        <w:rPr>
          <w:rFonts w:ascii="Calibri" w:hAnsi="Calibri"/>
          <w:b w:val="0"/>
          <w:sz w:val="22"/>
        </w:rPr>
        <w:t>3.6 Payroll Interface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has implemented an Integration between Oracle HCM and SAP Payroll many times."</w:t>
            </w:r>
          </w:p>
        </w:tc>
      </w:tr>
    </w:tbl>
    <w:p>
      <w:pPr>
        <w:spacing w:before="0" w:after="120"/>
      </w:pPr>
    </w:p>
    <w:p>
      <w:pPr>
        <w:pStyle w:val="Heading5"/>
        <w:keepNext/>
      </w:pPr>
      <w:r>
        <w:rPr>
          <w:rFonts w:ascii="Calibri" w:hAnsi="Calibri"/>
          <w:b w:val="0"/>
          <w:sz w:val="22"/>
        </w:rPr>
        <w:t>3.7 Workforce Directory Management</w:t>
      </w:r>
    </w:p>
    <w:p>
      <w:pPr>
        <w:pStyle w:val="Heading5"/>
        <w:keepNext/>
      </w:pPr>
      <w:r>
        <w:rPr>
          <w:rFonts w:ascii="Calibri" w:hAnsi="Calibri"/>
          <w:b w:val="0"/>
          <w:sz w:val="22"/>
        </w:rPr>
        <w:t>3.8 Workforce Modelling and Predictions</w:t>
      </w:r>
    </w:p>
    <w:p>
      <w:pPr>
        <w:pStyle w:val="Heading5"/>
        <w:keepNext/>
      </w:pPr>
      <w:r>
        <w:rPr>
          <w:rFonts w:ascii="Calibri" w:hAnsi="Calibri"/>
          <w:b w:val="0"/>
          <w:sz w:val="22"/>
        </w:rPr>
        <w:t>3.9 Work Life Solutions</w:t>
      </w:r>
    </w:p>
    <w:p>
      <w:pPr>
        <w:pStyle w:val="Heading5"/>
        <w:keepNext/>
      </w:pPr>
      <w:r>
        <w:rPr>
          <w:rFonts w:ascii="Calibri" w:hAnsi="Calibri"/>
          <w:b w:val="0"/>
          <w:sz w:val="22"/>
        </w:rPr>
        <w:t>3.10 Oracle Transactional Business Intelligence (OTBI)</w:t>
      </w:r>
    </w:p>
    <w:p>
      <w:pPr>
        <w:pStyle w:val="Heading5"/>
        <w:keepNext/>
      </w:pPr>
      <w:r>
        <w:rPr>
          <w:rFonts w:ascii="Calibri" w:hAnsi="Calibri"/>
          <w:b w:val="0"/>
          <w:sz w:val="22"/>
        </w:rPr>
        <w:t>3.11 Transparent Data Encryption (TDE)</w:t>
      </w:r>
    </w:p>
    <w:p>
      <w:pPr>
        <w:pStyle w:val="Heading5"/>
        <w:keepNext/>
      </w:pPr>
      <w:r>
        <w:rPr>
          <w:rFonts w:ascii="Calibri" w:hAnsi="Calibri"/>
          <w:b w:val="0"/>
          <w:sz w:val="22"/>
        </w:rPr>
        <w:t>3.12 Workforce Compensation</w:t>
      </w:r>
    </w:p>
    <w:p>
      <w:pPr>
        <w:pStyle w:val="Heading5"/>
        <w:keepNext/>
      </w:pPr>
      <w:r>
        <w:rPr>
          <w:rFonts w:ascii="Calibri" w:hAnsi="Calibri"/>
          <w:b w:val="0"/>
          <w:sz w:val="22"/>
        </w:rPr>
        <w:t>3.13 Oracle Recruiting Cloud</w:t>
      </w:r>
    </w:p>
    <w:p>
      <w:pPr>
        <w:pStyle w:val="Heading5"/>
        <w:keepNext/>
      </w:pPr>
      <w:r>
        <w:rPr>
          <w:rFonts w:ascii="Calibri" w:hAnsi="Calibri"/>
          <w:b w:val="0"/>
          <w:sz w:val="22"/>
        </w:rPr>
        <w:t>3.14 Talent Management</w:t>
      </w:r>
    </w:p>
    <w:p>
      <w:pPr>
        <w:pStyle w:val="Heading5"/>
        <w:keepNext/>
      </w:pPr>
      <w:r>
        <w:rPr>
          <w:rFonts w:ascii="Calibri" w:hAnsi="Calibri"/>
          <w:b w:val="0"/>
          <w:sz w:val="22"/>
        </w:rPr>
        <w:t>3.15 Oracle Learning Cloud</w:t>
      </w:r>
    </w:p>
    <w:p>
      <w:pPr>
        <w:pStyle w:val="Heading5"/>
        <w:keepNext/>
      </w:pPr>
      <w:r>
        <w:rPr>
          <w:rFonts w:ascii="Calibri" w:hAnsi="Calibri"/>
          <w:b w:val="0"/>
          <w:sz w:val="22"/>
        </w:rPr>
        <w:t>3.16 HCM Analytics</w:t>
      </w:r>
    </w:p>
    <w:p>
      <w:pPr>
        <w:pStyle w:val="Heading5"/>
        <w:keepNext/>
      </w:pPr>
      <w:r>
        <w:rPr>
          <w:rFonts w:ascii="Calibri" w:hAnsi="Calibri"/>
          <w:b w:val="0"/>
          <w:sz w:val="22"/>
        </w:rPr>
        <w:t>3.17 Time and Labor / Workforce Scheduling</w:t>
      </w:r>
    </w:p>
    <w:p>
      <w:pPr>
        <w:pStyle w:val="Heading5"/>
        <w:keepNext/>
      </w:pPr>
      <w:r>
        <w:rPr>
          <w:rFonts w:ascii="Calibri" w:hAnsi="Calibri"/>
          <w:b w:val="0"/>
          <w:sz w:val="22"/>
        </w:rPr>
        <w:t>3.18 HR Help Desk / Oracle Digital Assistant</w:t>
      </w:r>
    </w:p>
    <w:p>
      <w:pPr>
        <w:pBdr>
          <w:bottom w:val="single" w:sz="4" w:space="1" w:color="CCCCCC"/>
        </w:pBdr>
        <w:spacing w:before="80" w:after="80"/>
      </w:pPr>
    </w:p>
    <w:p>
      <w:pPr>
        <w:pStyle w:val="Heading4"/>
        <w:keepNext/>
      </w:pPr>
      <w:r>
        <w:rPr>
          <w:rFonts w:ascii="Calibri" w:hAnsi="Calibri"/>
          <w:b w:val="0"/>
          <w:sz w:val="22"/>
        </w:rPr>
        <w:t>Section 4 — Oracle Fusion ERP / Financials</w:t>
      </w:r>
    </w:p>
    <w:p>
      <w:pPr>
        <w:pStyle w:val="Heading5"/>
        <w:keepNext/>
      </w:pPr>
      <w:r>
        <w:rPr>
          <w:rFonts w:ascii="Calibri" w:hAnsi="Calibri"/>
          <w:b w:val="0"/>
          <w:sz w:val="22"/>
        </w:rPr>
        <w:t>4.1 Financial Management Modules</w:t>
      </w:r>
    </w:p>
    <w:p>
      <w:pPr>
        <w:pStyle w:val="Heading5"/>
        <w:keepNext/>
      </w:pPr>
      <w:r>
        <w:rPr>
          <w:rFonts w:ascii="Calibri" w:hAnsi="Calibri"/>
          <w:b w:val="0"/>
          <w:sz w:val="22"/>
        </w:rPr>
        <w:t>4.2 Financial Reporting</w:t>
      </w:r>
    </w:p>
    <w:p>
      <w:pPr>
        <w:pStyle w:val="Heading5"/>
        <w:keepNext/>
      </w:pPr>
      <w:r>
        <w:rPr>
          <w:rFonts w:ascii="Calibri" w:hAnsi="Calibri"/>
          <w:b w:val="0"/>
          <w:sz w:val="22"/>
        </w:rPr>
        <w:t>4.3 Oracle Fusion ERP — Referenceable Client Evidence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 to BU Lead:**</w:t>
            </w:r>
            <w:r>
              <w:rPr>
                <w:rFonts w:ascii="Calibri" w:hAnsi="Calibri"/>
                <w:b w:val="0"/>
                <w:sz w:val="20"/>
              </w:rPr>
              <w:t xml:space="preserve"> Finance module descriptions are now sourced from APPSolve's BankServAfrica ERP Proposal (August 2024). Client reference data is from Mpact ERP Proposal reference cards (August 2025), which are the most detailed and recent reference data found. DFA has the broadest scope but is explicitly not available for reference (confirmed Mpact proposal). Investec (&gt;1,000 users, 3 countries, July 2024 go-live) is the flagship Finance reference.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 Oracle Fusion Procurement</w:t>
      </w:r>
    </w:p>
    <w:p>
      <w:pPr>
        <w:pStyle w:val="Heading5"/>
        <w:keepNext/>
      </w:pPr>
      <w:r>
        <w:rPr>
          <w:rFonts w:ascii="Calibri" w:hAnsi="Calibri"/>
          <w:b w:val="0"/>
          <w:sz w:val="22"/>
        </w:rPr>
        <w:t>5.1 Core Procurement Capabilities</w:t>
      </w:r>
    </w:p>
    <w:p>
      <w:pPr>
        <w:pStyle w:val="Heading5"/>
        <w:keepNext/>
      </w:pPr>
      <w:r>
        <w:rPr>
          <w:rFonts w:ascii="Calibri" w:hAnsi="Calibri"/>
          <w:b w:val="0"/>
          <w:sz w:val="22"/>
        </w:rPr>
        <w:t>5.2 Self-Service Procurement</w:t>
      </w:r>
    </w:p>
    <w:p>
      <w:pPr>
        <w:pStyle w:val="Heading5"/>
        <w:keepNext/>
      </w:pPr>
      <w:r>
        <w:rPr>
          <w:rFonts w:ascii="Calibri" w:hAnsi="Calibri"/>
          <w:b w:val="0"/>
          <w:sz w:val="22"/>
        </w:rPr>
        <w:t>5.3 Procurement Client Evidence</w:t>
      </w:r>
    </w:p>
    <w:p>
      <w:pPr>
        <w:pBdr>
          <w:bottom w:val="single" w:sz="4" w:space="1" w:color="CCCCCC"/>
        </w:pBdr>
        <w:spacing w:before="80" w:after="80"/>
      </w:pPr>
    </w:p>
    <w:p>
      <w:pPr>
        <w:pStyle w:val="Heading4"/>
        <w:keepNext/>
      </w:pPr>
      <w:r>
        <w:rPr>
          <w:rFonts w:ascii="Calibri" w:hAnsi="Calibri"/>
          <w:b w:val="0"/>
          <w:sz w:val="22"/>
        </w:rPr>
        <w:t>Section 6 — Oracle Fusion Supply Chain Management (SCM)</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**SCM CAPABILITY REFERENCE ONLY — RESTRICTED USE.**</w:t>
            </w:r>
            <w:r>
              <w:rPr>
                <w:rFonts w:ascii="Calibri" w:hAnsi="Calibri"/>
                <w:b w:val="0"/>
                <w:sz w:val="20"/>
              </w:rPr>
              <w:t xml:space="preserve"> APPSolve currently has no referenceable Oracle Fusion SCM client available for external tender reference. This section may be used for capability descriptions and methodology responses where delivery references are not scored criteria. Dark Fibre Africa (DFA) remains internal-use-only and may not be cited without specific BU Lead approval. BU Lead ruling applied 2026-06-11 (FR-004 — Option A).</w:t>
            </w:r>
          </w:p>
        </w:tc>
      </w:tr>
    </w:tbl>
    <w:p>
      <w:pPr>
        <w:spacing w:before="0" w:after="120"/>
      </w:pPr>
    </w:p>
    <w:p>
      <w:pPr>
        <w:pStyle w:val="Heading5"/>
        <w:keepNext/>
      </w:pPr>
      <w:r>
        <w:rPr>
          <w:rFonts w:ascii="Calibri" w:hAnsi="Calibri"/>
          <w:b w:val="0"/>
          <w:sz w:val="22"/>
        </w:rPr>
        <w:t>6.1 SCM Core Capabilities</w:t>
      </w:r>
    </w:p>
    <w:p>
      <w:pPr>
        <w:pStyle w:val="Heading5"/>
        <w:keepNext/>
      </w:pPr>
      <w:r>
        <w:rPr>
          <w:rFonts w:ascii="Calibri" w:hAnsi="Calibri"/>
          <w:b w:val="0"/>
          <w:sz w:val="22"/>
        </w:rPr>
        <w:t>6.2 Order Management</w:t>
      </w:r>
    </w:p>
    <w:p>
      <w:pPr>
        <w:pStyle w:val="Heading5"/>
        <w:keepNext/>
      </w:pPr>
      <w:r>
        <w:rPr>
          <w:rFonts w:ascii="Calibri" w:hAnsi="Calibri"/>
          <w:b w:val="0"/>
          <w:sz w:val="22"/>
        </w:rPr>
        <w:t>6.3 SCM Client Evidence and Scope Note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**IMPORTANT — READ BEFORE USE:**</w:t>
            </w:r>
            <w:r>
              <w:rPr>
                <w:rFonts w:ascii="Calibri" w:hAnsi="Calibri"/>
                <w:b w:val="0"/>
                <w:sz w:val="20"/>
              </w:rPr>
              <w:t xml:space="preserve"> Cape Union Mart is confirmed as Oracle Fusion </w:t>
            </w:r>
            <w:r>
              <w:rPr>
                <w:rFonts w:ascii="Calibri" w:hAnsi="Calibri"/>
                <w:sz w:val="20"/>
              </w:rPr>
              <w:t>**Financials and Procurement**</w:t>
            </w:r>
            <w:r>
              <w:rPr>
                <w:rFonts w:ascii="Calibri" w:hAnsi="Calibri"/>
                <w:b w:val="0"/>
                <w:sz w:val="20"/>
              </w:rPr>
              <w:t xml:space="preserve"> only — NOT an SCM client. This corrects an error in the original W2S1-001 extraction. Dark Fibre Africa (DFA) is the only confirmed Oracle Fusion SCM client (Oracle SCM Cloud including iSupplier Portal, Sourcing, and Contracts — confirmed June 2019 go-live). DFA is </w:t>
            </w:r>
            <w:r>
              <w:rPr>
                <w:rFonts w:ascii="Calibri" w:hAnsi="Calibri"/>
                <w:sz w:val="20"/>
              </w:rPr>
              <w:t>**not available for reference**</w:t>
            </w:r>
            <w:r>
              <w:rPr>
                <w:rFonts w:ascii="Calibri" w:hAnsi="Calibri"/>
                <w:b w:val="0"/>
                <w:sz w:val="20"/>
              </w:rPr>
              <w:t xml:space="preserve"> (explicitly confirmed in Mpact ERP Proposal line 641–642).</w:t>
            </w:r>
          </w:p>
          <w:p>
            <w:pPr>
              <w:spacing w:before="20" w:after="40"/>
            </w:pPr>
            <w:r>
              <w:rPr>
                <w:rFonts w:ascii="Calibri" w:hAnsi="Calibri"/>
                <w:b w:val="0"/>
                <w:sz w:val="20"/>
              </w:rPr>
              <w:t>SCM feature descriptions above are sourced from the BankServAfrica ERP Proposal (August 2024), which is an APPSolve-authored client proposal, not a delivered-project artefact. These descriptions are accurate for the Oracle product. However, the only referenceable SCM delivery evidence is absent from current sources.</w:t>
            </w:r>
          </w:p>
          <w:p>
            <w:pPr>
              <w:spacing w:before="20" w:after="40"/>
            </w:pPr>
            <w:r>
              <w:rPr>
                <w:rFonts w:ascii="Calibri" w:hAnsi="Calibri"/>
                <w:sz w:val="20"/>
              </w:rPr>
              <w:t>**Resolved — FR-004 closed by BU Lead on 2026-06-11.**</w:t>
            </w:r>
            <w:r>
              <w:rPr>
                <w:rFonts w:ascii="Calibri" w:hAnsi="Calibri"/>
                <w:b w:val="0"/>
                <w:sz w:val="20"/>
              </w:rPr>
              <w:t xml:space="preserve"> Section 6 remains subject to the restricted-use notice at the beginning of the SCM section.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7 — Oracle Fusion Projects / PPM</w:t>
      </w:r>
    </w:p>
    <w:p>
      <w:pPr>
        <w:pStyle w:val="Heading5"/>
        <w:keepNext/>
      </w:pPr>
      <w:r>
        <w:rPr>
          <w:rFonts w:ascii="Calibri" w:hAnsi="Calibri"/>
          <w:b w:val="0"/>
          <w:sz w:val="22"/>
        </w:rPr>
        <w:t>7.1 Project Financials</w:t>
      </w:r>
    </w:p>
    <w:p>
      <w:pPr>
        <w:pStyle w:val="Heading5"/>
        <w:keepNext/>
      </w:pPr>
      <w:r>
        <w:rPr>
          <w:rFonts w:ascii="Calibri" w:hAnsi="Calibri"/>
          <w:b w:val="0"/>
          <w:sz w:val="22"/>
        </w:rPr>
        <w:t>7.2 Project Contract Billing</w:t>
      </w:r>
    </w:p>
    <w:p>
      <w:pPr>
        <w:pStyle w:val="Heading5"/>
        <w:keepNext/>
      </w:pPr>
      <w:r>
        <w:rPr>
          <w:rFonts w:ascii="Calibri" w:hAnsi="Calibri"/>
          <w:b w:val="0"/>
          <w:sz w:val="22"/>
        </w:rPr>
        <w:t>7.3 Project Management</w:t>
      </w:r>
    </w:p>
    <w:p>
      <w:pPr>
        <w:pStyle w:val="Heading5"/>
        <w:keepNext/>
      </w:pPr>
      <w:r>
        <w:rPr>
          <w:rFonts w:ascii="Calibri" w:hAnsi="Calibri"/>
          <w:b w:val="0"/>
          <w:sz w:val="22"/>
        </w:rPr>
        <w:t>7.4 Projects Client Evidence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**Nala Renewables — scope and referenceability confirmed by BU Lead 2026-06-11:**</w:t>
            </w:r>
            <w:r>
              <w:rPr>
                <w:rFonts w:ascii="Calibri" w:hAnsi="Calibri"/>
                <w:b w:val="0"/>
                <w:sz w:val="20"/>
              </w:rPr>
              <w:t xml:space="preserve"> Nala Renewables is a confirmed Oracle Fusion Financials and Projects client. The production environment spans 8 implemented countries. Four countries were implemented by APPSolve (SA, Lithuania, Romania, Finland — confirmed via Mpact reference card August 2025); four further countries were already implemented before APPSolve's involvement. APPSolve supports the complete 8-country Oracle Fusion environment. Nala is referenceable for both Financials and Projects. When citing, distinguish between countries implemented by APPSolve (4) and the full production footprint supported by APPSolve (8).</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8 — Oracle Analytics</w:t>
      </w:r>
    </w:p>
    <w:p>
      <w:pPr>
        <w:pBdr>
          <w:bottom w:val="single" w:sz="4" w:space="1" w:color="CCCCCC"/>
        </w:pBdr>
        <w:spacing w:before="80" w:after="80"/>
      </w:pPr>
    </w:p>
    <w:p>
      <w:pPr>
        <w:pStyle w:val="Heading4"/>
        <w:keepNext/>
      </w:pPr>
      <w:r>
        <w:rPr>
          <w:rFonts w:ascii="Calibri" w:hAnsi="Calibri"/>
          <w:b w:val="0"/>
          <w:sz w:val="22"/>
        </w:rPr>
        <w:t>Section 9 — Oracle Integration Cloud (OIC)</w:t>
      </w:r>
    </w:p>
    <w:p>
      <w:pPr>
        <w:pStyle w:val="Heading5"/>
        <w:keepNext/>
      </w:pPr>
      <w:r>
        <w:rPr>
          <w:rFonts w:ascii="Calibri" w:hAnsi="Calibri"/>
          <w:b w:val="0"/>
          <w:sz w:val="22"/>
        </w:rPr>
        <w:t>OIC as APPSolve Standard</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"All our Fusion implementation we have also implemented Oracle Integration Cloud. We have used OIC for all inbound and out bound interfaces between Oracle SaaS and 3rd party systems."</w:t>
            </w:r>
          </w:p>
        </w:tc>
      </w:tr>
    </w:tbl>
    <w:p>
      <w:pPr>
        <w:spacing w:before="0" w:after="120"/>
      </w:pPr>
    </w:p>
    <w:p>
      <w:pPr>
        <w:pStyle w:val="Heading5"/>
        <w:keepNext/>
      </w:pPr>
      <w:r>
        <w:rPr>
          <w:rFonts w:ascii="Calibri" w:hAnsi="Calibri"/>
          <w:b w:val="0"/>
          <w:sz w:val="22"/>
        </w:rPr>
        <w:t>OIC Core Capabilities</w:t>
      </w:r>
    </w:p>
    <w:p>
      <w:pPr>
        <w:pStyle w:val="Heading5"/>
        <w:keepNext/>
      </w:pPr>
      <w:r>
        <w:rPr>
          <w:rFonts w:ascii="Calibri" w:hAnsi="Calibri"/>
          <w:b w:val="0"/>
          <w:sz w:val="22"/>
        </w:rPr>
        <w:t>Integration Patterns Delivered</w:t>
      </w:r>
    </w:p>
    <w:p>
      <w:pPr>
        <w:pBdr>
          <w:bottom w:val="single" w:sz="4" w:space="1" w:color="CCCCCC"/>
        </w:pBdr>
        <w:spacing w:before="80" w:after="80"/>
      </w:pPr>
    </w:p>
    <w:p>
      <w:pPr>
        <w:pStyle w:val="Heading4"/>
        <w:keepNext/>
      </w:pPr>
      <w:r>
        <w:rPr>
          <w:rFonts w:ascii="Calibri" w:hAnsi="Calibri"/>
          <w:b w:val="0"/>
          <w:sz w:val="22"/>
        </w:rPr>
        <w:t>Section 10 — Security and Compliance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**Exclusion note:**</w:t>
            </w:r>
            <w:r>
              <w:rPr>
                <w:rFonts w:ascii="Calibri" w:hAnsi="Calibri"/>
                <w:b w:val="0"/>
                <w:sz w:val="20"/>
              </w:rPr>
              <w:t xml:space="preserve"> OCI platform infrastructure capabilities (compute, storage, networking) are excluded from this statement per W2S1-001 scope. Security controls listed are those deployed at the application and data layer within Oracle Fusion implementations.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11 — Mobile Experience</w:t>
      </w:r>
    </w:p>
    <w:p>
      <w:pPr>
        <w:pBdr>
          <w:bottom w:val="single" w:sz="4" w:space="1" w:color="CCCCCC"/>
        </w:pBdr>
        <w:spacing w:before="80" w:after="80"/>
      </w:pPr>
    </w:p>
    <w:p>
      <w:pPr>
        <w:pStyle w:val="Heading4"/>
        <w:keepNext/>
      </w:pPr>
      <w:r>
        <w:rPr>
          <w:rFonts w:ascii="Calibri" w:hAnsi="Calibri"/>
          <w:b w:val="0"/>
          <w:sz w:val="22"/>
        </w:rPr>
        <w:t>Section 12 — Referenceable Client Experience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**Version note:**</w:t>
            </w:r>
            <w:r>
              <w:rPr>
                <w:rFonts w:ascii="Calibri" w:hAnsi="Calibri"/>
                <w:b w:val="0"/>
                <w:sz w:val="20"/>
              </w:rPr>
              <w:t xml:space="preserve"> Client table updated 2026-06-11. Client data now sourced from Mpact ERP Proposal reference cards (August 2025) — the most detailed and specific client reference data found across all sources. Corrections from prior version: Cape Union Mart is Financials + Procurement (NOT SCM); Mr Price is HCM Learning Cloud only (NOT full HCM). Nala: 8-country Oracle Fusion footprint confirmed. APPSolve implemented 4 countries (South Africa, Lithuania, Romania and Finland) and supports the full 8-country production environment. Nala is referenceable for Oracle Fusion Financials and Oracle Fusion Projects. (Confirmed by Hein Blignaut 2026-06-11.)</w:t>
            </w:r>
          </w:p>
        </w:tc>
      </w:tr>
    </w:tbl>
    <w:p>
      <w:pPr>
        <w:spacing w:before="0" w:after="120"/>
      </w:pPr>
    </w:p>
    <w:p>
      <w:pPr>
        <w:pStyle w:val="Heading5"/>
        <w:keepNext/>
      </w:pPr>
      <w:r>
        <w:rPr>
          <w:rFonts w:ascii="Calibri" w:hAnsi="Calibri"/>
          <w:b w:val="0"/>
          <w:sz w:val="22"/>
        </w:rPr>
        <w:t>Available for Reference</w:t>
      </w:r>
    </w:p>
    <w:p>
      <w:pPr>
        <w:pStyle w:val="Heading5"/>
        <w:keepNext/>
      </w:pPr>
      <w:r>
        <w:rPr>
          <w:rFonts w:ascii="Calibri" w:hAnsi="Calibri"/>
          <w:b w:val="0"/>
          <w:sz w:val="22"/>
        </w:rPr>
        <w:t>NOT Available for Reference</w:t>
      </w:r>
    </w:p>
    <w:p>
      <w:pPr>
        <w:pStyle w:val="Heading5"/>
        <w:keepNext/>
      </w:pPr>
      <w:r>
        <w:rPr>
          <w:rFonts w:ascii="Calibri" w:hAnsi="Calibri"/>
          <w:b w:val="0"/>
          <w:sz w:val="22"/>
        </w:rPr>
        <w:t>Additional EBS Sector Capability (Not Oracle Fusion)</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 to BU Lead:**</w:t>
            </w:r>
          </w:p>
          <w:p>
            <w:pPr>
              <w:spacing w:before="20" w:after="40"/>
            </w:pPr>
            <w:r>
              <w:rPr>
                <w:rFonts w:ascii="Calibri" w:hAnsi="Calibri"/>
                <w:b w:val="0"/>
                <w:sz w:val="20"/>
              </w:rPr>
              <w:t xml:space="preserve">- </w:t>
            </w:r>
            <w:r>
              <w:rPr>
                <w:rFonts w:ascii="Calibri" w:hAnsi="Calibri"/>
                <w:sz w:val="20"/>
              </w:rPr>
              <w:t>**Investec**</w:t>
            </w:r>
            <w:r>
              <w:rPr>
                <w:rFonts w:ascii="Calibri" w:hAnsi="Calibri"/>
                <w:b w:val="0"/>
                <w:sz w:val="20"/>
              </w:rPr>
              <w:t xml:space="preserve"> is the flagship Finance reference: &gt;1,000 users, 3 countries, July 2024 go-live, available for reference.</w:t>
            </w:r>
          </w:p>
          <w:p>
            <w:pPr>
              <w:spacing w:before="20" w:after="40"/>
            </w:pPr>
            <w:r>
              <w:rPr>
                <w:rFonts w:ascii="Calibri" w:hAnsi="Calibri"/>
                <w:b w:val="0"/>
                <w:sz w:val="20"/>
              </w:rPr>
              <w:t xml:space="preserve">- </w:t>
            </w:r>
            <w:r>
              <w:rPr>
                <w:rFonts w:ascii="Calibri" w:hAnsi="Calibri"/>
                <w:sz w:val="20"/>
              </w:rPr>
              <w:t>**Hollywood Bets**</w:t>
            </w:r>
            <w:r>
              <w:rPr>
                <w:rFonts w:ascii="Calibri" w:hAnsi="Calibri"/>
                <w:b w:val="0"/>
                <w:sz w:val="20"/>
              </w:rPr>
              <w:t xml:space="preserve"> is the richest HCM reference with a full project proposal plus confirmed July 2025 go-live at 7,000 users. (A-003 closed 2026-06-11 — Mpact reference card accepted as confirmation.)</w:t>
            </w:r>
          </w:p>
          <w:p>
            <w:pPr>
              <w:spacing w:before="20" w:after="40"/>
            </w:pPr>
            <w:r>
              <w:rPr>
                <w:rFonts w:ascii="Calibri" w:hAnsi="Calibri"/>
                <w:b w:val="0"/>
                <w:sz w:val="20"/>
              </w:rPr>
              <w:t xml:space="preserve">- </w:t>
            </w:r>
            <w:r>
              <w:rPr>
                <w:rFonts w:ascii="Calibri" w:hAnsi="Calibri"/>
                <w:sz w:val="20"/>
              </w:rPr>
              <w:t>**Nala Renewables**</w:t>
            </w:r>
            <w:r>
              <w:rPr>
                <w:rFonts w:ascii="Calibri" w:hAnsi="Calibri"/>
                <w:b w:val="0"/>
                <w:sz w:val="20"/>
              </w:rPr>
              <w:t xml:space="preserve"> is a confirmed Financials and Projects reference — 8-country implemented footprint, APPSolve implemented 4 countries (SA, Lithuania, Romania, Finland), April 2025 go-live. Referenceable for both Financials and Projects. When citing, distinguish between APPSolve-implemented countries (4) and full supported footprint (8). (Confirmed by Hein Blignaut 2026-06-11.)</w:t>
            </w:r>
          </w:p>
          <w:p>
            <w:pPr>
              <w:spacing w:before="20" w:after="40"/>
            </w:pPr>
            <w:r>
              <w:rPr>
                <w:rFonts w:ascii="Calibri" w:hAnsi="Calibri"/>
                <w:b w:val="0"/>
                <w:sz w:val="20"/>
              </w:rPr>
              <w:t xml:space="preserve">- </w:t>
            </w:r>
            <w:r>
              <w:rPr>
                <w:rFonts w:ascii="Calibri" w:hAnsi="Calibri"/>
                <w:sz w:val="20"/>
              </w:rPr>
              <w:t>**DFA**</w:t>
            </w:r>
            <w:r>
              <w:rPr>
                <w:rFonts w:ascii="Calibri" w:hAnsi="Calibri"/>
                <w:b w:val="0"/>
                <w:sz w:val="20"/>
              </w:rPr>
              <w:t xml:space="preserve"> has the broadest overall Fusion scope (Financials, SCM, Projects, EPM, HCM, OIC) but cannot be cited.</w:t>
            </w:r>
          </w:p>
          <w:p>
            <w:pPr>
              <w:spacing w:before="20" w:after="40"/>
            </w:pPr>
            <w:r>
              <w:rPr>
                <w:rFonts w:ascii="Calibri" w:hAnsi="Calibri"/>
                <w:b w:val="0"/>
                <w:sz w:val="20"/>
              </w:rPr>
              <w:t>- See ORACLE_REFERENCE_GAP_REPORT.md for reference letter register.</w:t>
            </w:r>
          </w:p>
        </w:tc>
      </w:tr>
    </w:tbl>
    <w:p>
      <w:pPr>
        <w:spacing w:before="0" w:after="120"/>
      </w:pPr>
    </w:p>
    <w:p>
      <w:pPr>
        <w:pBdr>
          <w:bottom w:val="single" w:sz="4" w:space="1" w:color="CCCCCC"/>
        </w:pBdr>
        <w:spacing w:before="80" w:after="80"/>
      </w:pPr>
    </w:p>
    <w:p>
      <w:pPr>
        <w:pBdr>
          <w:bottom w:val="single" w:sz="4" w:space="1" w:color="CCCCCC"/>
        </w:pBdr>
        <w:spacing w:before="80" w:after="80"/>
      </w:pPr>
    </w:p>
    <w:p>
      <w:pPr>
        <w:pStyle w:val="Heading3"/>
        <w:keepNext/>
      </w:pPr>
      <w:r>
        <w:rPr>
          <w:rFonts w:ascii="Calibri" w:hAnsi="Calibri"/>
          <w:b w:val="0"/>
          <w:sz w:val="26"/>
        </w:rPr>
        <w:t>EXTRACTION DOCUMENTATION</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The sections below are internal extraction records. They do not form part of the capability statement content and must be removed before any tender use.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Source Mapping Table</w:t>
      </w:r>
    </w:p>
    <w:p>
      <w:pPr>
        <w:pBdr>
          <w:bottom w:val="single" w:sz="4" w:space="1" w:color="CCCCCC"/>
        </w:pBdr>
        <w:spacing w:before="80" w:after="80"/>
      </w:pPr>
    </w:p>
    <w:p>
      <w:pPr>
        <w:pStyle w:val="Heading4"/>
        <w:keepNext/>
      </w:pPr>
      <w:r>
        <w:rPr>
          <w:rFonts w:ascii="Calibri" w:hAnsi="Calibri"/>
          <w:b w:val="0"/>
          <w:sz w:val="22"/>
        </w:rPr>
        <w:t>Assumptions Register</w:t>
      </w:r>
    </w:p>
    <w:p>
      <w:pPr>
        <w:pBdr>
          <w:bottom w:val="single" w:sz="4" w:space="1" w:color="CCCCCC"/>
        </w:pBdr>
        <w:spacing w:before="80" w:after="80"/>
      </w:pPr>
    </w:p>
    <w:p>
      <w:pPr>
        <w:pStyle w:val="Heading4"/>
        <w:keepNext/>
      </w:pPr>
      <w:r>
        <w:rPr>
          <w:rFonts w:ascii="Calibri" w:hAnsi="Calibri"/>
          <w:b w:val="0"/>
          <w:sz w:val="22"/>
        </w:rPr>
        <w:t>Factual Risk Assessment</w:t>
      </w:r>
    </w:p>
    <w:p>
      <w:pPr>
        <w:pBdr>
          <w:bottom w:val="single" w:sz="4" w:space="1" w:color="CCCCCC"/>
        </w:pBdr>
        <w:spacing w:before="80" w:after="80"/>
      </w:pPr>
    </w:p>
    <w:p>
      <w:pPr>
        <w:pStyle w:val="Heading4"/>
        <w:keepNext/>
      </w:pPr>
      <w:r>
        <w:rPr>
          <w:rFonts w:ascii="Calibri" w:hAnsi="Calibri"/>
          <w:b w:val="0"/>
          <w:sz w:val="22"/>
        </w:rPr>
        <w:t>Extraction Quality Assessment</w:t>
      </w:r>
    </w:p>
    <w:p>
      <w:pPr>
        <w:pBdr>
          <w:bottom w:val="single" w:sz="4" w:space="1" w:color="CCCCCC"/>
        </w:pBdr>
        <w:spacing w:before="80" w:after="80"/>
      </w:pPr>
    </w:p>
    <w:p>
      <w:pPr>
        <w:pStyle w:val="Heading4"/>
        <w:keepNext/>
      </w:pPr>
      <w:r>
        <w:rPr>
          <w:rFonts w:ascii="Calibri" w:hAnsi="Calibri"/>
          <w:b w:val="0"/>
          <w:sz w:val="22"/>
        </w:rPr>
        <w:t>Review Record: Review_Required</w:t>
      </w:r>
    </w:p>
    <w:p>
      <w:pPr>
        <w:pStyle w:val="Heading3"/>
        <w:keepNext/>
      </w:pPr>
      <w:r>
        <w:rPr>
          <w:rFonts w:ascii="Calibri" w:hAnsi="Calibri"/>
          <w:b w:val="0"/>
          <w:sz w:val="26"/>
        </w:rPr>
        <w:t>Oracle HCM Payroll Interface &amp; Integration</w:t>
      </w:r>
    </w:p>
    <w:p>
      <w:pPr>
        <w:pBdr>
          <w:bottom w:val="single" w:sz="4" w:space="1" w:color="CCCCCC"/>
        </w:pBdr>
        <w:spacing w:before="80" w:after="80"/>
      </w:pPr>
    </w:p>
    <w:p>
      <w:pPr>
        <w:pStyle w:val="Heading4"/>
        <w:keepNext/>
      </w:pPr>
      <w:r>
        <w:rPr>
          <w:rFonts w:ascii="Calibri" w:hAnsi="Calibri"/>
          <w:b w:val="0"/>
          <w:sz w:val="22"/>
        </w:rPr>
        <w:t>Section 1: Statement of Capability</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w:t>
            </w:r>
            <w:r>
              <w:rPr>
                <w:rFonts w:ascii="Calibri" w:hAnsi="Calibri"/>
                <w:b w:val="0"/>
                <w:sz w:val="20"/>
              </w:rPr>
              <w:t xml:space="preserve"> APPSolve implemented a bidirectional Oracle Fusion HCM to PaySpace payroll integration using Oracle Integration Cloud for Hollywood Bets. The integration is fully implemented, completed, and operating in production.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Product Architecture</w:t>
      </w:r>
    </w:p>
    <w:p>
      <w:pPr>
        <w:pStyle w:val="Heading5"/>
        <w:keepNext/>
      </w:pPr>
      <w:r>
        <w:rPr>
          <w:rFonts w:ascii="Calibri" w:hAnsi="Calibri"/>
          <w:b w:val="0"/>
          <w:sz w:val="22"/>
        </w:rPr>
        <w:t>2.1 The Oracle Fusion HCM Payroll Integration Architecture</w:t>
      </w:r>
    </w:p>
    <w:p>
      <w:pPr>
        <w:pStyle w:val="Heading5"/>
        <w:keepNext/>
      </w:pPr>
      <w:r>
        <w:rPr>
          <w:rFonts w:ascii="Calibri" w:hAnsi="Calibri"/>
          <w:b w:val="0"/>
          <w:sz w:val="22"/>
        </w:rPr>
        <w:t>2.2 Product Boundary Table</w:t>
      </w:r>
    </w:p>
    <w:p>
      <w:pPr>
        <w:pStyle w:val="Heading5"/>
        <w:keepNext/>
      </w:pPr>
      <w:r>
        <w:rPr>
          <w:rFonts w:ascii="Calibri" w:hAnsi="Calibri"/>
          <w:b w:val="0"/>
          <w:sz w:val="22"/>
        </w:rPr>
        <w:t>2.3 What APPSolve Delivers</w:t>
      </w:r>
    </w:p>
    <w:p>
      <w:pPr>
        <w:pBdr>
          <w:bottom w:val="single" w:sz="4" w:space="1" w:color="CCCCCC"/>
        </w:pBdr>
        <w:spacing w:before="80" w:after="80"/>
      </w:pPr>
    </w:p>
    <w:p>
      <w:pPr>
        <w:pStyle w:val="Heading4"/>
        <w:keepNext/>
      </w:pPr>
      <w:r>
        <w:rPr>
          <w:rFonts w:ascii="Calibri" w:hAnsi="Calibri"/>
          <w:b w:val="0"/>
          <w:sz w:val="22"/>
        </w:rPr>
        <w:t>Section 3: HCM-to-Payroll Integration (Outbound)</w:t>
      </w:r>
    </w:p>
    <w:p>
      <w:pPr>
        <w:pStyle w:val="Heading5"/>
        <w:keepNext/>
      </w:pPr>
      <w:r>
        <w:rPr>
          <w:rFonts w:ascii="Calibri" w:hAnsi="Calibri"/>
          <w:b w:val="0"/>
          <w:sz w:val="22"/>
        </w:rPr>
        <w:t>3.1 Overview</w:t>
      </w:r>
    </w:p>
    <w:p>
      <w:pPr>
        <w:pStyle w:val="Heading5"/>
        <w:keepNext/>
      </w:pPr>
      <w:r>
        <w:rPr>
          <w:rFonts w:ascii="Calibri" w:hAnsi="Calibri"/>
          <w:b w:val="0"/>
          <w:sz w:val="22"/>
        </w:rPr>
        <w:t>3.2 Data Elements — HCM to PaySpace</w:t>
      </w:r>
    </w:p>
    <w:p>
      <w:pPr>
        <w:pStyle w:val="Heading5"/>
        <w:keepNext/>
      </w:pPr>
      <w:r>
        <w:rPr>
          <w:rFonts w:ascii="Calibri" w:hAnsi="Calibri"/>
          <w:b w:val="0"/>
          <w:sz w:val="22"/>
        </w:rPr>
        <w:t>3.3 Change Detection and Delta Processing</w:t>
      </w:r>
    </w:p>
    <w:p>
      <w:pPr>
        <w:pBdr>
          <w:bottom w:val="single" w:sz="4" w:space="1" w:color="CCCCCC"/>
        </w:pBdr>
        <w:spacing w:before="80" w:after="80"/>
      </w:pPr>
    </w:p>
    <w:p>
      <w:pPr>
        <w:pStyle w:val="Heading4"/>
        <w:keepNext/>
      </w:pPr>
      <w:r>
        <w:rPr>
          <w:rFonts w:ascii="Calibri" w:hAnsi="Calibri"/>
          <w:b w:val="0"/>
          <w:sz w:val="22"/>
        </w:rPr>
        <w:t>Section 4: Payroll-to-HCM Integration (Inbound)</w:t>
      </w:r>
    </w:p>
    <w:p>
      <w:pPr>
        <w:pStyle w:val="Heading5"/>
        <w:keepNext/>
      </w:pPr>
      <w:r>
        <w:rPr>
          <w:rFonts w:ascii="Calibri" w:hAnsi="Calibri"/>
          <w:b w:val="0"/>
          <w:sz w:val="22"/>
        </w:rPr>
        <w:t>4.1 Overview</w:t>
      </w:r>
    </w:p>
    <w:p>
      <w:pPr>
        <w:pStyle w:val="Heading5"/>
        <w:keepNext/>
      </w:pPr>
      <w:r>
        <w:rPr>
          <w:rFonts w:ascii="Calibri" w:hAnsi="Calibri"/>
          <w:b w:val="0"/>
          <w:sz w:val="22"/>
        </w:rPr>
        <w:t>4.2 Data Elements — PaySpace to HCM</w:t>
      </w:r>
    </w:p>
    <w:p>
      <w:pPr>
        <w:pStyle w:val="Heading5"/>
        <w:keepNext/>
      </w:pPr>
      <w:r>
        <w:rPr>
          <w:rFonts w:ascii="Calibri" w:hAnsi="Calibri"/>
          <w:b w:val="0"/>
          <w:sz w:val="22"/>
        </w:rPr>
        <w:t>4.3 Inbound Processing in OIC</w:t>
      </w:r>
    </w:p>
    <w:p>
      <w:pPr>
        <w:pBdr>
          <w:bottom w:val="single" w:sz="4" w:space="1" w:color="CCCCCC"/>
        </w:pBdr>
        <w:spacing w:before="80" w:after="80"/>
      </w:pPr>
    </w:p>
    <w:p>
      <w:pPr>
        <w:pStyle w:val="Heading4"/>
        <w:keepNext/>
      </w:pPr>
      <w:r>
        <w:rPr>
          <w:rFonts w:ascii="Calibri" w:hAnsi="Calibri"/>
          <w:b w:val="0"/>
          <w:sz w:val="22"/>
        </w:rPr>
        <w:t>Section 5: OIC Integration Architecture</w:t>
      </w:r>
    </w:p>
    <w:p>
      <w:pPr>
        <w:pStyle w:val="Heading5"/>
        <w:keepNext/>
      </w:pPr>
      <w:r>
        <w:rPr>
          <w:rFonts w:ascii="Calibri" w:hAnsi="Calibri"/>
          <w:b w:val="0"/>
          <w:sz w:val="22"/>
        </w:rPr>
        <w:t>5.1 Oracle Integration Cloud as the Standard Integration Layer</w:t>
      </w:r>
    </w:p>
    <w:p>
      <w:pPr>
        <w:pStyle w:val="Heading5"/>
        <w:keepNext/>
      </w:pPr>
      <w:r>
        <w:rPr>
          <w:rFonts w:ascii="Calibri" w:hAnsi="Calibri"/>
          <w:b w:val="0"/>
          <w:sz w:val="22"/>
        </w:rPr>
        <w:t>5.2 OIC Integration Patterns</w:t>
      </w:r>
    </w:p>
    <w:p>
      <w:pPr>
        <w:pStyle w:val="Heading5"/>
        <w:keepNext/>
      </w:pPr>
      <w:r>
        <w:rPr>
          <w:rFonts w:ascii="Calibri" w:hAnsi="Calibri"/>
          <w:b w:val="0"/>
          <w:sz w:val="22"/>
        </w:rPr>
        <w:t>5.3 OIC Interface Design Principles</w:t>
      </w:r>
    </w:p>
    <w:p>
      <w:pPr>
        <w:pStyle w:val="Heading5"/>
        <w:keepNext/>
      </w:pPr>
      <w:r>
        <w:rPr>
          <w:rFonts w:ascii="Calibri" w:hAnsi="Calibri"/>
          <w:b w:val="0"/>
          <w:sz w:val="22"/>
        </w:rPr>
        <w:t>5.4 OIC Security Model</w:t>
      </w:r>
    </w:p>
    <w:p>
      <w:pPr>
        <w:pStyle w:val="Heading5"/>
        <w:keepNext/>
      </w:pPr>
      <w:r>
        <w:rPr>
          <w:rFonts w:ascii="Calibri" w:hAnsi="Calibri"/>
          <w:b w:val="0"/>
          <w:sz w:val="22"/>
        </w:rPr>
        <w:t>5.5 OIC Scheduling Model</w:t>
      </w:r>
    </w:p>
    <w:p>
      <w:pPr>
        <w:pBdr>
          <w:bottom w:val="single" w:sz="4" w:space="1" w:color="CCCCCC"/>
        </w:pBdr>
        <w:spacing w:before="80" w:after="80"/>
      </w:pPr>
    </w:p>
    <w:p>
      <w:pPr>
        <w:pStyle w:val="Heading4"/>
        <w:keepNext/>
      </w:pPr>
      <w:r>
        <w:rPr>
          <w:rFonts w:ascii="Calibri" w:hAnsi="Calibri"/>
          <w:b w:val="0"/>
          <w:sz w:val="22"/>
        </w:rPr>
        <w:t>Section 6: Integration Delivery Approach</w:t>
      </w:r>
    </w:p>
    <w:p>
      <w:pPr>
        <w:pStyle w:val="Heading5"/>
        <w:keepNext/>
      </w:pPr>
      <w:r>
        <w:rPr>
          <w:rFonts w:ascii="Calibri" w:hAnsi="Calibri"/>
          <w:b w:val="0"/>
          <w:sz w:val="22"/>
        </w:rPr>
        <w:t>6.1 Pay Journey Discovery</w:t>
      </w:r>
    </w:p>
    <w:p>
      <w:pPr>
        <w:pStyle w:val="Heading5"/>
        <w:keepNext/>
      </w:pPr>
      <w:r>
        <w:rPr>
          <w:rFonts w:ascii="Calibri" w:hAnsi="Calibri"/>
          <w:b w:val="0"/>
          <w:sz w:val="22"/>
        </w:rPr>
        <w:t>6.2 Build and Configuration</w:t>
      </w:r>
    </w:p>
    <w:p>
      <w:pPr>
        <w:pStyle w:val="Heading5"/>
        <w:keepNext/>
      </w:pPr>
      <w:r>
        <w:rPr>
          <w:rFonts w:ascii="Calibri" w:hAnsi="Calibri"/>
          <w:b w:val="0"/>
          <w:sz w:val="22"/>
        </w:rPr>
        <w:t>6.3 Validation and Parallel Testing</w:t>
      </w:r>
    </w:p>
    <w:p>
      <w:pPr>
        <w:pStyle w:val="Heading5"/>
        <w:keepNext/>
      </w:pPr>
      <w:r>
        <w:rPr>
          <w:rFonts w:ascii="Calibri" w:hAnsi="Calibri"/>
          <w:b w:val="0"/>
          <w:sz w:val="22"/>
        </w:rPr>
        <w:t>6.4 Production Build and Go-Live</w:t>
      </w:r>
    </w:p>
    <w:p>
      <w:pPr>
        <w:pBdr>
          <w:bottom w:val="single" w:sz="4" w:space="1" w:color="CCCCCC"/>
        </w:pBdr>
        <w:spacing w:before="80" w:after="80"/>
      </w:pPr>
    </w:p>
    <w:p>
      <w:pPr>
        <w:pStyle w:val="Heading4"/>
        <w:keepNext/>
      </w:pPr>
      <w:r>
        <w:rPr>
          <w:rFonts w:ascii="Calibri" w:hAnsi="Calibri"/>
          <w:b w:val="0"/>
          <w:sz w:val="22"/>
        </w:rPr>
        <w:t>Section 7: Payroll Data Governance</w:t>
      </w:r>
    </w:p>
    <w:p>
      <w:pPr>
        <w:pStyle w:val="Heading5"/>
        <w:keepNext/>
      </w:pPr>
      <w:r>
        <w:rPr>
          <w:rFonts w:ascii="Calibri" w:hAnsi="Calibri"/>
          <w:b w:val="0"/>
          <w:sz w:val="22"/>
        </w:rPr>
        <w:t>7.1 Data Ownership Model</w:t>
      </w:r>
    </w:p>
    <w:p>
      <w:pPr>
        <w:pStyle w:val="Heading5"/>
        <w:keepNext/>
      </w:pPr>
      <w:r>
        <w:rPr>
          <w:rFonts w:ascii="Calibri" w:hAnsi="Calibri"/>
          <w:b w:val="0"/>
          <w:sz w:val="22"/>
        </w:rPr>
        <w:t>7.2 Reconciliation Controls</w:t>
      </w:r>
    </w:p>
    <w:p>
      <w:pPr>
        <w:pStyle w:val="Heading5"/>
        <w:keepNext/>
      </w:pPr>
      <w:r>
        <w:rPr>
          <w:rFonts w:ascii="Calibri" w:hAnsi="Calibri"/>
          <w:b w:val="0"/>
          <w:sz w:val="22"/>
        </w:rPr>
        <w:t>7.3 POPIA Compliance in Payroll Integration</w:t>
      </w:r>
    </w:p>
    <w:p>
      <w:pPr>
        <w:pBdr>
          <w:bottom w:val="single" w:sz="4" w:space="1" w:color="CCCCCC"/>
        </w:pBdr>
        <w:spacing w:before="80" w:after="80"/>
      </w:pPr>
    </w:p>
    <w:p>
      <w:pPr>
        <w:pStyle w:val="Heading4"/>
        <w:keepNext/>
      </w:pPr>
      <w:r>
        <w:rPr>
          <w:rFonts w:ascii="Calibri" w:hAnsi="Calibri"/>
          <w:b w:val="0"/>
          <w:sz w:val="22"/>
        </w:rPr>
        <w:t>Section 8: Payroll Run Validation and Parallel Testing</w:t>
      </w:r>
    </w:p>
    <w:p>
      <w:pPr>
        <w:pStyle w:val="Heading5"/>
        <w:keepNext/>
      </w:pPr>
      <w:r>
        <w:rPr>
          <w:rFonts w:ascii="Calibri" w:hAnsi="Calibri"/>
          <w:b w:val="0"/>
          <w:sz w:val="22"/>
        </w:rPr>
        <w:t>8.1 Validation Philosophy</w:t>
      </w:r>
    </w:p>
    <w:p>
      <w:pPr>
        <w:pStyle w:val="Heading5"/>
        <w:keepNext/>
      </w:pPr>
      <w:r>
        <w:rPr>
          <w:rFonts w:ascii="Calibri" w:hAnsi="Calibri"/>
          <w:b w:val="0"/>
          <w:sz w:val="22"/>
        </w:rPr>
        <w:t>8.2 Validation Run Design</w:t>
      </w:r>
    </w:p>
    <w:p>
      <w:pPr>
        <w:pStyle w:val="Heading5"/>
        <w:keepNext/>
      </w:pPr>
      <w:r>
        <w:rPr>
          <w:rFonts w:ascii="Calibri" w:hAnsi="Calibri"/>
          <w:b w:val="0"/>
          <w:sz w:val="22"/>
        </w:rPr>
        <w:t>8.3 Parallel Payroll Runs</w:t>
      </w:r>
    </w:p>
    <w:p>
      <w:pPr>
        <w:pStyle w:val="Heading5"/>
        <w:keepNext/>
      </w:pPr>
      <w:r>
        <w:rPr>
          <w:rFonts w:ascii="Calibri" w:hAnsi="Calibri"/>
          <w:b w:val="0"/>
          <w:sz w:val="22"/>
        </w:rPr>
        <w:t>8.4 Go/No-Go Gate</w:t>
      </w:r>
    </w:p>
    <w:p>
      <w:pPr>
        <w:pBdr>
          <w:bottom w:val="single" w:sz="4" w:space="1" w:color="CCCCCC"/>
        </w:pBdr>
        <w:spacing w:before="80" w:after="80"/>
      </w:pPr>
    </w:p>
    <w:p>
      <w:pPr>
        <w:pStyle w:val="Heading4"/>
        <w:keepNext/>
      </w:pPr>
      <w:r>
        <w:rPr>
          <w:rFonts w:ascii="Calibri" w:hAnsi="Calibri"/>
          <w:b w:val="0"/>
          <w:sz w:val="22"/>
        </w:rPr>
        <w:t>Section 9: Payroll Integration Monitoring</w:t>
      </w:r>
    </w:p>
    <w:p>
      <w:pPr>
        <w:pStyle w:val="Heading5"/>
        <w:keepNext/>
      </w:pPr>
      <w:r>
        <w:rPr>
          <w:rFonts w:ascii="Calibri" w:hAnsi="Calibri"/>
          <w:b w:val="0"/>
          <w:sz w:val="22"/>
        </w:rPr>
        <w:t>9.1 OIC Monitoring Framework</w:t>
      </w:r>
    </w:p>
    <w:p>
      <w:pPr>
        <w:pStyle w:val="Heading5"/>
        <w:keepNext/>
      </w:pPr>
      <w:r>
        <w:rPr>
          <w:rFonts w:ascii="Calibri" w:hAnsi="Calibri"/>
          <w:b w:val="0"/>
          <w:sz w:val="22"/>
        </w:rPr>
        <w:t>9.2 Exception Management Workflow</w:t>
      </w:r>
    </w:p>
    <w:p>
      <w:pPr>
        <w:pStyle w:val="Heading5"/>
        <w:keepNext/>
      </w:pPr>
      <w:r>
        <w:rPr>
          <w:rFonts w:ascii="Calibri" w:hAnsi="Calibri"/>
          <w:b w:val="0"/>
          <w:sz w:val="22"/>
        </w:rPr>
        <w:t>9.3 Operational Support Model</w:t>
      </w:r>
    </w:p>
    <w:p>
      <w:pPr>
        <w:pBdr>
          <w:bottom w:val="single" w:sz="4" w:space="1" w:color="CCCCCC"/>
        </w:pBdr>
        <w:spacing w:before="80" w:after="80"/>
      </w:pPr>
    </w:p>
    <w:p>
      <w:pPr>
        <w:pStyle w:val="Heading4"/>
        <w:keepNext/>
      </w:pPr>
      <w:r>
        <w:rPr>
          <w:rFonts w:ascii="Calibri" w:hAnsi="Calibri"/>
          <w:b w:val="0"/>
          <w:sz w:val="22"/>
        </w:rPr>
        <w:t>Section 10: Integration Security and Compliance</w:t>
      </w:r>
    </w:p>
    <w:p>
      <w:pPr>
        <w:pStyle w:val="Heading5"/>
        <w:keepNext/>
      </w:pPr>
      <w:r>
        <w:rPr>
          <w:rFonts w:ascii="Calibri" w:hAnsi="Calibri"/>
          <w:b w:val="0"/>
          <w:sz w:val="22"/>
        </w:rPr>
        <w:t>10.1 Security Architecture</w:t>
      </w:r>
    </w:p>
    <w:p>
      <w:pPr>
        <w:pStyle w:val="Heading5"/>
        <w:keepNext/>
      </w:pPr>
      <w:r>
        <w:rPr>
          <w:rFonts w:ascii="Calibri" w:hAnsi="Calibri"/>
          <w:b w:val="0"/>
          <w:sz w:val="22"/>
        </w:rPr>
        <w:t>10.2 Access Controls</w:t>
      </w:r>
    </w:p>
    <w:p>
      <w:pPr>
        <w:pBdr>
          <w:bottom w:val="single" w:sz="4" w:space="1" w:color="CCCCCC"/>
        </w:pBdr>
        <w:spacing w:before="80" w:after="80"/>
      </w:pPr>
    </w:p>
    <w:p>
      <w:pPr>
        <w:pStyle w:val="Heading4"/>
        <w:keepNext/>
      </w:pPr>
      <w:r>
        <w:rPr>
          <w:rFonts w:ascii="Calibri" w:hAnsi="Calibri"/>
          <w:b w:val="0"/>
          <w:sz w:val="22"/>
        </w:rPr>
        <w:t>Section 11: Legislative Compliance Support</w:t>
      </w:r>
    </w:p>
    <w:p>
      <w:pPr>
        <w:pStyle w:val="Heading5"/>
        <w:keepNext/>
      </w:pPr>
      <w:r>
        <w:rPr>
          <w:rFonts w:ascii="Calibri" w:hAnsi="Calibri"/>
          <w:b w:val="0"/>
          <w:sz w:val="22"/>
        </w:rPr>
        <w:t>11.1 SA Payroll Legislative Environment</w:t>
      </w:r>
    </w:p>
    <w:p>
      <w:pPr>
        <w:pBdr>
          <w:bottom w:val="single" w:sz="4" w:space="1" w:color="CCCCCC"/>
        </w:pBdr>
        <w:spacing w:before="80" w:after="80"/>
      </w:pPr>
    </w:p>
    <w:p>
      <w:pPr>
        <w:pStyle w:val="Heading4"/>
        <w:keepNext/>
      </w:pPr>
      <w:r>
        <w:rPr>
          <w:rFonts w:ascii="Calibri" w:hAnsi="Calibri"/>
          <w:b w:val="0"/>
          <w:sz w:val="22"/>
        </w:rPr>
        <w:t>Section 12: APPSolve Delivery Capability</w:t>
      </w:r>
    </w:p>
    <w:p>
      <w:pPr>
        <w:pStyle w:val="Heading5"/>
        <w:keepNext/>
      </w:pPr>
      <w:r>
        <w:rPr>
          <w:rFonts w:ascii="Calibri" w:hAnsi="Calibri"/>
          <w:b w:val="0"/>
          <w:sz w:val="22"/>
        </w:rPr>
        <w:t>12.1 Oracle HCM Payroll Integration Practice</w:t>
      </w:r>
    </w:p>
    <w:p>
      <w:pPr>
        <w:pStyle w:val="Heading5"/>
        <w:keepNext/>
      </w:pPr>
      <w:r>
        <w:rPr>
          <w:rFonts w:ascii="Calibri" w:hAnsi="Calibri"/>
          <w:b w:val="0"/>
          <w:sz w:val="22"/>
        </w:rPr>
        <w:t>12.2 Integration Team Structure</w:t>
      </w:r>
    </w:p>
    <w:p>
      <w:pPr>
        <w:pStyle w:val="Heading5"/>
        <w:keepNext/>
      </w:pPr>
      <w:r>
        <w:rPr>
          <w:rFonts w:ascii="Calibri" w:hAnsi="Calibri"/>
          <w:b w:val="0"/>
          <w:sz w:val="22"/>
        </w:rPr>
        <w:t>12.3 Delivery Principles</w:t>
      </w:r>
    </w:p>
    <w:p>
      <w:pPr>
        <w:pBdr>
          <w:bottom w:val="single" w:sz="4" w:space="1" w:color="CCCCCC"/>
        </w:pBdr>
        <w:spacing w:before="80" w:after="80"/>
      </w:pPr>
    </w:p>
    <w:p>
      <w:pPr>
        <w:pStyle w:val="Heading4"/>
        <w:keepNext/>
      </w:pPr>
      <w:r>
        <w:rPr>
          <w:rFonts w:ascii="Calibri" w:hAnsi="Calibri"/>
          <w:b w:val="0"/>
          <w:sz w:val="22"/>
        </w:rPr>
        <w:t>Section 13: Implementation References</w:t>
      </w:r>
    </w:p>
    <w:p>
      <w:pPr>
        <w:pStyle w:val="Heading5"/>
        <w:keepNext/>
      </w:pPr>
      <w:r>
        <w:rPr>
          <w:rFonts w:ascii="Calibri" w:hAnsi="Calibri"/>
          <w:b w:val="0"/>
          <w:sz w:val="22"/>
        </w:rPr>
        <w:t>13.1 Hollywood Bets — Oracle Fusion HCM to PaySpace Integration (Confirmed Production)</w:t>
      </w:r>
    </w:p>
    <w:tbl>
      <w:tblPr>
        <w:tblStyle w:val="TableGrid"/>
        <w:tblW w:type="auto" w:w="0"/>
        <w:tblLook w:firstColumn="1" w:firstRow="1" w:lastColumn="0" w:lastRow="0" w:noHBand="0" w:noVBand="1" w:val="04A0"/>
      </w:tblPr>
      <w:tblGrid>
        <w:gridCol w:w="9026"/>
      </w:tblGrid>
      <w:tr>
        <w:tc>
          <w:tcPr>
            <w:tcW w:type="dxa" w:w="9026"/>
            <w:shd w:val="clear" w:color="auto" w:fill="EAF4E6"/>
            <w:tcBorders>
              <w:top w:val="single" w:sz="16" w:space="0" w:color="548235"/>
              <w:left w:val="single" w:sz="16" w:space="0" w:color="548235"/>
              <w:bottom w:val="single" w:sz="16" w:space="0" w:color="548235"/>
              <w:right w:val="single" w:sz="16" w:space="0" w:color="548235"/>
            </w:tcBorders>
          </w:tcPr>
          <w:p>
            <w:pPr>
              <w:spacing w:before="80" w:after="40"/>
            </w:pPr>
            <w:r>
              <w:rPr>
                <w:rFonts w:ascii="Calibri" w:hAnsi="Calibri"/>
                <w:b/>
                <w:color w:val="404040"/>
                <w:sz w:val="18"/>
              </w:rPr>
              <w:t>⚙  GOVERNANCE</w:t>
            </w:r>
          </w:p>
          <w:p>
            <w:pPr>
              <w:spacing w:before="20" w:after="40"/>
            </w:pPr>
            <w:r>
              <w:rPr>
                <w:rFonts w:ascii="Calibri" w:hAnsi="Calibri"/>
                <w:sz w:val="20"/>
              </w:rPr>
              <w:t>**INTERNAL GOVERNANCE TABLE — for KB reference use only. Section 13.2 must NOT be included in external tender submissions.**</w:t>
            </w:r>
          </w:p>
        </w:tc>
      </w:tr>
    </w:tbl>
    <w:p>
      <w:pPr>
        <w:spacing w:before="0" w:after="120"/>
      </w:pPr>
    </w:p>
    <w:p>
      <w:pPr>
        <w:pStyle w:val="Heading5"/>
        <w:keepNext/>
      </w:pPr>
      <w:r>
        <w:rPr>
          <w:rFonts w:ascii="Calibri" w:hAnsi="Calibri"/>
          <w:b w:val="0"/>
          <w:sz w:val="22"/>
        </w:rPr>
        <w:t>13.2 Reference Position for Other Clients</w:t>
      </w:r>
    </w:p>
    <w:p>
      <w:pPr>
        <w:pBdr>
          <w:bottom w:val="single" w:sz="4" w:space="1" w:color="CCCCCC"/>
        </w:pBdr>
        <w:spacing w:before="80" w:after="80"/>
      </w:pPr>
    </w:p>
    <w:p>
      <w:pPr>
        <w:pStyle w:val="Heading4"/>
        <w:keepNext/>
      </w:pPr>
      <w:r>
        <w:rPr>
          <w:rFonts w:ascii="Calibri" w:hAnsi="Calibri"/>
          <w:b w:val="0"/>
          <w:sz w:val="22"/>
        </w:rPr>
        <w:t>Section 14: Risk and Assumptions Register</w:t>
      </w:r>
    </w:p>
    <w:p>
      <w:pPr>
        <w:pStyle w:val="Heading5"/>
        <w:keepNext/>
      </w:pPr>
      <w:r>
        <w:rPr>
          <w:rFonts w:ascii="Calibri" w:hAnsi="Calibri"/>
          <w:b w:val="0"/>
          <w:sz w:val="22"/>
        </w:rPr>
        <w:t>14.1 Risk Register</w:t>
      </w:r>
    </w:p>
    <w:p>
      <w:pPr>
        <w:pStyle w:val="Heading5"/>
        <w:keepNext/>
      </w:pPr>
      <w:r>
        <w:rPr>
          <w:rFonts w:ascii="Calibri" w:hAnsi="Calibri"/>
          <w:b w:val="0"/>
          <w:sz w:val="22"/>
        </w:rPr>
        <w:t>14.2 Assumptions Register</w:t>
      </w:r>
    </w:p>
    <w:p>
      <w:pPr>
        <w:pBdr>
          <w:bottom w:val="single" w:sz="4" w:space="1" w:color="CCCCCC"/>
        </w:pBdr>
        <w:spacing w:before="80" w:after="80"/>
      </w:pPr>
    </w:p>
    <w:p>
      <w:pPr>
        <w:pStyle w:val="Heading4"/>
        <w:keepNext/>
      </w:pPr>
      <w:r>
        <w:rPr>
          <w:rFonts w:ascii="Calibri" w:hAnsi="Calibri"/>
          <w:b w:val="0"/>
          <w:sz w:val="22"/>
        </w:rPr>
        <w:t>Section 17: Approval Record</w:t>
      </w:r>
    </w:p>
    <w:p>
      <w:pPr>
        <w:pBdr>
          <w:bottom w:val="single" w:sz="4" w:space="1" w:color="CCCCCC"/>
        </w:pBdr>
        <w:spacing w:before="80" w:after="80"/>
      </w:pPr>
    </w:p>
    <w:p>
      <w:pPr>
        <w:pStyle w:val="Heading4"/>
        <w:keepNext/>
      </w:pPr>
      <w:r>
        <w:rPr>
          <w:rFonts w:ascii="Calibri" w:hAnsi="Calibri"/>
          <w:b w:val="0"/>
          <w:sz w:val="22"/>
        </w:rPr>
        <w:t>Appendix A: Source Mapping Table</w:t>
      </w:r>
    </w:p>
    <w:p>
      <w:pPr>
        <w:pBdr>
          <w:bottom w:val="single" w:sz="4" w:space="1" w:color="CCCCCC"/>
        </w:pBdr>
        <w:spacing w:before="80" w:after="80"/>
      </w:pPr>
    </w:p>
    <w:p>
      <w:pPr>
        <w:pStyle w:val="Heading4"/>
        <w:keepNext/>
      </w:pPr>
      <w:r>
        <w:rPr>
          <w:rFonts w:ascii="Calibri" w:hAnsi="Calibri"/>
          <w:b w:val="0"/>
          <w:sz w:val="22"/>
        </w:rPr>
        <w:t>Appendix B: Governance Self-Review</w:t>
      </w:r>
    </w:p>
    <w:p>
      <w:pPr>
        <w:pBdr>
          <w:bottom w:val="single" w:sz="4" w:space="1" w:color="CCCCCC"/>
        </w:pBdr>
        <w:spacing w:before="80" w:after="80"/>
      </w:pPr>
    </w:p>
    <w:p>
      <w:pPr>
        <w:pStyle w:val="Heading4"/>
        <w:keepNext/>
      </w:pPr>
      <w:r>
        <w:rPr>
          <w:rFonts w:ascii="Calibri" w:hAnsi="Calibri"/>
          <w:b w:val="0"/>
          <w:sz w:val="22"/>
        </w:rPr>
        <w:t>Appendix C: Extraction Return Report</w:t>
      </w:r>
    </w:p>
    <w:p>
      <w:pPr>
        <w:pBdr>
          <w:bottom w:val="single" w:sz="4" w:space="1" w:color="CCCCCC"/>
        </w:pBdr>
        <w:spacing w:before="80" w:after="80"/>
      </w:pPr>
    </w:p>
    <w:p>
      <w:pPr>
        <w:spacing w:before="0" w:after="0"/>
      </w:pPr>
      <w:r>
        <w:br w:type="page"/>
      </w:r>
    </w:p>
    <w:p>
      <w:pPr>
        <w:pStyle w:val="Heading2"/>
        <w:keepNext/>
      </w:pPr>
      <w:r>
        <w:t>Appendix C — Assumption Schedule</w:t>
      </w:r>
    </w:p>
    <w:p>
      <w:pPr>
        <w:pStyle w:val="Heading3"/>
        <w:keepNext/>
      </w:pPr>
      <w:r>
        <w:rPr>
          <w:rFonts w:ascii="Calibri" w:hAnsi="Calibri"/>
          <w:b w:val="0"/>
          <w:sz w:val="26"/>
        </w:rPr>
        <w:t>Oracle Fusion HCM — Base Assumptions V1.0</w:t>
      </w:r>
    </w:p>
    <w:p>
      <w:pPr>
        <w:pBdr>
          <w:bottom w:val="single" w:sz="4" w:space="1" w:color="CCCCCC"/>
        </w:pBdr>
        <w:spacing w:before="80" w:after="80"/>
      </w:pPr>
    </w:p>
    <w:p>
      <w:pPr>
        <w:pStyle w:val="Heading4"/>
        <w:keepNext/>
      </w:pPr>
      <w:r>
        <w:rPr>
          <w:rFonts w:ascii="Calibri" w:hAnsi="Calibri"/>
          <w:b w:val="0"/>
          <w:sz w:val="22"/>
        </w:rPr>
        <w:t>1. Environment Assumptions</w:t>
      </w:r>
    </w:p>
    <w:p>
      <w:pPr/>
      <w:r>
        <w:rPr>
          <w:rFonts w:ascii="Calibri" w:hAnsi="Calibri"/>
          <w:sz w:val="22"/>
        </w:rPr>
        <w:t>**HCM-ENV-001**</w:t>
      </w:r>
      <w:r>
        <w:rPr>
          <w:rFonts w:ascii="Calibri" w:hAnsi="Calibri"/>
          <w:b w:val="0"/>
          <w:sz w:val="22"/>
        </w:rPr>
        <w:t xml:space="preserve">   This engagement covers Oracle Fusion HCM Cloud (SaaS). No on-premises Oracle HCM software is deployed or licensed under this proposal. All environments are Oracle-managed cloud tenants.</w:t>
      </w:r>
    </w:p>
    <w:p>
      <w:pPr/>
      <w:r>
        <w:rPr>
          <w:rFonts w:ascii="Calibri" w:hAnsi="Calibri"/>
          <w:sz w:val="22"/>
        </w:rPr>
        <w:t>**HCM-ENV-002**</w:t>
      </w:r>
      <w:r>
        <w:rPr>
          <w:rFonts w:ascii="Calibri" w:hAnsi="Calibri"/>
          <w:b w:val="0"/>
          <w:sz w:val="22"/>
        </w:rPr>
        <w:t xml:space="preserve">   The Oracle Cloud production environment will be provisioned by Oracle Corporation upon commercial agreement. Environment provisioning is Oracle's responsibility; APPSolve's implementation timeline commences from the date production and non-production environments are accessible to the project team.</w:t>
      </w:r>
    </w:p>
    <w:p>
      <w:pPr/>
      <w:r>
        <w:rPr>
          <w:rFonts w:ascii="Calibri" w:hAnsi="Calibri"/>
          <w:sz w:val="22"/>
        </w:rPr>
        <w:t>**HCM-ENV-003**</w:t>
      </w:r>
      <w:r>
        <w:rPr>
          <w:rFonts w:ascii="Calibri" w:hAnsi="Calibri"/>
          <w:b w:val="0"/>
          <w:sz w:val="22"/>
        </w:rPr>
        <w:t xml:space="preserve"> </w:t>
      </w:r>
      <w:r>
        <w:rPr>
          <w:rFonts w:ascii="Calibri" w:hAnsi="Calibri"/>
          <w:sz w:val="22"/>
        </w:rPr>
        <w:t>*(Updated — BU-WP11-002)*</w:t>
      </w:r>
      <w:r>
        <w:rPr>
          <w:rFonts w:ascii="Calibri" w:hAnsi="Calibri"/>
          <w:b w:val="0"/>
          <w:sz w:val="22"/>
        </w:rPr>
        <w:t xml:space="preserve">   This proposal is scoped to one (1) Oracle Cloud production environment and one (1) standard Oracle non-production environment included in the client's SaaS subscription. No assumption is made about multiple non-production environments. If additional non-production environments are required (for example, dedicated UAT, training, or development tenants beyond the single standard tenant), these must be explicitly licensed by the client as part of the Oracle SaaS contract and are outside APPSolve's implementation scope.</w:t>
      </w:r>
    </w:p>
    <w:p>
      <w:pPr/>
      <w:r>
        <w:rPr>
          <w:rFonts w:ascii="Calibri" w:hAnsi="Calibri"/>
          <w:sz w:val="22"/>
        </w:rPr>
        <w:t>**HCM-ENV-004**</w:t>
      </w:r>
      <w:r>
        <w:rPr>
          <w:rFonts w:ascii="Calibri" w:hAnsi="Calibri"/>
          <w:b w:val="0"/>
          <w:sz w:val="22"/>
        </w:rPr>
        <w:t xml:space="preserve">   All Oracle Fusion HCM Cloud environments are subject to Oracle's standard quarterly update schedule. APPSolve will notify the client of upcoming updates and their potential impact during the implementation. The client acknowledges that Oracle quarterly updates may introduce changes to the user interface, delivered functionality, or configuration behaviour.</w:t>
      </w:r>
    </w:p>
    <w:p>
      <w:pPr/>
      <w:r>
        <w:rPr>
          <w:rFonts w:ascii="Calibri" w:hAnsi="Calibri"/>
          <w:sz w:val="22"/>
        </w:rPr>
        <w:t>**HCM-ENV-005**</w:t>
      </w:r>
      <w:r>
        <w:rPr>
          <w:rFonts w:ascii="Calibri" w:hAnsi="Calibri"/>
          <w:b w:val="0"/>
          <w:sz w:val="22"/>
        </w:rPr>
        <w:t xml:space="preserve">   Access to Oracle Cloud environments requires a supported, up-to-date web browser. APPSolve does not provide IT support for client-side browser configuration, VPN setup, or network proxy issues that prevent access to Oracle Cloud.</w:t>
      </w:r>
    </w:p>
    <w:p>
      <w:pPr/>
      <w:r>
        <w:rPr>
          <w:rFonts w:ascii="Calibri" w:hAnsi="Calibri"/>
          <w:sz w:val="22"/>
        </w:rPr>
        <w:t>**HCM-ENV-006**</w:t>
      </w:r>
      <w:r>
        <w:rPr>
          <w:rFonts w:ascii="Calibri" w:hAnsi="Calibri"/>
          <w:b w:val="0"/>
          <w:sz w:val="22"/>
        </w:rPr>
        <w:t xml:space="preserve">   The client is responsible for ensuring that all employees and project team members who require access to Oracle Cloud environments have the necessary internet connectivity. APPSolve is not responsible for performance degradation caused by the client's network infrastructure.</w:t>
      </w:r>
    </w:p>
    <w:p>
      <w:pPr/>
      <w:r>
        <w:rPr>
          <w:rFonts w:ascii="Calibri" w:hAnsi="Calibri"/>
          <w:sz w:val="22"/>
        </w:rPr>
        <w:t>**HCM-ENV-007**</w:t>
      </w:r>
      <w:r>
        <w:rPr>
          <w:rFonts w:ascii="Calibri" w:hAnsi="Calibri"/>
          <w:b w:val="0"/>
          <w:sz w:val="22"/>
        </w:rPr>
        <w:t xml:space="preserve">   Oracle's standard SaaS availability commitments (as defined in the Oracle SaaS Service Level Agreement) apply to all production environments. APPSolve is not responsible for Oracle platform downtime, maintenance windows, or service degradation.</w:t>
      </w:r>
    </w:p>
    <w:p>
      <w:pPr/>
      <w:r>
        <w:rPr>
          <w:rFonts w:ascii="Calibri" w:hAnsi="Calibri"/>
          <w:sz w:val="22"/>
        </w:rPr>
        <w:t>**HCM-ENV-008**</w:t>
      </w:r>
      <w:r>
        <w:rPr>
          <w:rFonts w:ascii="Calibri" w:hAnsi="Calibri"/>
          <w:b w:val="0"/>
          <w:sz w:val="22"/>
        </w:rPr>
        <w:t xml:space="preserve">   Any Oracle patch bundles, critical patch updates (CPUs), or mandatory platform changes applied by Oracle to the client's tenancy during the implementation are outside APPSolve's scope. APPSolve will assess the impact of such changes as part of the standard quarterly release management process; remediation effort is a change request.</w:t>
      </w:r>
    </w:p>
    <w:p>
      <w:pPr>
        <w:pBdr>
          <w:bottom w:val="single" w:sz="4" w:space="1" w:color="CCCCCC"/>
        </w:pBdr>
        <w:spacing w:before="80" w:after="80"/>
      </w:pPr>
    </w:p>
    <w:p>
      <w:pPr>
        <w:pStyle w:val="Heading4"/>
        <w:keepNext/>
      </w:pPr>
      <w:r>
        <w:rPr>
          <w:rFonts w:ascii="Calibri" w:hAnsi="Calibri"/>
          <w:b w:val="0"/>
          <w:sz w:val="22"/>
        </w:rPr>
        <w:t>2. Organisation Structure Assumptions</w:t>
      </w:r>
    </w:p>
    <w:p>
      <w:pPr/>
      <w:r>
        <w:rPr>
          <w:rFonts w:ascii="Calibri" w:hAnsi="Calibri"/>
          <w:sz w:val="22"/>
        </w:rPr>
        <w:t>**HCM-ORG-001**</w:t>
      </w:r>
      <w:r>
        <w:rPr>
          <w:rFonts w:ascii="Calibri" w:hAnsi="Calibri"/>
          <w:b w:val="0"/>
          <w:sz w:val="22"/>
        </w:rPr>
        <w:t xml:space="preserve">   The scope of Oracle HCM configuration is based on the number of legal entities, business units, locations, and legislative data groups confirmed during the Mobilize phase. Configuration effort estimates provided in this proposal are based on the entity and legislative scope documented at the time of submission. Scope changes require a formal Change Request.</w:t>
      </w:r>
    </w:p>
    <w:p>
      <w:pPr/>
      <w:r>
        <w:rPr>
          <w:rFonts w:ascii="Calibri" w:hAnsi="Calibri"/>
          <w:sz w:val="22"/>
        </w:rPr>
        <w:t>**HCM-ORG-002**</w:t>
      </w:r>
      <w:r>
        <w:rPr>
          <w:rFonts w:ascii="Calibri" w:hAnsi="Calibri"/>
          <w:b w:val="0"/>
          <w:sz w:val="22"/>
        </w:rPr>
        <w:t xml:space="preserve">   The client is responsible for confirming the final list of legal entities, business units, departments, locations, and job structures to be configured in Oracle HCM before the Scope and Design phase commences. Design decisions made on the basis of unconfirmed or subsequently revised organisational data may require re-work, which will be assessed as a Change Request.</w:t>
      </w:r>
    </w:p>
    <w:p>
      <w:pPr/>
      <w:r>
        <w:rPr>
          <w:rFonts w:ascii="Calibri" w:hAnsi="Calibri"/>
          <w:sz w:val="22"/>
        </w:rPr>
        <w:t>**HCM-ORG-003**</w:t>
      </w:r>
      <w:r>
        <w:rPr>
          <w:rFonts w:ascii="Calibri" w:hAnsi="Calibri"/>
          <w:b w:val="0"/>
          <w:sz w:val="22"/>
        </w:rPr>
        <w:t xml:space="preserve">   APPSolve will configure one Legislative Data Group (LDG) per country jurisdiction included in the agreed scope. Each additional LDG not identified in the scoping phase constitutes a scope change.</w:t>
      </w:r>
    </w:p>
    <w:p>
      <w:pPr/>
      <w:r>
        <w:rPr>
          <w:rFonts w:ascii="Calibri" w:hAnsi="Calibri"/>
          <w:sz w:val="22"/>
        </w:rPr>
        <w:t>**HCM-ORG-004**</w:t>
      </w:r>
      <w:r>
        <w:rPr>
          <w:rFonts w:ascii="Calibri" w:hAnsi="Calibri"/>
          <w:b w:val="0"/>
          <w:sz w:val="22"/>
        </w:rPr>
        <w:t xml:space="preserve">   APPSolve will apply Oracle's Modern Best Practice organisational design principles as the default configuration approach. Significant deviations from Oracle Modern Best Practice — including highly customised department hierarchies, non-standard grade structures, or atypical legal entity configurations — may require additional configuration effort and will be assessed as a Change Request.</w:t>
      </w:r>
    </w:p>
    <w:p>
      <w:pPr/>
      <w:r>
        <w:rPr>
          <w:rFonts w:ascii="Calibri" w:hAnsi="Calibri"/>
          <w:sz w:val="22"/>
        </w:rPr>
        <w:t>**HCM-ORG-005**</w:t>
      </w:r>
      <w:r>
        <w:rPr>
          <w:rFonts w:ascii="Calibri" w:hAnsi="Calibri"/>
          <w:b w:val="0"/>
          <w:sz w:val="22"/>
        </w:rPr>
        <w:t xml:space="preserve">   Organisational design decisions (including the structure of business units, department hierarchies, position vs job management approach, and grade ladder design) are the client's responsibility and must be finalised and signed off before configuration commences. APPSolve provides guidance and facilitation; final design authority rests with the client.</w:t>
      </w:r>
    </w:p>
    <w:p>
      <w:pPr/>
      <w:r>
        <w:rPr>
          <w:rFonts w:ascii="Calibri" w:hAnsi="Calibri"/>
          <w:sz w:val="22"/>
        </w:rPr>
        <w:t>**HCM-ORG-006**</w:t>
      </w:r>
      <w:r>
        <w:rPr>
          <w:rFonts w:ascii="Calibri" w:hAnsi="Calibri"/>
          <w:b w:val="0"/>
          <w:sz w:val="22"/>
        </w:rPr>
        <w:t xml:space="preserve"> </w:t>
      </w:r>
      <w:r>
        <w:rPr>
          <w:rFonts w:ascii="Calibri" w:hAnsi="Calibri"/>
          <w:sz w:val="22"/>
        </w:rPr>
        <w:t>*(Updated — BU-WP11-004)*</w:t>
      </w:r>
      <w:r>
        <w:rPr>
          <w:rFonts w:ascii="Calibri" w:hAnsi="Calibri"/>
          <w:b w:val="0"/>
          <w:sz w:val="22"/>
        </w:rPr>
        <w:t xml:space="preserve">   APPSolve configures Oracle Job Management (job-based worker assignments) as the default. Oracle Position Management (hard or soft position control) is not included in base scope and is not the APPSolve standard. Where the client's HR operating model requires Position Management — for example, for headcount control, vacancy management, or compliance with position-based authorities — this must be explicitly identified and agreed in the Scope and Design phase and is priced and scoped as an addition. Position Management imposes significant additional configuration, testing, and data migration complexity.</w:t>
      </w:r>
    </w:p>
    <w:p>
      <w:pPr/>
      <w:r>
        <w:rPr>
          <w:rFonts w:ascii="Calibri" w:hAnsi="Calibri"/>
          <w:sz w:val="22"/>
        </w:rPr>
        <w:t>**HCM-ORG-007**</w:t>
      </w:r>
      <w:r>
        <w:rPr>
          <w:rFonts w:ascii="Calibri" w:hAnsi="Calibri"/>
          <w:b w:val="0"/>
          <w:sz w:val="22"/>
        </w:rPr>
        <w:t xml:space="preserve">   The client's HR organisation model (centralised vs decentralised HR) will be reflected in Oracle HCM through the configuration of Business Units, HR Organisations, and Security Profiles. The client is responsible for confirming which HR tasks are centralised (managed by a shared HR function) and which are distributed (managed by subsidiary or departmental HR teams) before security design commences.</w:t>
      </w:r>
    </w:p>
    <w:p>
      <w:pPr/>
      <w:r>
        <w:rPr>
          <w:rFonts w:ascii="Calibri" w:hAnsi="Calibri"/>
          <w:sz w:val="22"/>
        </w:rPr>
        <w:t>**HCM-ORG-008**</w:t>
      </w:r>
      <w:r>
        <w:rPr>
          <w:rFonts w:ascii="Calibri" w:hAnsi="Calibri"/>
          <w:b w:val="0"/>
          <w:sz w:val="22"/>
        </w:rPr>
        <w:t xml:space="preserve">   APPSolve will configure a single Worker Number assignment sequence per implementation unless multiple sequences are specifically agreed in scope. Multiple worker number sequences (for example, separate series by legal entity or employment type) are a scope addition requiring a Change Request.</w:t>
      </w:r>
    </w:p>
    <w:p>
      <w:pPr>
        <w:pBdr>
          <w:bottom w:val="single" w:sz="4" w:space="1" w:color="CCCCCC"/>
        </w:pBdr>
        <w:spacing w:before="80" w:after="80"/>
      </w:pPr>
    </w:p>
    <w:p>
      <w:pPr>
        <w:pStyle w:val="Heading4"/>
        <w:keepNext/>
      </w:pPr>
      <w:r>
        <w:rPr>
          <w:rFonts w:ascii="Calibri" w:hAnsi="Calibri"/>
          <w:b w:val="0"/>
          <w:sz w:val="22"/>
        </w:rPr>
        <w:t>3. Security Assumptions</w:t>
      </w:r>
    </w:p>
    <w:p>
      <w:pPr/>
      <w:r>
        <w:rPr>
          <w:rFonts w:ascii="Calibri" w:hAnsi="Calibri"/>
          <w:sz w:val="22"/>
        </w:rPr>
        <w:t>**HCM-SEC-001**</w:t>
      </w:r>
      <w:r>
        <w:rPr>
          <w:rFonts w:ascii="Calibri" w:hAnsi="Calibri"/>
          <w:b w:val="0"/>
          <w:sz w:val="22"/>
        </w:rPr>
        <w:t xml:space="preserve">   APPSolve will implement Oracle Fusion HCM role-based access control (RBAC) using Oracle's seeded duty roles and abstract roles as the baseline. Customisation of Oracle seeded duty roles is not included in base scope. All role requirements must be documented by the client before security configuration commences.</w:t>
      </w:r>
    </w:p>
    <w:p>
      <w:pPr/>
      <w:r>
        <w:rPr>
          <w:rFonts w:ascii="Calibri" w:hAnsi="Calibri"/>
          <w:sz w:val="22"/>
        </w:rPr>
        <w:t>**HCM-SEC-002**</w:t>
      </w:r>
      <w:r>
        <w:rPr>
          <w:rFonts w:ascii="Calibri" w:hAnsi="Calibri"/>
          <w:b w:val="0"/>
          <w:sz w:val="22"/>
        </w:rPr>
        <w:t xml:space="preserve"> </w:t>
      </w:r>
      <w:r>
        <w:rPr>
          <w:rFonts w:ascii="Calibri" w:hAnsi="Calibri"/>
          <w:sz w:val="22"/>
        </w:rPr>
        <w:t>*(Updated — BU-WP11-005)*</w:t>
      </w:r>
      <w:r>
        <w:rPr>
          <w:rFonts w:ascii="Calibri" w:hAnsi="Calibri"/>
          <w:b w:val="0"/>
          <w:sz w:val="22"/>
        </w:rPr>
        <w:t xml:space="preserve">   APPSolve will configure a maximum of four (4) custom Oracle HCM job roles as part of base scope: (1) Employee self-service role, (2) Line Manager role, (3) HR Administrator role, and (4) one (1) additional custom role specific to the client's security requirements, as confirmed during the Scope and Design phase. Custom job roles beyond these four constitute a scope change requiring a Change Request and additional effort assessment.</w:t>
      </w:r>
    </w:p>
    <w:p>
      <w:pPr/>
      <w:r>
        <w:rPr>
          <w:rFonts w:ascii="Calibri" w:hAnsi="Calibri"/>
          <w:sz w:val="22"/>
        </w:rPr>
        <w:t>**HCM-SEC-003**</w:t>
      </w:r>
      <w:r>
        <w:rPr>
          <w:rFonts w:ascii="Calibri" w:hAnsi="Calibri"/>
          <w:b w:val="0"/>
          <w:sz w:val="22"/>
        </w:rPr>
        <w:t xml:space="preserve">   The client is responsible for defining and maintaining its user provisioning process (creation, modification, and deactivation of Oracle HCM user accounts). APPSolve configures the Oracle Identity Cloud Service (IDCS) / Oracle Cloud Infrastructure Identity and Access Management (OCI IAM) integration to the client's Identity Provider (IdP) if Single Sign-On (SSO) is in scope. SSO configuration is only included where explicitly stated in the SOW.</w:t>
      </w:r>
    </w:p>
    <w:p>
      <w:pPr/>
      <w:r>
        <w:rPr>
          <w:rFonts w:ascii="Calibri" w:hAnsi="Calibri"/>
          <w:sz w:val="22"/>
        </w:rPr>
        <w:t>**HCM-SEC-004**</w:t>
      </w:r>
      <w:r>
        <w:rPr>
          <w:rFonts w:ascii="Calibri" w:hAnsi="Calibri"/>
          <w:b w:val="0"/>
          <w:sz w:val="22"/>
        </w:rPr>
        <w:t xml:space="preserve">   Where Single Sign-On (SSO) is included in scope, the client is responsible for providing access to the Identity Provider (IdP) environment (Microsoft Azure AD, Okta, Active Directory Federation Services, or equivalent), the IdP technical contact, and all required integration metadata (SAML 2.0 metadata XML, entity IDs, callback URLs). APPSolve configures the Oracle-side of the SSO integration only.</w:t>
      </w:r>
    </w:p>
    <w:p>
      <w:pPr/>
      <w:r>
        <w:rPr>
          <w:rFonts w:ascii="Calibri" w:hAnsi="Calibri"/>
          <w:sz w:val="22"/>
        </w:rPr>
        <w:t>**HCM-SEC-005**</w:t>
      </w:r>
      <w:r>
        <w:rPr>
          <w:rFonts w:ascii="Calibri" w:hAnsi="Calibri"/>
          <w:b w:val="0"/>
          <w:sz w:val="22"/>
        </w:rPr>
        <w:t xml:space="preserve">   Data masking and data security in non-production environments is the client's responsibility. APPSolve recommends against loading production-grade personal data into non-production environments. The client is responsible for ensuring compliance with POPIA and applicable data protection legislation when populating test environments.</w:t>
      </w:r>
    </w:p>
    <w:p>
      <w:pPr/>
      <w:r>
        <w:rPr>
          <w:rFonts w:ascii="Calibri" w:hAnsi="Calibri"/>
          <w:sz w:val="22"/>
        </w:rPr>
        <w:t>**HCM-SEC-006**</w:t>
      </w:r>
      <w:r>
        <w:rPr>
          <w:rFonts w:ascii="Calibri" w:hAnsi="Calibri"/>
          <w:b w:val="0"/>
          <w:sz w:val="22"/>
        </w:rPr>
        <w:t xml:space="preserve">   Oracle Transparent Data Encryption (TDE) is included in the Oracle Fusion HCM Base Cloud Service licence and is enabled by default on Oracle-managed cloud environments. APPSolve does not configure TDE — it is an Oracle platform control. APPSolve will include reference to TDE in security documentation but is not responsible for its configuration or certification.</w:t>
      </w:r>
    </w:p>
    <w:p>
      <w:pPr/>
      <w:r>
        <w:rPr>
          <w:rFonts w:ascii="Calibri" w:hAnsi="Calibri"/>
          <w:sz w:val="22"/>
        </w:rPr>
        <w:t>**HCM-SEC-007**</w:t>
      </w:r>
      <w:r>
        <w:rPr>
          <w:rFonts w:ascii="Calibri" w:hAnsi="Calibri"/>
          <w:b w:val="0"/>
          <w:sz w:val="22"/>
        </w:rPr>
        <w:t xml:space="preserve">   The client is responsible for defining segregation of duties (SoD) requirements for Oracle HCM user roles. Where the client requires a formal SoD conflict matrix, this must be provided by the client or their internal audit function. APPSolve configures roles as directed but does not perform independent SoD audits.</w:t>
      </w:r>
    </w:p>
    <w:p>
      <w:pPr/>
      <w:r>
        <w:rPr>
          <w:rFonts w:ascii="Calibri" w:hAnsi="Calibri"/>
          <w:sz w:val="22"/>
        </w:rPr>
        <w:t>**HCM-SEC-008**</w:t>
      </w:r>
      <w:r>
        <w:rPr>
          <w:rFonts w:ascii="Calibri" w:hAnsi="Calibri"/>
          <w:b w:val="0"/>
          <w:sz w:val="22"/>
        </w:rPr>
        <w:t xml:space="preserve">   APPSolve configures Oracle HCM security for the agreed list of user populations (employees, managers, HR administrators, HR Business Partners, senior leadership, and system administrators) as confirmed in the Scope and Design phase. User populations not identified during design that require distinct security profiles constitute a scope change.</w:t>
      </w:r>
    </w:p>
    <w:p>
      <w:pPr>
        <w:pBdr>
          <w:bottom w:val="single" w:sz="4" w:space="1" w:color="CCCCCC"/>
        </w:pBdr>
        <w:spacing w:before="80" w:after="80"/>
      </w:pPr>
    </w:p>
    <w:p>
      <w:pPr>
        <w:pStyle w:val="Heading4"/>
        <w:keepNext/>
      </w:pPr>
      <w:r>
        <w:rPr>
          <w:rFonts w:ascii="Calibri" w:hAnsi="Calibri"/>
          <w:b w:val="0"/>
          <w:sz w:val="22"/>
        </w:rPr>
        <w:t>4. Workflow Assumptions</w:t>
      </w:r>
    </w:p>
    <w:p>
      <w:pPr/>
      <w:r>
        <w:rPr>
          <w:rFonts w:ascii="Calibri" w:hAnsi="Calibri"/>
          <w:sz w:val="22"/>
        </w:rPr>
        <w:t>**HCM-WFL-001**</w:t>
      </w:r>
      <w:r>
        <w:rPr>
          <w:rFonts w:ascii="Calibri" w:hAnsi="Calibri"/>
          <w:b w:val="0"/>
          <w:sz w:val="22"/>
        </w:rPr>
        <w:t xml:space="preserve">   APPSolve configures Oracle HCM approval workflows using Oracle's Business Process Management (BPM) framework. All workflow configurations in scope are based on Oracle's delivered approval patterns (management hierarchy, position hierarchy, or approval group) applied to the transactions agreed during the Scope and Design phase.</w:t>
      </w:r>
    </w:p>
    <w:p>
      <w:pPr/>
      <w:r>
        <w:rPr>
          <w:rFonts w:ascii="Calibri" w:hAnsi="Calibri"/>
          <w:sz w:val="22"/>
        </w:rPr>
        <w:t>**HCM-WFL-002**</w:t>
      </w:r>
      <w:r>
        <w:rPr>
          <w:rFonts w:ascii="Calibri" w:hAnsi="Calibri"/>
          <w:b w:val="0"/>
          <w:sz w:val="22"/>
        </w:rPr>
        <w:t xml:space="preserve">   The client is responsible for providing all approval hierarchies, approval rules, and notification requirements before workflow configuration commences. APPSolve will not design approval structures on behalf of the client. Approval structure changes after configuration has commenced are assessed as a Change Request.</w:t>
      </w:r>
    </w:p>
    <w:p>
      <w:pPr/>
      <w:r>
        <w:rPr>
          <w:rFonts w:ascii="Calibri" w:hAnsi="Calibri"/>
          <w:sz w:val="22"/>
        </w:rPr>
        <w:t>**HCM-WFL-003**</w:t>
      </w:r>
      <w:r>
        <w:rPr>
          <w:rFonts w:ascii="Calibri" w:hAnsi="Calibri"/>
          <w:b w:val="0"/>
          <w:sz w:val="22"/>
        </w:rPr>
        <w:t xml:space="preserve">   The number of distinct approval workflows included in base scope is limited to the transactions listed in the agreed Scope and Design documentation. Additional approval workflows not identified in scope constitute a Change Request.</w:t>
      </w:r>
    </w:p>
    <w:p>
      <w:pPr/>
      <w:r>
        <w:rPr>
          <w:rFonts w:ascii="Calibri" w:hAnsi="Calibri"/>
          <w:sz w:val="22"/>
        </w:rPr>
        <w:t>**HCM-WFL-004**</w:t>
      </w:r>
      <w:r>
        <w:rPr>
          <w:rFonts w:ascii="Calibri" w:hAnsi="Calibri"/>
          <w:b w:val="0"/>
          <w:sz w:val="22"/>
        </w:rPr>
        <w:t xml:space="preserve">   APPSolve configures email notifications using Oracle's standard notification framework. Custom-branded email templates (logo, HTML design, custom CSS) are not included in base scope. Standard Oracle email notification templates are the default delivery.</w:t>
      </w:r>
    </w:p>
    <w:p>
      <w:pPr/>
      <w:r>
        <w:rPr>
          <w:rFonts w:ascii="Calibri" w:hAnsi="Calibri"/>
          <w:sz w:val="22"/>
        </w:rPr>
        <w:t>**HCM-WFL-005**</w:t>
      </w:r>
      <w:r>
        <w:rPr>
          <w:rFonts w:ascii="Calibri" w:hAnsi="Calibri"/>
          <w:b w:val="0"/>
          <w:sz w:val="22"/>
        </w:rPr>
        <w:t xml:space="preserve">   Where Oracle Human Capital Management Cloud workflow routing depends on manager hierarchies, those hierarchies must exist and be accurate in Oracle HCM before workflow testing can be completed. The client is responsible for ensuring management structure data is loaded and validated before workflow UAT commences.</w:t>
      </w:r>
    </w:p>
    <w:p>
      <w:pPr/>
      <w:r>
        <w:rPr>
          <w:rFonts w:ascii="Calibri" w:hAnsi="Calibri"/>
          <w:sz w:val="22"/>
        </w:rPr>
        <w:t>**HCM-WFL-006**</w:t>
      </w:r>
      <w:r>
        <w:rPr>
          <w:rFonts w:ascii="Calibri" w:hAnsi="Calibri"/>
          <w:b w:val="0"/>
          <w:sz w:val="22"/>
        </w:rPr>
        <w:t xml:space="preserve">   Oracle HCM workflow delegation (out-of-office approval delegation) is a standard Oracle platform feature and is included in the delivered configuration. Configuration of permanent delegation hierarchies (where a specific role always delegates to another) requires a dedicated design decision from the client and may constitute a scope addition depending on complexity.</w:t>
      </w:r>
    </w:p>
    <w:p>
      <w:pPr>
        <w:pBdr>
          <w:bottom w:val="single" w:sz="4" w:space="1" w:color="CCCCCC"/>
        </w:pBdr>
        <w:spacing w:before="80" w:after="80"/>
      </w:pPr>
    </w:p>
    <w:p>
      <w:pPr>
        <w:pStyle w:val="Heading4"/>
        <w:keepNext/>
      </w:pPr>
      <w:r>
        <w:rPr>
          <w:rFonts w:ascii="Calibri" w:hAnsi="Calibri"/>
          <w:b w:val="0"/>
          <w:sz w:val="22"/>
        </w:rPr>
        <w:t>5. Data Migration Assumptions</w:t>
      </w:r>
    </w:p>
    <w:p>
      <w:pPr/>
      <w:r>
        <w:rPr>
          <w:rFonts w:ascii="Calibri" w:hAnsi="Calibri"/>
          <w:sz w:val="22"/>
        </w:rPr>
        <w:t>**HCM-DAT-001**</w:t>
      </w:r>
      <w:r>
        <w:rPr>
          <w:rFonts w:ascii="Calibri" w:hAnsi="Calibri"/>
          <w:b w:val="0"/>
          <w:sz w:val="22"/>
        </w:rPr>
        <w:t xml:space="preserve">   APPSolve provides Oracle FBDI-compliant data migration templates for all in-scope data entities. The client is responsible for extracting data from source systems, cleansing and normalising the data to the required format, and loading it into APPSolve's templates. APPSolve does not perform data extraction from client source systems unless explicitly included in the SOW as an additional service.</w:t>
      </w:r>
    </w:p>
    <w:p>
      <w:pPr/>
      <w:r>
        <w:rPr>
          <w:rFonts w:ascii="Calibri" w:hAnsi="Calibri"/>
          <w:sz w:val="22"/>
        </w:rPr>
        <w:t>**HCM-DAT-002**</w:t>
      </w:r>
      <w:r>
        <w:rPr>
          <w:rFonts w:ascii="Calibri" w:hAnsi="Calibri"/>
          <w:b w:val="0"/>
          <w:sz w:val="22"/>
        </w:rPr>
        <w:t xml:space="preserve">   Only active employee records are migrated to Oracle HCM as part of this engagement. Terminated employees, historical employment records, and contractor records not included in the active employee population are excluded from the data migration scope unless explicitly agreed.</w:t>
      </w:r>
    </w:p>
    <w:p>
      <w:pPr/>
      <w:r>
        <w:rPr>
          <w:rFonts w:ascii="Calibri" w:hAnsi="Calibri"/>
          <w:sz w:val="22"/>
        </w:rPr>
        <w:t>**HCM-DAT-003**</w:t>
      </w:r>
      <w:r>
        <w:rPr>
          <w:rFonts w:ascii="Calibri" w:hAnsi="Calibri"/>
          <w:b w:val="0"/>
          <w:sz w:val="22"/>
        </w:rPr>
        <w:t xml:space="preserve">   The client is responsible for the accuracy and completeness of all migrated data. APPSolve confirms that data has been loaded correctly into Oracle HCM and that the loaded records are visible and structurally valid. APPSolve does not take responsibility for the accuracy of source data, including personal details, employment dates, compensation records, or statutory information.</w:t>
      </w:r>
    </w:p>
    <w:p>
      <w:pPr/>
      <w:r>
        <w:rPr>
          <w:rFonts w:ascii="Calibri" w:hAnsi="Calibri"/>
          <w:sz w:val="22"/>
        </w:rPr>
        <w:t>**HCM-DAT-004**</w:t>
      </w:r>
      <w:r>
        <w:rPr>
          <w:rFonts w:ascii="Calibri" w:hAnsi="Calibri"/>
          <w:b w:val="0"/>
          <w:sz w:val="22"/>
        </w:rPr>
        <w:t xml:space="preserve">   APPSolve will conduct a maximum of three (3) data migration load cycles during the implementation (for example: Mock 1, Mock 2, and Production Go-Live). Additional load cycles beyond this number constitute a scope change. The production data load is the final load cycle.</w:t>
      </w:r>
    </w:p>
    <w:p>
      <w:pPr/>
      <w:r>
        <w:rPr>
          <w:rFonts w:ascii="Calibri" w:hAnsi="Calibri"/>
          <w:sz w:val="22"/>
        </w:rPr>
        <w:t>**HCM-DAT-005**</w:t>
      </w:r>
      <w:r>
        <w:rPr>
          <w:rFonts w:ascii="Calibri" w:hAnsi="Calibri"/>
          <w:b w:val="0"/>
          <w:sz w:val="22"/>
        </w:rPr>
        <w:t xml:space="preserve">   Historical learning completion records, historical performance review records, and historical payslip data are excluded from data migration scope unless explicitly agreed and scoped. Historical data take-on requires additional scoping, template design, and load effort, and is priced separately.</w:t>
      </w:r>
    </w:p>
    <w:p>
      <w:pPr/>
      <w:r>
        <w:rPr>
          <w:rFonts w:ascii="Calibri" w:hAnsi="Calibri"/>
          <w:sz w:val="22"/>
        </w:rPr>
        <w:t>**HCM-DAT-006**</w:t>
      </w:r>
      <w:r>
        <w:rPr>
          <w:rFonts w:ascii="Calibri" w:hAnsi="Calibri"/>
          <w:b w:val="0"/>
          <w:sz w:val="22"/>
        </w:rPr>
        <w:t xml:space="preserve">   The client is responsible for completing data reconciliation between the source system and Oracle HCM after each migration load cycle. APPSolve provides reconciliation controls and validation reports; the client's HR data team performs the reconciliation sign-off.</w:t>
      </w:r>
    </w:p>
    <w:p>
      <w:pPr/>
      <w:r>
        <w:rPr>
          <w:rFonts w:ascii="Calibri" w:hAnsi="Calibri"/>
          <w:sz w:val="22"/>
        </w:rPr>
        <w:t>**HCM-DAT-007**</w:t>
      </w:r>
      <w:r>
        <w:rPr>
          <w:rFonts w:ascii="Calibri" w:hAnsi="Calibri"/>
          <w:b w:val="0"/>
          <w:sz w:val="22"/>
        </w:rPr>
        <w:t xml:space="preserve">   All data provided by the client for migration must be in English or in the primary language of the Oracle HCM implementation. Where multi-language support is required, translated data values must be provided by the client in the required format before the migration load.</w:t>
      </w:r>
    </w:p>
    <w:p>
      <w:pPr/>
      <w:r>
        <w:rPr>
          <w:rFonts w:ascii="Calibri" w:hAnsi="Calibri"/>
          <w:sz w:val="22"/>
        </w:rPr>
        <w:t>**HCM-DAT-008**</w:t>
      </w:r>
      <w:r>
        <w:rPr>
          <w:rFonts w:ascii="Calibri" w:hAnsi="Calibri"/>
          <w:b w:val="0"/>
          <w:sz w:val="22"/>
        </w:rPr>
        <w:t xml:space="preserve">   The client accepts that data migration activities introduce risk during the cutover period. The client is responsible for maintaining a data freeze on the source system during the final production migration window to prevent data divergence. The client is responsible for defining and enforcing the data freeze period.</w:t>
      </w:r>
    </w:p>
    <w:p>
      <w:pPr/>
      <w:r>
        <w:rPr>
          <w:rFonts w:ascii="Calibri" w:hAnsi="Calibri"/>
          <w:sz w:val="22"/>
        </w:rPr>
        <w:t>**HCM-DAT-009**</w:t>
      </w:r>
      <w:r>
        <w:rPr>
          <w:rFonts w:ascii="Calibri" w:hAnsi="Calibri"/>
          <w:b w:val="0"/>
          <w:sz w:val="22"/>
        </w:rPr>
        <w:t xml:space="preserve">   Contractor, agency worker, and contingent worker records are excluded from the default Core HR data migration scope. If these worker types require Oracle HCM records (for example, to support self-service, absence, or workforce directory access), this must be agreed during the Scope and Design phase and scoped as an addition.</w:t>
      </w:r>
    </w:p>
    <w:p>
      <w:pPr>
        <w:pBdr>
          <w:bottom w:val="single" w:sz="4" w:space="1" w:color="CCCCCC"/>
        </w:pBdr>
        <w:spacing w:before="80" w:after="80"/>
      </w:pPr>
    </w:p>
    <w:p>
      <w:pPr>
        <w:pStyle w:val="Heading4"/>
        <w:keepNext/>
      </w:pPr>
      <w:r>
        <w:rPr>
          <w:rFonts w:ascii="Calibri" w:hAnsi="Calibri"/>
          <w:b w:val="0"/>
          <w:sz w:val="22"/>
        </w:rPr>
        <w:t>6. Reporting Assumptions</w:t>
      </w:r>
    </w:p>
    <w:p>
      <w:pPr/>
      <w:r>
        <w:rPr>
          <w:rFonts w:ascii="Calibri" w:hAnsi="Calibri"/>
          <w:sz w:val="22"/>
        </w:rPr>
        <w:t>**HCM-RPT-001**</w:t>
      </w:r>
      <w:r>
        <w:rPr>
          <w:rFonts w:ascii="Calibri" w:hAnsi="Calibri"/>
          <w:b w:val="0"/>
          <w:sz w:val="22"/>
        </w:rPr>
        <w:t xml:space="preserve">   APPSolve configures standard Oracle Transactional Business Intelligence (OTBI) reports and dashboards as part of this implementation. OTBI is the default reporting tool in Oracle Fusion HCM and is included in the HCM Base Cloud Service licence.</w:t>
      </w:r>
    </w:p>
    <w:p>
      <w:pPr/>
      <w:r>
        <w:rPr>
          <w:rFonts w:ascii="Calibri" w:hAnsi="Calibri"/>
          <w:sz w:val="22"/>
        </w:rPr>
        <w:t>**HCM-RPT-002**</w:t>
      </w:r>
      <w:r>
        <w:rPr>
          <w:rFonts w:ascii="Calibri" w:hAnsi="Calibri"/>
          <w:b w:val="0"/>
          <w:sz w:val="22"/>
        </w:rPr>
        <w:t xml:space="preserve">   The number of custom OTBI reports included in base scope is limited to the count agreed during the Scope and Design phase. Custom OTBI reports beyond the agreed count are a scope change requiring a Change Request.</w:t>
      </w:r>
    </w:p>
    <w:p>
      <w:pPr/>
      <w:r>
        <w:rPr>
          <w:rFonts w:ascii="Calibri" w:hAnsi="Calibri"/>
          <w:sz w:val="22"/>
        </w:rPr>
        <w:t>**HCM-RPT-003**</w:t>
      </w:r>
      <w:r>
        <w:rPr>
          <w:rFonts w:ascii="Calibri" w:hAnsi="Calibri"/>
          <w:b w:val="0"/>
          <w:sz w:val="22"/>
        </w:rPr>
        <w:t xml:space="preserve">   Oracle Analytics for Cloud (OAC/OAX) is a separately licensed Oracle product. Any OAC/OAX analytics requirements are outside the scope of this proposal unless explicitly included in the Bill of Materials and SOW.</w:t>
      </w:r>
    </w:p>
    <w:p>
      <w:pPr/>
      <w:r>
        <w:rPr>
          <w:rFonts w:ascii="Calibri" w:hAnsi="Calibri"/>
          <w:sz w:val="22"/>
        </w:rPr>
        <w:t>**HCM-RPT-004**</w:t>
      </w:r>
      <w:r>
        <w:rPr>
          <w:rFonts w:ascii="Calibri" w:hAnsi="Calibri"/>
          <w:b w:val="0"/>
          <w:sz w:val="22"/>
        </w:rPr>
        <w:t xml:space="preserve">   Oracle BI Publisher is available within Oracle Fusion HCM for structured document generation (payslips, offer letters, notice templates). APPSolve includes BI Publisher configuration for documents confirmed in the Scope and Design phase. Additional BI Publisher templates beyond those agreed in scope constitute a Change Request.</w:t>
      </w:r>
    </w:p>
    <w:p>
      <w:pPr/>
      <w:r>
        <w:rPr>
          <w:rFonts w:ascii="Calibri" w:hAnsi="Calibri"/>
          <w:sz w:val="22"/>
        </w:rPr>
        <w:t>**HCM-RPT-005**</w:t>
      </w:r>
      <w:r>
        <w:rPr>
          <w:rFonts w:ascii="Calibri" w:hAnsi="Calibri"/>
          <w:b w:val="0"/>
          <w:sz w:val="22"/>
        </w:rPr>
        <w:t xml:space="preserve">   All reports delivered by APPSolve are designed against the data model and configuration in place at the time of go-live. Changes to Oracle HCM configuration after report delivery that affect report output require report remediation, which is assessed as a Change Request.</w:t>
      </w:r>
    </w:p>
    <w:p>
      <w:pPr/>
      <w:r>
        <w:rPr>
          <w:rFonts w:ascii="Calibri" w:hAnsi="Calibri"/>
          <w:sz w:val="22"/>
        </w:rPr>
        <w:t>**HCM-RPT-006**</w:t>
      </w:r>
      <w:r>
        <w:rPr>
          <w:rFonts w:ascii="Calibri" w:hAnsi="Calibri"/>
          <w:b w:val="0"/>
          <w:sz w:val="22"/>
        </w:rPr>
        <w:t xml:space="preserve">   The client is responsible for the business requirements for all reports, including the definition of required fields, filters, grouping, sorting, and calculation logic. APPSolve translates agreed requirements into OTBI configuration but does not define reporting requirements on the client's behalf.</w:t>
      </w:r>
    </w:p>
    <w:p>
      <w:pPr>
        <w:pBdr>
          <w:bottom w:val="single" w:sz="4" w:space="1" w:color="CCCCCC"/>
        </w:pBdr>
        <w:spacing w:before="80" w:after="80"/>
      </w:pPr>
    </w:p>
    <w:p>
      <w:pPr>
        <w:pStyle w:val="Heading4"/>
        <w:keepNext/>
      </w:pPr>
      <w:r>
        <w:rPr>
          <w:rFonts w:ascii="Calibri" w:hAnsi="Calibri"/>
          <w:b w:val="0"/>
          <w:sz w:val="22"/>
        </w:rPr>
        <w:t>7. Testing Assumptions</w:t>
      </w:r>
    </w:p>
    <w:p>
      <w:pPr/>
      <w:r>
        <w:rPr>
          <w:rFonts w:ascii="Calibri" w:hAnsi="Calibri"/>
          <w:sz w:val="22"/>
        </w:rPr>
        <w:t>**HCM-TST-001**</w:t>
      </w:r>
      <w:r>
        <w:rPr>
          <w:rFonts w:ascii="Calibri" w:hAnsi="Calibri"/>
          <w:b w:val="0"/>
          <w:sz w:val="22"/>
        </w:rPr>
        <w:t xml:space="preserve">   User Acceptance Testing (UAT) is led and owned by the client. APPSolve facilitates UAT by providing a structured test execution environment, issue logging process, and test support resources during the agreed UAT period. APPSolve does not sign off UAT on behalf of the client.</w:t>
      </w:r>
    </w:p>
    <w:p>
      <w:pPr/>
      <w:r>
        <w:rPr>
          <w:rFonts w:ascii="Calibri" w:hAnsi="Calibri"/>
          <w:sz w:val="22"/>
        </w:rPr>
        <w:t>**HCM-TST-002**</w:t>
      </w:r>
      <w:r>
        <w:rPr>
          <w:rFonts w:ascii="Calibri" w:hAnsi="Calibri"/>
          <w:b w:val="0"/>
          <w:sz w:val="22"/>
        </w:rPr>
        <w:t xml:space="preserve">   The client is responsible for preparing UAT test scripts and scenarios aligned to their business processes. APPSolve provides configuration test scripts (CRP scripts) for the technical validation of Oracle HCM configuration; these are distinct from business UAT test scripts, which the client owns.</w:t>
      </w:r>
    </w:p>
    <w:p>
      <w:pPr/>
      <w:r>
        <w:rPr>
          <w:rFonts w:ascii="Calibri" w:hAnsi="Calibri"/>
          <w:sz w:val="22"/>
        </w:rPr>
        <w:t>**HCM-TST-003**</w:t>
      </w:r>
      <w:r>
        <w:rPr>
          <w:rFonts w:ascii="Calibri" w:hAnsi="Calibri"/>
          <w:b w:val="0"/>
          <w:sz w:val="22"/>
        </w:rPr>
        <w:t xml:space="preserve"> </w:t>
      </w:r>
      <w:r>
        <w:rPr>
          <w:rFonts w:ascii="Calibri" w:hAnsi="Calibri"/>
          <w:sz w:val="22"/>
        </w:rPr>
        <w:t>*(Updated — BU-WP11-006)*</w:t>
      </w:r>
      <w:r>
        <w:rPr>
          <w:rFonts w:ascii="Calibri" w:hAnsi="Calibri"/>
          <w:b w:val="0"/>
          <w:sz w:val="22"/>
        </w:rPr>
        <w:t xml:space="preserve">   The implementation plan includes two Conference Room Pilot (CRP) cycles and one UAT cycle as the APPSolve standard: </w:t>
      </w:r>
      <w:r>
        <w:rPr>
          <w:rFonts w:ascii="Calibri" w:hAnsi="Calibri"/>
          <w:sz w:val="22"/>
        </w:rPr>
        <w:t>**CRP1 (Design Validation)**</w:t>
      </w:r>
      <w:r>
        <w:rPr>
          <w:rFonts w:ascii="Calibri" w:hAnsi="Calibri"/>
          <w:b w:val="0"/>
          <w:sz w:val="22"/>
        </w:rPr>
        <w:t xml:space="preserve"> — first rapid build; facilitated demonstration; structured design feedback captured and resolved before CRP2; </w:t>
      </w:r>
      <w:r>
        <w:rPr>
          <w:rFonts w:ascii="Calibri" w:hAnsi="Calibri"/>
          <w:sz w:val="22"/>
        </w:rPr>
        <w:t>**CRP2 (End-to-End Validation)**</w:t>
      </w:r>
      <w:r>
        <w:rPr>
          <w:rFonts w:ascii="Calibri" w:hAnsi="Calibri"/>
          <w:b w:val="0"/>
          <w:sz w:val="22"/>
        </w:rPr>
        <w:t xml:space="preserve"> — complete end-to-end scenario test of configured Oracle HCM; final configuration sign-off before UAT entry. Additional CRP cycles beyond CRP1 and CRP2 are not included in standard scope and require a Change Request. A second UAT cycle also constitutes a scope change.</w:t>
      </w:r>
    </w:p>
    <w:p>
      <w:pPr/>
      <w:r>
        <w:rPr>
          <w:rFonts w:ascii="Calibri" w:hAnsi="Calibri"/>
          <w:sz w:val="22"/>
        </w:rPr>
        <w:t>**HCM-TST-004**</w:t>
      </w:r>
      <w:r>
        <w:rPr>
          <w:rFonts w:ascii="Calibri" w:hAnsi="Calibri"/>
          <w:b w:val="0"/>
          <w:sz w:val="22"/>
        </w:rPr>
        <w:t xml:space="preserve">   The client is responsible for providing a sufficient number of business users for UAT participation. Delays in UAT caused by insufficient client user availability or late test script preparation are the client's responsibility and may impact the project timeline.</w:t>
      </w:r>
    </w:p>
    <w:p>
      <w:pPr/>
      <w:r>
        <w:rPr>
          <w:rFonts w:ascii="Calibri" w:hAnsi="Calibri"/>
          <w:sz w:val="22"/>
        </w:rPr>
        <w:t>**HCM-TST-005**</w:t>
      </w:r>
      <w:r>
        <w:rPr>
          <w:rFonts w:ascii="Calibri" w:hAnsi="Calibri"/>
          <w:b w:val="0"/>
          <w:sz w:val="22"/>
        </w:rPr>
        <w:t xml:space="preserve">   APPSolve will track and manage defects identified during CRP and UAT using the agreed defect management tool (for example, Excel tracker, Jira, ServiceNow, or equivalent — to be agreed during Mobilize). Configuration defects (errors in APPSolve's configuration of Oracle HCM) are remediated by APPSolve at no additional cost. Defects attributable to incorrect or incomplete client business requirements, client data quality issues, or Oracle platform behaviour are not APPSolve's responsibility to remediate within base scope.</w:t>
      </w:r>
    </w:p>
    <w:p>
      <w:pPr/>
      <w:r>
        <w:rPr>
          <w:rFonts w:ascii="Calibri" w:hAnsi="Calibri"/>
          <w:sz w:val="22"/>
        </w:rPr>
        <w:t>**HCM-TST-006**</w:t>
      </w:r>
      <w:r>
        <w:rPr>
          <w:rFonts w:ascii="Calibri" w:hAnsi="Calibri"/>
          <w:b w:val="0"/>
          <w:sz w:val="22"/>
        </w:rPr>
        <w:t xml:space="preserve">   System Integration Testing (SIT) for any in-scope OIC integrations requires test environments for all connected third-party systems to be available, accessible, and stable before SIT commences. Delays caused by third-party system unavailability or instability are the client's responsibility.</w:t>
      </w:r>
    </w:p>
    <w:p>
      <w:pPr/>
      <w:r>
        <w:rPr>
          <w:rFonts w:ascii="Calibri" w:hAnsi="Calibri"/>
          <w:sz w:val="22"/>
        </w:rPr>
        <w:t>**HCM-TST-007**</w:t>
      </w:r>
      <w:r>
        <w:rPr>
          <w:rFonts w:ascii="Calibri" w:hAnsi="Calibri"/>
          <w:b w:val="0"/>
          <w:sz w:val="22"/>
        </w:rPr>
        <w:t xml:space="preserve">   Performance and load testing of the Oracle HCM Cloud environment is Oracle's responsibility as the SaaS provider. APPSolve does not conduct infrastructure performance testing. Oracle's standard SaaS platform is expected to support the contracted user volumes.</w:t>
      </w:r>
    </w:p>
    <w:p>
      <w:pPr/>
      <w:r>
        <w:rPr>
          <w:rFonts w:ascii="Calibri" w:hAnsi="Calibri"/>
          <w:sz w:val="22"/>
        </w:rPr>
        <w:t>**HCM-TST-008**</w:t>
      </w:r>
      <w:r>
        <w:rPr>
          <w:rFonts w:ascii="Calibri" w:hAnsi="Calibri"/>
          <w:b w:val="0"/>
          <w:sz w:val="22"/>
        </w:rPr>
        <w:t xml:space="preserve">   APPSolve will conduct regression testing after each Oracle quarterly update during the active implementation period. Regression testing after go-live is included in the AMS scope, not the implementation scope. One UAT-to-go-live quarterly update cycle is included in base scope; additional quarterly cycles caused by delayed go-live are assessed as a Change Request.</w:t>
      </w:r>
    </w:p>
    <w:p>
      <w:pPr>
        <w:pBdr>
          <w:bottom w:val="single" w:sz="4" w:space="1" w:color="CCCCCC"/>
        </w:pBdr>
        <w:spacing w:before="80" w:after="80"/>
      </w:pPr>
    </w:p>
    <w:p>
      <w:pPr>
        <w:pStyle w:val="Heading4"/>
        <w:keepNext/>
      </w:pPr>
      <w:r>
        <w:rPr>
          <w:rFonts w:ascii="Calibri" w:hAnsi="Calibri"/>
          <w:b w:val="0"/>
          <w:sz w:val="22"/>
        </w:rPr>
        <w:t>8. Training Assumptions</w:t>
      </w:r>
    </w:p>
    <w:p>
      <w:pPr/>
      <w:r>
        <w:rPr>
          <w:rFonts w:ascii="Calibri" w:hAnsi="Calibri"/>
          <w:sz w:val="22"/>
        </w:rPr>
        <w:t>**HCM-TRN-001**</w:t>
      </w:r>
      <w:r>
        <w:rPr>
          <w:rFonts w:ascii="Calibri" w:hAnsi="Calibri"/>
          <w:b w:val="0"/>
          <w:sz w:val="22"/>
        </w:rPr>
        <w:t xml:space="preserve">   APPSolve delivers a train-the-trainer (TTT) training programme as the default training approach. The client is responsible for cascading knowledge to end users. APPSolve is not responsible for end-user training beyond the train-the-trainer group unless explicitly included in the SOW.</w:t>
      </w:r>
    </w:p>
    <w:p>
      <w:pPr/>
      <w:r>
        <w:rPr>
          <w:rFonts w:ascii="Calibri" w:hAnsi="Calibri"/>
          <w:sz w:val="22"/>
        </w:rPr>
        <w:t>**HCM-TRN-002**</w:t>
      </w:r>
      <w:r>
        <w:rPr>
          <w:rFonts w:ascii="Calibri" w:hAnsi="Calibri"/>
          <w:b w:val="0"/>
          <w:sz w:val="22"/>
        </w:rPr>
        <w:t xml:space="preserve">   All APPSolve training is delivered in English. Translation of training materials into other languages is the client's responsibility and is not included in base scope.</w:t>
      </w:r>
    </w:p>
    <w:p>
      <w:pPr/>
      <w:r>
        <w:rPr>
          <w:rFonts w:ascii="Calibri" w:hAnsi="Calibri"/>
          <w:sz w:val="22"/>
        </w:rPr>
        <w:t>**HCM-TRN-003**</w:t>
      </w:r>
      <w:r>
        <w:rPr>
          <w:rFonts w:ascii="Calibri" w:hAnsi="Calibri"/>
          <w:b w:val="0"/>
          <w:sz w:val="22"/>
        </w:rPr>
        <w:t xml:space="preserve">   APPSolve delivers training using APPSolve-prepared quick reference guides, process walkthrough documentation, and live demonstration in the configured Oracle HCM environment. High-fidelity interactive eLearning modules, narrated video training, or custom LMS content is not included in base scope.</w:t>
      </w:r>
    </w:p>
    <w:p>
      <w:pPr/>
      <w:r>
        <w:rPr>
          <w:rFonts w:ascii="Calibri" w:hAnsi="Calibri"/>
          <w:sz w:val="22"/>
        </w:rPr>
        <w:t>**HCM-TRN-004**</w:t>
      </w:r>
      <w:r>
        <w:rPr>
          <w:rFonts w:ascii="Calibri" w:hAnsi="Calibri"/>
          <w:b w:val="0"/>
          <w:sz w:val="22"/>
        </w:rPr>
        <w:t xml:space="preserve">   The client is responsible for ensuring that designated train-the-trainer participants attend all scheduled training sessions. Rescheduling or repeating training sessions caused by client unavailability may constitute a Change Request.</w:t>
      </w:r>
    </w:p>
    <w:p>
      <w:pPr/>
      <w:r>
        <w:rPr>
          <w:rFonts w:ascii="Calibri" w:hAnsi="Calibri"/>
          <w:sz w:val="22"/>
        </w:rPr>
        <w:t>**HCM-TRN-005**</w:t>
      </w:r>
      <w:r>
        <w:rPr>
          <w:rFonts w:ascii="Calibri" w:hAnsi="Calibri"/>
          <w:b w:val="0"/>
          <w:sz w:val="22"/>
        </w:rPr>
        <w:t xml:space="preserve">   Oracle University training courses (Oracle-branded instructor-led or virtual training) are not included in APPSolve's proposal. Oracle University training is available separately through Oracle and is the client's direct commercial relationship with Oracle Corporation.</w:t>
      </w:r>
    </w:p>
    <w:p>
      <w:pPr/>
      <w:r>
        <w:rPr>
          <w:rFonts w:ascii="Calibri" w:hAnsi="Calibri"/>
          <w:sz w:val="22"/>
        </w:rPr>
        <w:t>**HCM-TRN-006**</w:t>
      </w:r>
      <w:r>
        <w:rPr>
          <w:rFonts w:ascii="Calibri" w:hAnsi="Calibri"/>
          <w:b w:val="0"/>
          <w:sz w:val="22"/>
        </w:rPr>
        <w:t xml:space="preserve">   APPSolve recommends that Oracle HCM system administrators attend relevant Oracle Cloud Learning Subscriptions (formerly Oracle University) courses before go-live to ensure sustainable system administration capability. This is a client action and is not included in APPSolve's scope.</w:t>
      </w:r>
    </w:p>
    <w:p>
      <w:pPr>
        <w:pBdr>
          <w:bottom w:val="single" w:sz="4" w:space="1" w:color="CCCCCC"/>
        </w:pBdr>
        <w:spacing w:before="80" w:after="80"/>
      </w:pPr>
    </w:p>
    <w:p>
      <w:pPr>
        <w:pStyle w:val="Heading4"/>
        <w:keepNext/>
      </w:pPr>
      <w:r>
        <w:rPr>
          <w:rFonts w:ascii="Calibri" w:hAnsi="Calibri"/>
          <w:b w:val="0"/>
          <w:sz w:val="22"/>
        </w:rPr>
        <w:t>9. Cutover Assumptions</w:t>
      </w:r>
    </w:p>
    <w:p>
      <w:pPr/>
      <w:r>
        <w:rPr>
          <w:rFonts w:ascii="Calibri" w:hAnsi="Calibri"/>
          <w:sz w:val="22"/>
        </w:rPr>
        <w:t>**HCM-CUT-002**</w:t>
      </w:r>
      <w:r>
        <w:rPr>
          <w:rFonts w:ascii="Calibri" w:hAnsi="Calibri"/>
          <w:b w:val="0"/>
          <w:sz w:val="22"/>
        </w:rPr>
        <w:t xml:space="preserve">   The production data migration window is assumed to be a weekend (Friday evening to Sunday evening, local time). Business-day production migrations that impact the client's operational HR processes during working hours require specific agreement and risk acceptance by the client.</w:t>
      </w:r>
    </w:p>
    <w:p>
      <w:pPr/>
      <w:r>
        <w:rPr>
          <w:rFonts w:ascii="Calibri" w:hAnsi="Calibri"/>
          <w:sz w:val="22"/>
        </w:rPr>
        <w:t>**HCM-CUT-003**</w:t>
      </w:r>
      <w:r>
        <w:rPr>
          <w:rFonts w:ascii="Calibri" w:hAnsi="Calibri"/>
          <w:b w:val="0"/>
          <w:sz w:val="22"/>
        </w:rPr>
        <w:t xml:space="preserve">   A data freeze on the client's source HR system(s) is required from the start of the production data migration window. The client is responsible for communicating and enforcing the data freeze with all subsidiaries, HR teams, and system administrators. Any transactions processed in the source system during the data freeze period will not be reflected in Oracle HCM without manual intervention after go-live.</w:t>
      </w:r>
    </w:p>
    <w:p>
      <w:pPr/>
      <w:r>
        <w:rPr>
          <w:rFonts w:ascii="Calibri" w:hAnsi="Calibri"/>
          <w:sz w:val="22"/>
        </w:rPr>
        <w:t>**HCM-CUT-004**</w:t>
      </w:r>
      <w:r>
        <w:rPr>
          <w:rFonts w:ascii="Calibri" w:hAnsi="Calibri"/>
          <w:b w:val="0"/>
          <w:sz w:val="22"/>
        </w:rPr>
        <w:t xml:space="preserve">   APPSolve will define a go/no-go decision point in the cutover plan. If the production migration cannot be completed within the agreed cutover window due to data quality failures, environment issues, or integration failures, APPSolve and the client will jointly assess whether to continue or roll back. The client retains the final go/no-go decision authority.</w:t>
      </w:r>
    </w:p>
    <w:p>
      <w:pPr/>
      <w:r>
        <w:rPr>
          <w:rFonts w:ascii="Calibri" w:hAnsi="Calibri"/>
          <w:sz w:val="22"/>
        </w:rPr>
        <w:t>**HCM-CUT-005**</w:t>
      </w:r>
      <w:r>
        <w:rPr>
          <w:rFonts w:ascii="Calibri" w:hAnsi="Calibri"/>
          <w:b w:val="0"/>
          <w:sz w:val="22"/>
        </w:rPr>
        <w:t xml:space="preserve"> </w:t>
      </w:r>
      <w:r>
        <w:rPr>
          <w:rFonts w:ascii="Calibri" w:hAnsi="Calibri"/>
          <w:sz w:val="22"/>
        </w:rPr>
        <w:t>*(Updated — BU-WP11-001)*</w:t>
      </w:r>
      <w:r>
        <w:rPr>
          <w:rFonts w:ascii="Calibri" w:hAnsi="Calibri"/>
          <w:b w:val="0"/>
          <w:sz w:val="22"/>
        </w:rPr>
        <w:t xml:space="preserve">   Where Oracle HCM is replacing an existing payroll-connected HR system, a parallel payroll run period is included in base scope as a standard risk-mitigation control. The parallel run enables the client to reconcile payroll outputs from the legacy system and Oracle HCM concurrently before the legacy system is decommissioned. The duration of the parallel run, reconciliation approach, and parallel run exit criteria are agreed with the client during the Scope and Design phase and are documented in the cutover plan.</w:t>
      </w:r>
    </w:p>
    <w:p>
      <w:pPr/>
      <w:r>
        <w:rPr>
          <w:rFonts w:ascii="Calibri" w:hAnsi="Calibri"/>
          <w:sz w:val="22"/>
        </w:rPr>
        <w:t>**HCM-CUT-008**</w:t>
      </w:r>
      <w:r>
        <w:rPr>
          <w:rFonts w:ascii="Calibri" w:hAnsi="Calibri"/>
          <w:b w:val="0"/>
          <w:sz w:val="22"/>
        </w:rPr>
        <w:t xml:space="preserve"> </w:t>
      </w:r>
      <w:r>
        <w:rPr>
          <w:rFonts w:ascii="Calibri" w:hAnsi="Calibri"/>
          <w:sz w:val="22"/>
        </w:rPr>
        <w:t>*(New — BU-WP11-001)*</w:t>
      </w:r>
      <w:r>
        <w:rPr>
          <w:rFonts w:ascii="Calibri" w:hAnsi="Calibri"/>
          <w:b w:val="0"/>
          <w:sz w:val="22"/>
        </w:rPr>
        <w:t xml:space="preserve">   The following conditions apply to the parallel payroll run (HCM-CUT-005): (a) the parallel run applies to payroll interface outputs from Oracle HCM to the third-party payroll provider only; (b) Oracle HCM is not used as a payroll calculation engine — payroll calculations remain the payroll provider's responsibility throughout; (c) the client's payroll team owns the reconciliation between parallel run payroll outputs; APPSolve provides the Oracle HCM configuration and interface support; (d) the parallel run is not applicable where Oracle HCM is not replacing a payroll-connected system.</w:t>
      </w:r>
    </w:p>
    <w:p>
      <w:pPr/>
      <w:r>
        <w:rPr>
          <w:rFonts w:ascii="Calibri" w:hAnsi="Calibri"/>
          <w:sz w:val="22"/>
        </w:rPr>
        <w:t>**HCM-CUT-006**</w:t>
      </w:r>
      <w:r>
        <w:rPr>
          <w:rFonts w:ascii="Calibri" w:hAnsi="Calibri"/>
          <w:b w:val="0"/>
          <w:sz w:val="22"/>
        </w:rPr>
        <w:t xml:space="preserve">   Legacy system decommissioning, data archival, or shutdown of the client's previous HR system(s) after go-live is the client's responsibility. APPSolve does not plan or execute legacy system decommissioning.</w:t>
      </w:r>
    </w:p>
    <w:p>
      <w:pPr/>
      <w:r>
        <w:rPr>
          <w:rFonts w:ascii="Calibri" w:hAnsi="Calibri"/>
          <w:sz w:val="22"/>
        </w:rPr>
        <w:t>**HCM-CUT-007**</w:t>
      </w:r>
      <w:r>
        <w:rPr>
          <w:rFonts w:ascii="Calibri" w:hAnsi="Calibri"/>
          <w:b w:val="0"/>
          <w:sz w:val="22"/>
        </w:rPr>
        <w:t xml:space="preserve">   Go-live readiness sign-off is required from both APPSolve and the client before the production migration commences. APPSolve will not proceed with production cutover without the client's written (or email) confirmation of readiness.</w:t>
      </w:r>
    </w:p>
    <w:p>
      <w:pPr>
        <w:pBdr>
          <w:bottom w:val="single" w:sz="4" w:space="1" w:color="CCCCCC"/>
        </w:pBdr>
        <w:spacing w:before="80" w:after="80"/>
      </w:pPr>
    </w:p>
    <w:p>
      <w:pPr>
        <w:pStyle w:val="Heading4"/>
        <w:keepNext/>
      </w:pPr>
      <w:r>
        <w:rPr>
          <w:rFonts w:ascii="Calibri" w:hAnsi="Calibri"/>
          <w:b w:val="0"/>
          <w:sz w:val="22"/>
        </w:rPr>
        <w:t>10. Hypercare Assumptions</w:t>
      </w:r>
    </w:p>
    <w:p>
      <w:pPr/>
      <w:r>
        <w:rPr>
          <w:rFonts w:ascii="Calibri" w:hAnsi="Calibri"/>
          <w:sz w:val="22"/>
        </w:rPr>
        <w:t>**HCM-HYP-001**</w:t>
      </w:r>
      <w:r>
        <w:rPr>
          <w:rFonts w:ascii="Calibri" w:hAnsi="Calibri"/>
          <w:b w:val="0"/>
          <w:sz w:val="22"/>
        </w:rPr>
        <w:t xml:space="preserve"> </w:t>
      </w:r>
      <w:r>
        <w:rPr>
          <w:rFonts w:ascii="Calibri" w:hAnsi="Calibri"/>
          <w:sz w:val="22"/>
        </w:rPr>
        <w:t>*(Updated — BU-WP11-003)*</w:t>
      </w:r>
      <w:r>
        <w:rPr>
          <w:rFonts w:ascii="Calibri" w:hAnsi="Calibri"/>
          <w:b w:val="0"/>
          <w:sz w:val="22"/>
        </w:rPr>
        <w:t xml:space="preserve">   A four (4) week hypercare period is the contractual default and commences immediately after the production go-live date. Hypercare is not a guideline — it is a standard delivery obligation. During hypercare, a senior APPSolve team is available during South African business hours (08:00–17:00 SAST, Monday–Friday) to respond to and resolve production defects and stabilisation issues. Hypercare scope is limited to defect resolution and system stabilisation. Enhancements, new functionality, new scope, and change requests are explicitly excluded from hypercare. Hypercare resource allocation is defined in the SOW.</w:t>
      </w:r>
    </w:p>
    <w:p>
      <w:pPr/>
      <w:r>
        <w:rPr>
          <w:rFonts w:ascii="Calibri" w:hAnsi="Calibri"/>
          <w:sz w:val="22"/>
        </w:rPr>
        <w:t>**HCM-HYP-002**</w:t>
      </w:r>
      <w:r>
        <w:rPr>
          <w:rFonts w:ascii="Calibri" w:hAnsi="Calibri"/>
          <w:b w:val="0"/>
          <w:sz w:val="22"/>
        </w:rPr>
        <w:t xml:space="preserve"> </w:t>
      </w:r>
      <w:r>
        <w:rPr>
          <w:rFonts w:ascii="Calibri" w:hAnsi="Calibri"/>
          <w:sz w:val="22"/>
        </w:rPr>
        <w:t>*(Updated — BU-WP11-003)*</w:t>
      </w:r>
      <w:r>
        <w:rPr>
          <w:rFonts w:ascii="Calibri" w:hAnsi="Calibri"/>
          <w:b w:val="0"/>
          <w:sz w:val="22"/>
        </w:rPr>
        <w:t xml:space="preserve">   During hypercare, APPSolve's response to production issues operates on the following priority classification, applicable during standard South African business hours (08:00–17:00 SAST, Monday–Friday):</w:t>
      </w:r>
    </w:p>
    <w:p>
      <w:pPr>
        <w:pStyle w:val="ListBullet"/>
        <w:spacing w:before="20" w:after="20"/>
      </w:pPr>
      <w:r>
        <w:rPr>
          <w:rFonts w:ascii="Calibri" w:hAnsi="Calibri"/>
          <w:sz w:val="22"/>
        </w:rPr>
        <w:t>**P1 (Critical):**</w:t>
      </w:r>
      <w:r>
        <w:rPr>
          <w:rFonts w:ascii="Calibri" w:hAnsi="Calibri"/>
          <w:b w:val="0"/>
          <w:sz w:val="22"/>
        </w:rPr>
        <w:t xml:space="preserve"> System unavailable or payroll/data integrity impacted — 2-hour response</w:t>
      </w:r>
    </w:p>
    <w:p>
      <w:pPr>
        <w:pStyle w:val="ListBullet"/>
        <w:spacing w:before="20" w:after="20"/>
      </w:pPr>
      <w:r>
        <w:rPr>
          <w:rFonts w:ascii="Calibri" w:hAnsi="Calibri"/>
          <w:sz w:val="22"/>
        </w:rPr>
        <w:t>**P2 (High):**</w:t>
      </w:r>
      <w:r>
        <w:rPr>
          <w:rFonts w:ascii="Calibri" w:hAnsi="Calibri"/>
          <w:b w:val="0"/>
          <w:sz w:val="22"/>
        </w:rPr>
        <w:t xml:space="preserve"> Major function unavailable, no workaround — 4-hour response</w:t>
      </w:r>
    </w:p>
    <w:p>
      <w:pPr>
        <w:pStyle w:val="ListBullet"/>
        <w:spacing w:before="20" w:after="20"/>
      </w:pPr>
      <w:r>
        <w:rPr>
          <w:rFonts w:ascii="Calibri" w:hAnsi="Calibri"/>
          <w:sz w:val="22"/>
        </w:rPr>
        <w:t>**P3 (Medium):**</w:t>
      </w:r>
      <w:r>
        <w:rPr>
          <w:rFonts w:ascii="Calibri" w:hAnsi="Calibri"/>
          <w:b w:val="0"/>
          <w:sz w:val="22"/>
        </w:rPr>
        <w:t xml:space="preserve"> Non-critical issue, workaround available — next business day response</w:t>
      </w:r>
    </w:p>
    <w:p>
      <w:pPr/>
      <w:r>
        <w:rPr>
          <w:rFonts w:ascii="Calibri" w:hAnsi="Calibri"/>
          <w:b w:val="0"/>
          <w:sz w:val="22"/>
        </w:rPr>
        <w:t>These SLAs are contractual during hypercare. Extended-hours or weekend support during hypercare requires explicit agreement in the SOW and is priced as an additional service.</w:t>
      </w:r>
    </w:p>
    <w:p>
      <w:pPr/>
      <w:r>
        <w:rPr>
          <w:rFonts w:ascii="Calibri" w:hAnsi="Calibri"/>
          <w:sz w:val="22"/>
        </w:rPr>
        <w:t>**HCM-HYP-003**</w:t>
      </w:r>
      <w:r>
        <w:rPr>
          <w:rFonts w:ascii="Calibri" w:hAnsi="Calibri"/>
          <w:b w:val="0"/>
          <w:sz w:val="22"/>
        </w:rPr>
        <w:t xml:space="preserve"> </w:t>
      </w:r>
      <w:r>
        <w:rPr>
          <w:rFonts w:ascii="Calibri" w:hAnsi="Calibri"/>
          <w:sz w:val="22"/>
        </w:rPr>
        <w:t>*(Updated — BU-WP11-003)*</w:t>
      </w:r>
      <w:r>
        <w:rPr>
          <w:rFonts w:ascii="Calibri" w:hAnsi="Calibri"/>
          <w:b w:val="0"/>
          <w:sz w:val="22"/>
        </w:rPr>
        <w:t xml:space="preserve">   Hypercare support covers defect resolution and stabilisation of functionality that was in the agreed implementation scope. The following are explicitly excluded from hypercare support and will not be resolved under hypercare SLAs: (a) enhancements — changes to delivered functionality beyond what was agreed; (b) new scope requests — functionality not in the original SOW; (c) Change Requests — items identified as out-of-scope during the implementation; (d) training and user adoption support beyond what is documented in the hypercare plan. All excluded items are assessed and quoted separately as Change Requests.</w:t>
      </w:r>
    </w:p>
    <w:p>
      <w:pPr/>
      <w:r>
        <w:rPr>
          <w:rFonts w:ascii="Calibri" w:hAnsi="Calibri"/>
          <w:sz w:val="22"/>
        </w:rPr>
        <w:t>**HCM-HYP-004**</w:t>
      </w:r>
      <w:r>
        <w:rPr>
          <w:rFonts w:ascii="Calibri" w:hAnsi="Calibri"/>
          <w:b w:val="0"/>
          <w:sz w:val="22"/>
        </w:rPr>
        <w:t xml:space="preserve">   The transition from hypercare to the client's steady-state support model (internal IT support or APPSolve AMS) is governed by a formal hypercare exit review. APPSolve will not transition out of hypercare without a documented handover and the client's acceptance.</w:t>
      </w:r>
    </w:p>
    <w:p>
      <w:pPr/>
      <w:r>
        <w:rPr>
          <w:rFonts w:ascii="Calibri" w:hAnsi="Calibri"/>
          <w:sz w:val="22"/>
        </w:rPr>
        <w:t>**HCM-HYP-005**</w:t>
      </w:r>
      <w:r>
        <w:rPr>
          <w:rFonts w:ascii="Calibri" w:hAnsi="Calibri"/>
          <w:b w:val="0"/>
          <w:sz w:val="22"/>
        </w:rPr>
        <w:t xml:space="preserve">   If the client requires hypercare beyond the minimum agreed period due to outstanding issues, extended hypercare is available as an additional service at APPSolve's standard rate card. Extended hypercare must be agreed in writing before the scheduled hypercare end date.</w:t>
      </w:r>
    </w:p>
    <w:p>
      <w:pPr>
        <w:pBdr>
          <w:bottom w:val="single" w:sz="4" w:space="1" w:color="CCCCCC"/>
        </w:pBdr>
        <w:spacing w:before="80" w:after="80"/>
      </w:pPr>
    </w:p>
    <w:p>
      <w:pPr>
        <w:pStyle w:val="Heading4"/>
        <w:keepNext/>
      </w:pPr>
      <w:r>
        <w:rPr>
          <w:rFonts w:ascii="Calibri" w:hAnsi="Calibri"/>
          <w:b w:val="0"/>
          <w:sz w:val="22"/>
        </w:rPr>
        <w:t>11. Change Management Assumptions</w:t>
      </w:r>
    </w:p>
    <w:p>
      <w:pPr/>
      <w:r>
        <w:rPr>
          <w:rFonts w:ascii="Calibri" w:hAnsi="Calibri"/>
          <w:sz w:val="22"/>
        </w:rPr>
        <w:t>**HCM-CHG-001**</w:t>
      </w:r>
      <w:r>
        <w:rPr>
          <w:rFonts w:ascii="Calibri" w:hAnsi="Calibri"/>
          <w:b w:val="0"/>
          <w:sz w:val="22"/>
        </w:rPr>
        <w:t xml:space="preserve">   Organisational Change Management (OCM) — including communication planning, stakeholder engagement, resistance management, and change readiness assessments — is not included in base scope. APPSolve strongly recommends the client appoints a dedicated internal Change Manager for any Oracle HCM implementation impacting more than 200 employees.</w:t>
      </w:r>
    </w:p>
    <w:p>
      <w:pPr/>
      <w:r>
        <w:rPr>
          <w:rFonts w:ascii="Calibri" w:hAnsi="Calibri"/>
          <w:sz w:val="22"/>
        </w:rPr>
        <w:t>**HCM-CHG-002**</w:t>
      </w:r>
      <w:r>
        <w:rPr>
          <w:rFonts w:ascii="Calibri" w:hAnsi="Calibri"/>
          <w:b w:val="0"/>
          <w:sz w:val="22"/>
        </w:rPr>
        <w:t xml:space="preserve">   APPSolve provides functional and technical support for the Oracle HCM implementation. Developing and executing a change management strategy, communication cascade, or employee engagement programme for the HCM go-live is the client's responsibility.</w:t>
      </w:r>
    </w:p>
    <w:p>
      <w:pPr/>
      <w:r>
        <w:rPr>
          <w:rFonts w:ascii="Calibri" w:hAnsi="Calibri"/>
          <w:sz w:val="22"/>
        </w:rPr>
        <w:t>**HCM-CHG-003**</w:t>
      </w:r>
      <w:r>
        <w:rPr>
          <w:rFonts w:ascii="Calibri" w:hAnsi="Calibri"/>
          <w:b w:val="0"/>
          <w:sz w:val="22"/>
        </w:rPr>
        <w:t xml:space="preserve">   Where the client elects not to appoint an internal Change Manager, APPSolve accepts no responsibility for user adoption challenges, resistance to the new system, or the business impact of low system engagement after go-live.</w:t>
      </w:r>
    </w:p>
    <w:p>
      <w:pPr/>
      <w:r>
        <w:rPr>
          <w:rFonts w:ascii="Calibri" w:hAnsi="Calibri"/>
          <w:sz w:val="22"/>
        </w:rPr>
        <w:t>**HCM-CHG-004**</w:t>
      </w:r>
      <w:r>
        <w:rPr>
          <w:rFonts w:ascii="Calibri" w:hAnsi="Calibri"/>
          <w:b w:val="0"/>
          <w:sz w:val="22"/>
        </w:rPr>
        <w:t xml:space="preserve">   APPSolve can provide optional Change Management consulting as a separately scoped and priced engagement. This must be explicitly included in the SOW if required.</w:t>
      </w:r>
    </w:p>
    <w:p>
      <w:pPr>
        <w:pBdr>
          <w:bottom w:val="single" w:sz="4" w:space="1" w:color="CCCCCC"/>
        </w:pBdr>
        <w:spacing w:before="80" w:after="80"/>
      </w:pPr>
    </w:p>
    <w:p>
      <w:pPr>
        <w:pStyle w:val="Heading4"/>
        <w:keepNext/>
      </w:pPr>
      <w:r>
        <w:rPr>
          <w:rFonts w:ascii="Calibri" w:hAnsi="Calibri"/>
          <w:b w:val="0"/>
          <w:sz w:val="22"/>
        </w:rPr>
        <w:t>12. Third-Party System Assumptions</w:t>
      </w:r>
    </w:p>
    <w:p>
      <w:pPr/>
      <w:r>
        <w:rPr>
          <w:rFonts w:ascii="Calibri" w:hAnsi="Calibri"/>
          <w:sz w:val="22"/>
        </w:rPr>
        <w:t>**HCM-3PT-001**</w:t>
      </w:r>
      <w:r>
        <w:rPr>
          <w:rFonts w:ascii="Calibri" w:hAnsi="Calibri"/>
          <w:b w:val="0"/>
          <w:sz w:val="22"/>
        </w:rPr>
        <w:t xml:space="preserve">   All third-party systems that require integration with Oracle HCM (including payroll systems, time and attendance systems, background check providers, job board platforms, and identity providers) must have documented, available, and accessible APIs or standard file exchange interfaces. Where a third-party vendor does not provide standard integration capability, APPSolve will assess the feasibility and cost of a custom integration during the Scope and Design phase.</w:t>
      </w:r>
    </w:p>
    <w:p>
      <w:pPr/>
      <w:r>
        <w:rPr>
          <w:rFonts w:ascii="Calibri" w:hAnsi="Calibri"/>
          <w:sz w:val="22"/>
        </w:rPr>
        <w:t>**HCM-3PT-002**</w:t>
      </w:r>
      <w:r>
        <w:rPr>
          <w:rFonts w:ascii="Calibri" w:hAnsi="Calibri"/>
          <w:b w:val="0"/>
          <w:sz w:val="22"/>
        </w:rPr>
        <w:t xml:space="preserve">   The client is responsible for all commercial and contractual engagement with third-party vendors whose systems integrate with Oracle HCM. This includes obtaining API credentials, ensuring integration licensing is in place, arranging access to vendor technical support, and negotiating vendor-side integration effort. APPSolve is not responsible for third-party vendor delays, cost overruns, or technical limitations.</w:t>
      </w:r>
    </w:p>
    <w:p>
      <w:pPr/>
      <w:r>
        <w:rPr>
          <w:rFonts w:ascii="Calibri" w:hAnsi="Calibri"/>
          <w:sz w:val="22"/>
        </w:rPr>
        <w:t>**HCM-3PT-003**</w:t>
      </w:r>
      <w:r>
        <w:rPr>
          <w:rFonts w:ascii="Calibri" w:hAnsi="Calibri"/>
          <w:b w:val="0"/>
          <w:sz w:val="22"/>
        </w:rPr>
        <w:t xml:space="preserve">   Third-party vendors must provide stable, accessible non-production (test) environments for all OIC integration testing activities. Delays caused by a third-party vendor's inability to provide a test environment, or instability of the vendor test environment, are outside APPSolve's control and may impact the project timeline.</w:t>
      </w:r>
    </w:p>
    <w:p>
      <w:pPr/>
      <w:r>
        <w:rPr>
          <w:rFonts w:ascii="Calibri" w:hAnsi="Calibri"/>
          <w:sz w:val="22"/>
        </w:rPr>
        <w:t>**HCM-3PT-004**</w:t>
      </w:r>
      <w:r>
        <w:rPr>
          <w:rFonts w:ascii="Calibri" w:hAnsi="Calibri"/>
          <w:b w:val="0"/>
          <w:sz w:val="22"/>
        </w:rPr>
        <w:t xml:space="preserve">   The number of third-party system integrations included in scope is as documented in the SOW. Each integration not listed in the SOW constitutes a scope change and requires a formal Change Request and impact assessment before APPSolve proceeds.</w:t>
      </w:r>
    </w:p>
    <w:p>
      <w:pPr/>
      <w:r>
        <w:rPr>
          <w:rFonts w:ascii="Calibri" w:hAnsi="Calibri"/>
          <w:sz w:val="22"/>
        </w:rPr>
        <w:t>**HCM-3PT-005**</w:t>
      </w:r>
      <w:r>
        <w:rPr>
          <w:rFonts w:ascii="Calibri" w:hAnsi="Calibri"/>
          <w:b w:val="0"/>
          <w:sz w:val="22"/>
        </w:rPr>
        <w:t xml:space="preserve">   Where a third-party system's API or file format changes after integration design has been completed, any remediation of the affected Oracle OIC integration is a Change Request.</w:t>
      </w:r>
    </w:p>
    <w:p>
      <w:pPr/>
      <w:r>
        <w:rPr>
          <w:rFonts w:ascii="Calibri" w:hAnsi="Calibri"/>
          <w:sz w:val="22"/>
        </w:rPr>
        <w:t>**HCM-3PT-006**</w:t>
      </w:r>
      <w:r>
        <w:rPr>
          <w:rFonts w:ascii="Calibri" w:hAnsi="Calibri"/>
          <w:b w:val="0"/>
          <w:sz w:val="22"/>
        </w:rPr>
        <w:t xml:space="preserve">   APPSolve is an Oracle integration partner. APPSolve is not a payroll service provider, payroll bureau, or payroll administrator. Where APPSolve configures a payroll interface or OIC payroll integration, the payroll calculation, tax computation, statutory filing, and payroll compliance remain the exclusive responsibility of the client and their designated payroll provider.</w:t>
      </w:r>
    </w:p>
    <w:p>
      <w:pPr>
        <w:pBdr>
          <w:bottom w:val="single" w:sz="4" w:space="1" w:color="CCCCCC"/>
        </w:pBdr>
        <w:spacing w:before="80" w:after="80"/>
      </w:pPr>
    </w:p>
    <w:p>
      <w:pPr>
        <w:pStyle w:val="Heading4"/>
        <w:keepNext/>
      </w:pPr>
      <w:r>
        <w:rPr>
          <w:rFonts w:ascii="Calibri" w:hAnsi="Calibri"/>
          <w:b w:val="0"/>
          <w:sz w:val="22"/>
        </w:rPr>
        <w:t>13. Customer Responsibilities</w:t>
      </w:r>
    </w:p>
    <w:p>
      <w:pPr/>
      <w:r>
        <w:rPr>
          <w:rFonts w:ascii="Calibri" w:hAnsi="Calibri"/>
          <w:sz w:val="22"/>
        </w:rPr>
        <w:t>**HCM-CUS-001**</w:t>
      </w:r>
      <w:r>
        <w:rPr>
          <w:rFonts w:ascii="Calibri" w:hAnsi="Calibri"/>
          <w:b w:val="0"/>
          <w:sz w:val="22"/>
        </w:rPr>
        <w:t xml:space="preserve">   The client appoints a dedicated Project Sponsor with sufficient authority to make scope decisions, approve Change Requests, escalate issues to executive level, and provide go/no-go decisions at key project milestones. The absence of an empowered Project Sponsor is a significant project risk and is the client's responsibility to address.</w:t>
      </w:r>
    </w:p>
    <w:p>
      <w:pPr/>
      <w:r>
        <w:rPr>
          <w:rFonts w:ascii="Calibri" w:hAnsi="Calibri"/>
          <w:sz w:val="22"/>
        </w:rPr>
        <w:t>**HCM-CUS-002**</w:t>
      </w:r>
      <w:r>
        <w:rPr>
          <w:rFonts w:ascii="Calibri" w:hAnsi="Calibri"/>
          <w:b w:val="0"/>
          <w:sz w:val="22"/>
        </w:rPr>
        <w:t xml:space="preserve">   The client appoints a dedicated HR Project Lead (or equivalent) who participates in the project team on a full-time or near-full-time basis throughout the implementation. The HR Project Lead is responsible for: facilitating access to subject matter experts; coordinating internal HR workshops; reviewing and approving design documents; leading UAT; and ensuring timely decisions on design questions raised by APPSolve.</w:t>
      </w:r>
    </w:p>
    <w:p>
      <w:pPr/>
      <w:r>
        <w:rPr>
          <w:rFonts w:ascii="Calibri" w:hAnsi="Calibri"/>
          <w:sz w:val="22"/>
        </w:rPr>
        <w:t>**HCM-CUS-003**</w:t>
      </w:r>
      <w:r>
        <w:rPr>
          <w:rFonts w:ascii="Calibri" w:hAnsi="Calibri"/>
          <w:b w:val="0"/>
          <w:sz w:val="22"/>
        </w:rPr>
        <w:t xml:space="preserve">   The client makes available appropriate functional subject matter experts (HR administrators, payroll administrators, IT representatives, and departmental HR leads) for workshops, design reviews, testing, and training activities as required by the project plan. Unavailability of required client resources at agreed project milestones may impact the project timeline.</w:t>
      </w:r>
    </w:p>
    <w:p>
      <w:pPr/>
      <w:r>
        <w:rPr>
          <w:rFonts w:ascii="Calibri" w:hAnsi="Calibri"/>
          <w:sz w:val="22"/>
        </w:rPr>
        <w:t>**HCM-CUS-004**</w:t>
      </w:r>
      <w:r>
        <w:rPr>
          <w:rFonts w:ascii="Calibri" w:hAnsi="Calibri"/>
          <w:b w:val="0"/>
          <w:sz w:val="22"/>
        </w:rPr>
        <w:t xml:space="preserve">   The client reviews and approves all APPSolve design documents, configuration workbooks, and test results within the agreed review turnaround period (standard: 5 business days unless otherwise agreed in the SOW). Delays in client review and approval that impact project milestones are the client's responsibility.</w:t>
      </w:r>
    </w:p>
    <w:p>
      <w:pPr/>
      <w:r>
        <w:rPr>
          <w:rFonts w:ascii="Calibri" w:hAnsi="Calibri"/>
          <w:sz w:val="22"/>
        </w:rPr>
        <w:t>**HCM-CUS-005**</w:t>
      </w:r>
      <w:r>
        <w:rPr>
          <w:rFonts w:ascii="Calibri" w:hAnsi="Calibri"/>
          <w:b w:val="0"/>
          <w:sz w:val="22"/>
        </w:rPr>
        <w:t xml:space="preserve">   The client performs all data extraction, cleansing, preparation, and loading of migration data into APPSolve-provided templates. The client assigns appropriate data stewards for each data entity (employee records, jobs and positions, grade structures, absence entitlements) to own data quality for each migration cycle.</w:t>
      </w:r>
    </w:p>
    <w:p>
      <w:pPr/>
      <w:r>
        <w:rPr>
          <w:rFonts w:ascii="Calibri" w:hAnsi="Calibri"/>
          <w:sz w:val="22"/>
        </w:rPr>
        <w:t>**HCM-CUS-006**</w:t>
      </w:r>
      <w:r>
        <w:rPr>
          <w:rFonts w:ascii="Calibri" w:hAnsi="Calibri"/>
          <w:b w:val="0"/>
          <w:sz w:val="22"/>
        </w:rPr>
        <w:t xml:space="preserve">   The client provides all business rules, policy documents, HR procedures, and process documentation required for Oracle HCM configuration. APPSolve configures Oracle HCM to the client's defined business rules. If business rules are undefined, incomplete, or contradictory, APPSolve will escalate to the client for resolution. Design decisions delayed by incomplete client business rules may impact the project timeline.</w:t>
      </w:r>
    </w:p>
    <w:p>
      <w:pPr/>
      <w:r>
        <w:rPr>
          <w:rFonts w:ascii="Calibri" w:hAnsi="Calibri"/>
          <w:sz w:val="22"/>
        </w:rPr>
        <w:t>**HCM-CUS-007**</w:t>
      </w:r>
      <w:r>
        <w:rPr>
          <w:rFonts w:ascii="Calibri" w:hAnsi="Calibri"/>
          <w:b w:val="0"/>
          <w:sz w:val="22"/>
        </w:rPr>
        <w:t xml:space="preserve">   The client is responsible for obtaining all internal approvals required for Oracle HCM go-live, including approvals from executive sponsors, IT governance bodies, POPIA/data protection officers, works councils (where applicable), and any other internal stakeholder whose approval is a prerequisite for production deployment.</w:t>
      </w:r>
    </w:p>
    <w:p>
      <w:pPr/>
      <w:r>
        <w:rPr>
          <w:rFonts w:ascii="Calibri" w:hAnsi="Calibri"/>
          <w:sz w:val="22"/>
        </w:rPr>
        <w:t>**HCM-CUS-008**</w:t>
      </w:r>
      <w:r>
        <w:rPr>
          <w:rFonts w:ascii="Calibri" w:hAnsi="Calibri"/>
          <w:b w:val="0"/>
          <w:sz w:val="22"/>
        </w:rPr>
        <w:t xml:space="preserve">   The client is responsible for all internal communication to employees, managers, and HR teams regarding the Oracle HCM implementation — including go-live announcements, system access instructions, training schedules, and post-go-live support contact details.</w:t>
      </w:r>
    </w:p>
    <w:p>
      <w:pPr/>
      <w:r>
        <w:rPr>
          <w:rFonts w:ascii="Calibri" w:hAnsi="Calibri"/>
          <w:sz w:val="22"/>
        </w:rPr>
        <w:t>**HCM-CUS-009**</w:t>
      </w:r>
      <w:r>
        <w:rPr>
          <w:rFonts w:ascii="Calibri" w:hAnsi="Calibri"/>
          <w:b w:val="0"/>
          <w:sz w:val="22"/>
        </w:rPr>
        <w:t xml:space="preserve">   The client ensures that all required Oracle user licences are procured and active before the implementation commences. APPSolve is not responsible for Oracle licence procurement, licence compliance, or licence overruns caused by the client deploying Oracle HCM to a larger user population than was contracted.</w:t>
      </w:r>
    </w:p>
    <w:p>
      <w:pPr/>
      <w:r>
        <w:rPr>
          <w:rFonts w:ascii="Calibri" w:hAnsi="Calibri"/>
          <w:sz w:val="22"/>
        </w:rPr>
        <w:t>**HCM-CUS-010**</w:t>
      </w:r>
      <w:r>
        <w:rPr>
          <w:rFonts w:ascii="Calibri" w:hAnsi="Calibri"/>
          <w:b w:val="0"/>
          <w:sz w:val="22"/>
        </w:rPr>
        <w:t xml:space="preserve">   Where after-hours access to the client's premises is required for implementation activities (for example, weekend cutover, hypercare on-call), the client provides such access to the relevant APPSolve consultants within agreed timelines.</w:t>
      </w:r>
    </w:p>
    <w:p>
      <w:pPr>
        <w:pBdr>
          <w:bottom w:val="single" w:sz="4" w:space="1" w:color="CCCCCC"/>
        </w:pBdr>
        <w:spacing w:before="80" w:after="80"/>
      </w:pPr>
    </w:p>
    <w:p>
      <w:pPr>
        <w:pStyle w:val="Heading4"/>
        <w:keepNext/>
      </w:pPr>
      <w:r>
        <w:rPr>
          <w:rFonts w:ascii="Calibri" w:hAnsi="Calibri"/>
          <w:b w:val="0"/>
          <w:sz w:val="22"/>
        </w:rPr>
        <w:t>14. General Assumptions</w:t>
      </w:r>
    </w:p>
    <w:p>
      <w:pPr/>
      <w:r>
        <w:rPr>
          <w:rFonts w:ascii="Calibri" w:hAnsi="Calibri"/>
          <w:sz w:val="22"/>
        </w:rPr>
        <w:t>**HCM-GEN-001**</w:t>
      </w:r>
      <w:r>
        <w:rPr>
          <w:rFonts w:ascii="Calibri" w:hAnsi="Calibri"/>
          <w:b w:val="0"/>
          <w:sz w:val="22"/>
        </w:rPr>
        <w:t xml:space="preserve"> </w:t>
      </w:r>
      <w:r>
        <w:rPr>
          <w:rFonts w:ascii="Calibri" w:hAnsi="Calibri"/>
          <w:sz w:val="22"/>
        </w:rPr>
        <w:t>*(Updated — BU-WP11-007)*</w:t>
      </w:r>
      <w:r>
        <w:rPr>
          <w:rFonts w:ascii="Calibri" w:hAnsi="Calibri"/>
          <w:b w:val="0"/>
          <w:sz w:val="22"/>
        </w:rPr>
        <w:t xml:space="preserve">   This engagement is delivered on a remote-first basis (videoconference, Oracle Cloud access, screen-share, and collaboration tools). The default on-site activities included in base scope are: (1) </w:t>
      </w:r>
      <w:r>
        <w:rPr>
          <w:rFonts w:ascii="Calibri" w:hAnsi="Calibri"/>
          <w:sz w:val="22"/>
        </w:rPr>
        <w:t>**UAT support**</w:t>
      </w:r>
      <w:r>
        <w:rPr>
          <w:rFonts w:ascii="Calibri" w:hAnsi="Calibri"/>
          <w:b w:val="0"/>
          <w:sz w:val="22"/>
        </w:rPr>
        <w:t xml:space="preserve"> — APPSolve facilitates on-site UAT sessions at the client's premises; (2) </w:t>
      </w:r>
      <w:r>
        <w:rPr>
          <w:rFonts w:ascii="Calibri" w:hAnsi="Calibri"/>
          <w:sz w:val="22"/>
        </w:rPr>
        <w:t>**Go-Live support**</w:t>
      </w:r>
      <w:r>
        <w:rPr>
          <w:rFonts w:ascii="Calibri" w:hAnsi="Calibri"/>
          <w:b w:val="0"/>
          <w:sz w:val="22"/>
        </w:rPr>
        <w:t xml:space="preserve"> — APPSolve senior team is on-site during the production cutover and day-one go-live. All other project activities — including project kick-off, Scope and Design workshops, CRP1 and CRP2 demonstrations — are conducted remotely unless the client specifically requests on-site facilitation and this is agreed in the SOW. Additional on-site days beyond those in the SOW are chargeable at APPSolve's standard rate card.</w:t>
      </w:r>
    </w:p>
    <w:p>
      <w:pPr/>
      <w:r>
        <w:rPr>
          <w:rFonts w:ascii="Calibri" w:hAnsi="Calibri"/>
          <w:sz w:val="22"/>
        </w:rPr>
        <w:t>**HCM-GEN-002**</w:t>
      </w:r>
      <w:r>
        <w:rPr>
          <w:rFonts w:ascii="Calibri" w:hAnsi="Calibri"/>
          <w:b w:val="0"/>
          <w:sz w:val="22"/>
        </w:rPr>
        <w:t xml:space="preserve"> </w:t>
      </w:r>
      <w:r>
        <w:rPr>
          <w:rFonts w:ascii="Calibri" w:hAnsi="Calibri"/>
          <w:sz w:val="22"/>
        </w:rPr>
        <w:t>*(Updated — BU-WP11-007)*</w:t>
      </w:r>
      <w:r>
        <w:rPr>
          <w:rFonts w:ascii="Calibri" w:hAnsi="Calibri"/>
          <w:b w:val="0"/>
          <w:sz w:val="22"/>
        </w:rPr>
        <w:t xml:space="preserve">   Travel, accommodation, and subsistence costs for APPSolve consultants attending on-site (UAT support and Go-Live support, and any additional on-site days agreed in the SOW) are for the client's account, in addition to consulting fees. APPSolve will agree a travel and expense approval process with the client before incurring any travel-related cost.</w:t>
      </w:r>
    </w:p>
    <w:p>
      <w:pPr/>
      <w:r>
        <w:rPr>
          <w:rFonts w:ascii="Calibri" w:hAnsi="Calibri"/>
          <w:sz w:val="22"/>
        </w:rPr>
        <w:t>**HCM-GEN-003**</w:t>
      </w:r>
      <w:r>
        <w:rPr>
          <w:rFonts w:ascii="Calibri" w:hAnsi="Calibri"/>
          <w:b w:val="0"/>
          <w:sz w:val="22"/>
        </w:rPr>
        <w:t xml:space="preserve">   All project communication, documentation, and deliverables are in English. Where the client requires documentation in another language, translation is the client's responsibility.</w:t>
      </w:r>
    </w:p>
    <w:p>
      <w:pPr/>
      <w:r>
        <w:rPr>
          <w:rFonts w:ascii="Calibri" w:hAnsi="Calibri"/>
          <w:sz w:val="22"/>
        </w:rPr>
        <w:t>**HCM-GEN-004**</w:t>
      </w:r>
      <w:r>
        <w:rPr>
          <w:rFonts w:ascii="Calibri" w:hAnsi="Calibri"/>
          <w:b w:val="0"/>
          <w:sz w:val="22"/>
        </w:rPr>
        <w:t xml:space="preserve">   APPSolve's standard implementation methodology is based on Oracle Unified Method (OUM) and the Oracle Customer Success Navigator. The six phases of the methodology are: Mobilize → Scope and Design → Prototype → Validate → Deploy → Evolve. The client accepts this methodology as the basis of the engagement.</w:t>
      </w:r>
    </w:p>
    <w:p>
      <w:pPr/>
      <w:r>
        <w:rPr>
          <w:rFonts w:ascii="Calibri" w:hAnsi="Calibri"/>
          <w:sz w:val="22"/>
        </w:rPr>
        <w:t>**HCM-GEN-005**</w:t>
      </w:r>
      <w:r>
        <w:rPr>
          <w:rFonts w:ascii="Calibri" w:hAnsi="Calibri"/>
          <w:b w:val="0"/>
          <w:sz w:val="22"/>
        </w:rPr>
        <w:t xml:space="preserve">   All APPSolve resources assigned to this engagement are confirmed at the time of project initiation. APPSolve will not substitute named resources without prior written notification to the client. Where substitution is unavoidable (for example, resignation, medical), APPSolve will provide a resource of equivalent or greater seniority and experience.</w:t>
      </w:r>
    </w:p>
    <w:p>
      <w:pPr/>
      <w:r>
        <w:rPr>
          <w:rFonts w:ascii="Calibri" w:hAnsi="Calibri"/>
          <w:sz w:val="22"/>
        </w:rPr>
        <w:t>**HCM-GEN-006**</w:t>
      </w:r>
      <w:r>
        <w:rPr>
          <w:rFonts w:ascii="Calibri" w:hAnsi="Calibri"/>
          <w:b w:val="0"/>
          <w:sz w:val="22"/>
        </w:rPr>
        <w:t xml:space="preserve">   This proposal covers Oracle Fusion HCM Cloud implementation only. Oracle subscription, licence, and hosting fees are payable directly by the client to Oracle Corporation and are not included in APPSolve's commercial proposal.</w:t>
      </w:r>
    </w:p>
    <w:p>
      <w:pPr/>
      <w:r>
        <w:rPr>
          <w:rFonts w:ascii="Calibri" w:hAnsi="Calibri"/>
          <w:sz w:val="22"/>
        </w:rPr>
        <w:t>**HCM-GEN-007**</w:t>
      </w:r>
      <w:r>
        <w:rPr>
          <w:rFonts w:ascii="Calibri" w:hAnsi="Calibri"/>
          <w:b w:val="0"/>
          <w:sz w:val="22"/>
        </w:rPr>
        <w:t xml:space="preserve">   The implementation timeline in this proposal is based on the scope documented at the time of submission and assumes timely client decision-making, resource availability, and data readiness. Material changes to any of these factors may require timeline revision, assessed as a formal Change Request.</w:t>
      </w:r>
    </w:p>
    <w:p>
      <w:pPr/>
      <w:r>
        <w:rPr>
          <w:rFonts w:ascii="Calibri" w:hAnsi="Calibri"/>
          <w:sz w:val="22"/>
        </w:rPr>
        <w:t>**HCM-GEN-008**</w:t>
      </w:r>
      <w:r>
        <w:rPr>
          <w:rFonts w:ascii="Calibri" w:hAnsi="Calibri"/>
          <w:b w:val="0"/>
          <w:sz w:val="22"/>
        </w:rPr>
        <w:t xml:space="preserve">   APPSolve will configure Oracle HCM to comply with applicable South African legislation (including the Basic Conditions of Employment Act, the Employment Equity Act, the POPIA, and relevant LRA requirements) as they apply to Oracle HCM configuration at the time of implementation. Changes to legislation after the design sign-off date that require configuration changes are assessed as a Change Request.</w:t>
      </w:r>
    </w:p>
    <w:p>
      <w:pPr/>
      <w:r>
        <w:rPr>
          <w:rFonts w:ascii="Calibri" w:hAnsi="Calibri"/>
          <w:sz w:val="22"/>
        </w:rPr>
        <w:t>**HCM-GEN-009**</w:t>
      </w:r>
      <w:r>
        <w:rPr>
          <w:rFonts w:ascii="Calibri" w:hAnsi="Calibri"/>
          <w:b w:val="0"/>
          <w:sz w:val="22"/>
        </w:rPr>
        <w:t xml:space="preserve">   Where this engagement spans multiple calendar years, APPSolve's standard rate card is subject to an annual escalation in line with the South African CPI, applied on 1 March each year, unless fixed rates are explicitly agreed in the SOW.</w:t>
      </w:r>
    </w:p>
    <w:p>
      <w:pPr/>
      <w:r>
        <w:rPr>
          <w:rFonts w:ascii="Calibri" w:hAnsi="Calibri"/>
          <w:sz w:val="22"/>
        </w:rPr>
        <w:t>**HCM-GEN-010**</w:t>
      </w:r>
      <w:r>
        <w:rPr>
          <w:rFonts w:ascii="Calibri" w:hAnsi="Calibri"/>
          <w:b w:val="0"/>
          <w:sz w:val="22"/>
        </w:rPr>
        <w:t xml:space="preserve">   APPSolve's maximum liability in relation to this engagement is limited to the total fees paid by the client to APPSolve under the relevant Statement of Work, as governed by APPSolve's standard Master Services Agreement.</w:t>
      </w:r>
    </w:p>
    <w:p>
      <w:pPr/>
      <w:r>
        <w:rPr>
          <w:rFonts w:ascii="Calibri" w:hAnsi="Calibri"/>
          <w:sz w:val="22"/>
        </w:rPr>
        <w:t>**HCM-JRN-001**</w:t>
      </w:r>
      <w:r>
        <w:rPr>
          <w:rFonts w:ascii="Calibri" w:hAnsi="Calibri"/>
          <w:b w:val="0"/>
          <w:sz w:val="22"/>
        </w:rPr>
        <w:t xml:space="preserve"> </w:t>
      </w:r>
      <w:r>
        <w:rPr>
          <w:rFonts w:ascii="Calibri" w:hAnsi="Calibri"/>
          <w:sz w:val="22"/>
        </w:rPr>
        <w:t>*(BU-HCM-022 — WP16D 2026-06-19)*</w:t>
      </w:r>
      <w:r>
        <w:rPr>
          <w:rFonts w:ascii="Calibri" w:hAnsi="Calibri"/>
          <w:b w:val="0"/>
          <w:sz w:val="22"/>
        </w:rPr>
        <w:t xml:space="preserve">   Oracle Journeys are configured based on the business processes identified during design workshops. Unless otherwise stated in the Statement of Work, the standard Oracle HCM implementation includes configuration of up to three (3) Oracle Journeys using Oracle-delivered functionality and standard task types. The standard implementation assumes one onboarding Journey, one internal movement Journey (transfer or promotion), and one offboarding Journey. Additional Journeys, complex conditional logic, custom integrations, external system orchestration, advanced approvals, bespoke user experiences, or Journey redesign activities are separately scoped.</w:t>
      </w:r>
    </w:p>
    <w:p>
      <w:pPr>
        <w:pBdr>
          <w:bottom w:val="single" w:sz="4" w:space="1" w:color="CCCCCC"/>
        </w:pBdr>
        <w:spacing w:before="80" w:after="80"/>
      </w:pPr>
    </w:p>
    <w:p>
      <w:pPr>
        <w:pStyle w:val="Heading4"/>
        <w:keepNext/>
      </w:pPr>
      <w:r>
        <w:rPr>
          <w:rFonts w:ascii="Calibri" w:hAnsi="Calibri"/>
          <w:b w:val="0"/>
          <w:sz w:val="22"/>
        </w:rPr>
        <w:t>15. Explicit Exclusions</w:t>
      </w:r>
    </w:p>
    <w:p>
      <w:pPr/>
      <w:r>
        <w:rPr>
          <w:rFonts w:ascii="Calibri" w:hAnsi="Calibri"/>
          <w:sz w:val="22"/>
        </w:rPr>
        <w:t>**HCM-EXC-001**</w:t>
      </w:r>
      <w:r>
        <w:rPr>
          <w:rFonts w:ascii="Calibri" w:hAnsi="Calibri"/>
          <w:b w:val="0"/>
          <w:sz w:val="22"/>
        </w:rPr>
        <w:t xml:space="preserve">   </w:t>
      </w:r>
      <w:r>
        <w:rPr>
          <w:rFonts w:ascii="Calibri" w:hAnsi="Calibri"/>
          <w:sz w:val="22"/>
        </w:rPr>
        <w:t>**Oracle Fusion Global Payroll (native):**</w:t>
      </w:r>
      <w:r>
        <w:rPr>
          <w:rFonts w:ascii="Calibri" w:hAnsi="Calibri"/>
          <w:b w:val="0"/>
          <w:sz w:val="22"/>
        </w:rPr>
        <w:t xml:space="preserve"> APPSolve does not implement Oracle Fusion Global Payroll as a payroll calculation engine in South Africa. APPSolve implements the Oracle HCM Payroll Interface to connect Oracle HCM to a third-party payroll provider via OIC. Native Oracle Fusion payroll processing, statutory payroll filing (PAYE, UIF, SDL), and payroll legislative updates are excluded from this engagement.</w:t>
      </w:r>
    </w:p>
    <w:p>
      <w:pPr/>
      <w:r>
        <w:rPr>
          <w:rFonts w:ascii="Calibri" w:hAnsi="Calibri"/>
          <w:sz w:val="22"/>
        </w:rPr>
        <w:t>**HCM-EXC-002**</w:t>
      </w:r>
      <w:r>
        <w:rPr>
          <w:rFonts w:ascii="Calibri" w:hAnsi="Calibri"/>
          <w:b w:val="0"/>
          <w:sz w:val="22"/>
        </w:rPr>
        <w:t xml:space="preserve">   </w:t>
      </w:r>
      <w:r>
        <w:rPr>
          <w:rFonts w:ascii="Calibri" w:hAnsi="Calibri"/>
          <w:sz w:val="22"/>
        </w:rPr>
        <w:t>**Organisational Change Management (OCM):**</w:t>
      </w:r>
      <w:r>
        <w:rPr>
          <w:rFonts w:ascii="Calibri" w:hAnsi="Calibri"/>
          <w:b w:val="0"/>
          <w:sz w:val="22"/>
        </w:rPr>
        <w:t xml:space="preserve"> Formal change management planning, stakeholder mapping, communication cascades, resistance management, and change readiness programmes are excluded from base scope. OCM is available as a separately priced optional service.</w:t>
      </w:r>
    </w:p>
    <w:p>
      <w:pPr/>
      <w:r>
        <w:rPr>
          <w:rFonts w:ascii="Calibri" w:hAnsi="Calibri"/>
          <w:sz w:val="22"/>
        </w:rPr>
        <w:t>**HCM-EXC-003**</w:t>
      </w:r>
      <w:r>
        <w:rPr>
          <w:rFonts w:ascii="Calibri" w:hAnsi="Calibri"/>
          <w:b w:val="0"/>
          <w:sz w:val="22"/>
        </w:rPr>
        <w:t xml:space="preserve">   </w:t>
      </w:r>
      <w:r>
        <w:rPr>
          <w:rFonts w:ascii="Calibri" w:hAnsi="Calibri"/>
          <w:sz w:val="22"/>
        </w:rPr>
        <w:t>**Custom Software Development:**</w:t>
      </w:r>
      <w:r>
        <w:rPr>
          <w:rFonts w:ascii="Calibri" w:hAnsi="Calibri"/>
          <w:b w:val="0"/>
          <w:sz w:val="22"/>
        </w:rPr>
        <w:t xml:space="preserve"> Bespoke code development, Oracle Application Framework (OAF) page personalisation, Oracle Fusion Application Composer extensions beyond standard low-code configuration, and Oracle VBCS application development are excluded from base scope. Any requirement for custom code is assessed and priced separately.</w:t>
      </w:r>
    </w:p>
    <w:p>
      <w:pPr/>
      <w:r>
        <w:rPr>
          <w:rFonts w:ascii="Calibri" w:hAnsi="Calibri"/>
          <w:sz w:val="22"/>
        </w:rPr>
        <w:t>**HCM-EXC-004**</w:t>
      </w:r>
      <w:r>
        <w:rPr>
          <w:rFonts w:ascii="Calibri" w:hAnsi="Calibri"/>
          <w:b w:val="0"/>
          <w:sz w:val="22"/>
        </w:rPr>
        <w:t xml:space="preserve">   </w:t>
      </w:r>
      <w:r>
        <w:rPr>
          <w:rFonts w:ascii="Calibri" w:hAnsi="Calibri"/>
          <w:sz w:val="22"/>
        </w:rPr>
        <w:t>**Hardware, Infrastructure, and Networking:**</w:t>
      </w:r>
      <w:r>
        <w:rPr>
          <w:rFonts w:ascii="Calibri" w:hAnsi="Calibri"/>
          <w:b w:val="0"/>
          <w:sz w:val="22"/>
        </w:rPr>
        <w:t xml:space="preserve"> Oracle Fusion HCM Cloud is a SaaS solution hosted and managed by Oracle. No hardware procurement, server deployment, network infrastructure design, or data centre services are included in this engagement.</w:t>
      </w:r>
    </w:p>
    <w:p>
      <w:pPr/>
      <w:r>
        <w:rPr>
          <w:rFonts w:ascii="Calibri" w:hAnsi="Calibri"/>
          <w:sz w:val="22"/>
        </w:rPr>
        <w:t>**HCM-EXC-005**</w:t>
      </w:r>
      <w:r>
        <w:rPr>
          <w:rFonts w:ascii="Calibri" w:hAnsi="Calibri"/>
          <w:b w:val="0"/>
          <w:sz w:val="22"/>
        </w:rPr>
        <w:t xml:space="preserve">   </w:t>
      </w:r>
      <w:r>
        <w:rPr>
          <w:rFonts w:ascii="Calibri" w:hAnsi="Calibri"/>
          <w:sz w:val="22"/>
        </w:rPr>
        <w:t>**Oracle EPM (Enterprise Performance Management):**</w:t>
      </w:r>
      <w:r>
        <w:rPr>
          <w:rFonts w:ascii="Calibri" w:hAnsi="Calibri"/>
          <w:b w:val="0"/>
          <w:sz w:val="22"/>
        </w:rPr>
        <w:t xml:space="preserve"> Oracle Fusion Workforce Planning, Oracle Planning and Budgeting Cloud, and Oracle Narrative Reporting are EPM products and are excluded from this proposal. Workforce budgeting and headcount planning beyond Oracle HCM's included analytics are not in scope.</w:t>
      </w:r>
    </w:p>
    <w:p>
      <w:pPr/>
      <w:r>
        <w:rPr>
          <w:rFonts w:ascii="Calibri" w:hAnsi="Calibri"/>
          <w:sz w:val="22"/>
        </w:rPr>
        <w:t>**HCM-EXC-006**</w:t>
      </w:r>
      <w:r>
        <w:rPr>
          <w:rFonts w:ascii="Calibri" w:hAnsi="Calibri"/>
          <w:b w:val="0"/>
          <w:sz w:val="22"/>
        </w:rPr>
        <w:t xml:space="preserve">   </w:t>
      </w:r>
      <w:r>
        <w:rPr>
          <w:rFonts w:ascii="Calibri" w:hAnsi="Calibri"/>
          <w:sz w:val="22"/>
        </w:rPr>
        <w:t>**Oracle University Training:**</w:t>
      </w:r>
      <w:r>
        <w:rPr>
          <w:rFonts w:ascii="Calibri" w:hAnsi="Calibri"/>
          <w:b w:val="0"/>
          <w:sz w:val="22"/>
        </w:rPr>
        <w:t xml:space="preserve"> Oracle-branded training courses and Oracle Learning Subscriptions are not included in this proposal. Oracle University training is available directly from Oracle Corporation and is the client's direct commercial relationship.</w:t>
      </w:r>
    </w:p>
    <w:p>
      <w:pPr/>
      <w:r>
        <w:rPr>
          <w:rFonts w:ascii="Calibri" w:hAnsi="Calibri"/>
          <w:sz w:val="22"/>
        </w:rPr>
        <w:t>**HCM-EXC-007**</w:t>
      </w:r>
      <w:r>
        <w:rPr>
          <w:rFonts w:ascii="Calibri" w:hAnsi="Calibri"/>
          <w:b w:val="0"/>
          <w:sz w:val="22"/>
        </w:rPr>
        <w:t xml:space="preserve">   </w:t>
      </w:r>
      <w:r>
        <w:rPr>
          <w:rFonts w:ascii="Calibri" w:hAnsi="Calibri"/>
          <w:sz w:val="22"/>
        </w:rPr>
        <w:t>**Legacy System Support:**</w:t>
      </w:r>
      <w:r>
        <w:rPr>
          <w:rFonts w:ascii="Calibri" w:hAnsi="Calibri"/>
          <w:b w:val="0"/>
          <w:sz w:val="22"/>
        </w:rPr>
        <w:t xml:space="preserve"> Continued support, maintenance, or enhancement of the client's legacy HR system(s) during or after the Oracle HCM implementation is excluded from this engagement.</w:t>
      </w:r>
    </w:p>
    <w:p>
      <w:pPr/>
      <w:r>
        <w:rPr>
          <w:rFonts w:ascii="Calibri" w:hAnsi="Calibri"/>
          <w:sz w:val="22"/>
        </w:rPr>
        <w:t>**HCM-EXC-008**</w:t>
      </w:r>
      <w:r>
        <w:rPr>
          <w:rFonts w:ascii="Calibri" w:hAnsi="Calibri"/>
          <w:b w:val="0"/>
          <w:sz w:val="22"/>
        </w:rPr>
        <w:t xml:space="preserve">   </w:t>
      </w:r>
      <w:r>
        <w:rPr>
          <w:rFonts w:ascii="Calibri" w:hAnsi="Calibri"/>
          <w:sz w:val="22"/>
        </w:rPr>
        <w:t>**Data Archival and Legacy System Decommissioning:**</w:t>
      </w:r>
      <w:r>
        <w:rPr>
          <w:rFonts w:ascii="Calibri" w:hAnsi="Calibri"/>
          <w:b w:val="0"/>
          <w:sz w:val="22"/>
        </w:rPr>
        <w:t xml:space="preserve"> Archiving, purging, or decommissioning of data in the client's legacy HR system after Oracle HCM go-live is excluded from this engagement.</w:t>
      </w:r>
    </w:p>
    <w:p>
      <w:pPr/>
      <w:r>
        <w:rPr>
          <w:rFonts w:ascii="Calibri" w:hAnsi="Calibri"/>
          <w:sz w:val="22"/>
        </w:rPr>
        <w:t>**HCM-EXC-009**</w:t>
      </w:r>
      <w:r>
        <w:rPr>
          <w:rFonts w:ascii="Calibri" w:hAnsi="Calibri"/>
          <w:b w:val="0"/>
          <w:sz w:val="22"/>
        </w:rPr>
        <w:t xml:space="preserve">   </w:t>
      </w:r>
      <w:r>
        <w:rPr>
          <w:rFonts w:ascii="Calibri" w:hAnsi="Calibri"/>
          <w:sz w:val="22"/>
        </w:rPr>
        <w:t>**Third-Party Vendor Integration Effort:**</w:t>
      </w:r>
      <w:r>
        <w:rPr>
          <w:rFonts w:ascii="Calibri" w:hAnsi="Calibri"/>
          <w:b w:val="0"/>
          <w:sz w:val="22"/>
        </w:rPr>
        <w:t xml:space="preserve"> APPSolve designs and configures the Oracle OIC side of agreed integrations. Third-party vendor-side integration development, vendor API changes, vendor project management, and vendor testing resources are excluded from this engagement.</w:t>
      </w:r>
    </w:p>
    <w:p>
      <w:pPr/>
      <w:r>
        <w:rPr>
          <w:rFonts w:ascii="Calibri" w:hAnsi="Calibri"/>
          <w:sz w:val="22"/>
        </w:rPr>
        <w:t>**HCM-EXC-010**</w:t>
      </w:r>
      <w:r>
        <w:rPr>
          <w:rFonts w:ascii="Calibri" w:hAnsi="Calibri"/>
          <w:b w:val="0"/>
          <w:sz w:val="22"/>
        </w:rPr>
        <w:t xml:space="preserve">   </w:t>
      </w:r>
      <w:r>
        <w:rPr>
          <w:rFonts w:ascii="Calibri" w:hAnsi="Calibri"/>
          <w:sz w:val="22"/>
        </w:rPr>
        <w:t>**POPIA Compliance Programme:**</w:t>
      </w:r>
      <w:r>
        <w:rPr>
          <w:rFonts w:ascii="Calibri" w:hAnsi="Calibri"/>
          <w:b w:val="0"/>
          <w:sz w:val="22"/>
        </w:rPr>
        <w:t xml:space="preserve"> While APPSolve configures Oracle HCM in a manner consistent with POPIA principles (data minimisation, consent management where supported by Oracle), APPSolve does not provide legal advice on POPIA compliance, conduct POPIA risk assessments, or act as the client's Information Officer. The client retains sole responsibility for POPIA compliance.</w:t>
      </w:r>
    </w:p>
    <w:p>
      <w:pPr/>
      <w:r>
        <w:rPr>
          <w:rFonts w:ascii="Calibri" w:hAnsi="Calibri"/>
          <w:sz w:val="22"/>
        </w:rPr>
        <w:t>**HCM-EXC-011**</w:t>
      </w:r>
      <w:r>
        <w:rPr>
          <w:rFonts w:ascii="Calibri" w:hAnsi="Calibri"/>
          <w:b w:val="0"/>
          <w:sz w:val="22"/>
        </w:rPr>
        <w:t xml:space="preserve">   </w:t>
      </w:r>
      <w:r>
        <w:rPr>
          <w:rFonts w:ascii="Calibri" w:hAnsi="Calibri"/>
          <w:sz w:val="22"/>
        </w:rPr>
        <w:t>**End-User Helpdesk and Level 1 Support:**</w:t>
      </w:r>
      <w:r>
        <w:rPr>
          <w:rFonts w:ascii="Calibri" w:hAnsi="Calibri"/>
          <w:b w:val="0"/>
          <w:sz w:val="22"/>
        </w:rPr>
        <w:t xml:space="preserve"> First-line user support for Oracle HCM end users (password resets, navigation assistance, basic user queries) is excluded from the implementation scope. The client's IT helpdesk is responsible for Level 1 support. APPSolve provides Level 2 and Level 3 configuration and functional support through the AMS service.</w:t>
      </w:r>
    </w:p>
    <w:p>
      <w:pPr/>
      <w:r>
        <w:rPr>
          <w:rFonts w:ascii="Calibri" w:hAnsi="Calibri"/>
          <w:sz w:val="22"/>
        </w:rPr>
        <w:t>**HCM-EXC-012**</w:t>
      </w:r>
      <w:r>
        <w:rPr>
          <w:rFonts w:ascii="Calibri" w:hAnsi="Calibri"/>
          <w:b w:val="0"/>
          <w:sz w:val="22"/>
        </w:rPr>
        <w:t xml:space="preserve">   </w:t>
      </w:r>
      <w:r>
        <w:rPr>
          <w:rFonts w:ascii="Calibri" w:hAnsi="Calibri"/>
          <w:sz w:val="22"/>
        </w:rPr>
        <w:t>**Report Development for Statutory Regulatory Submissions:**</w:t>
      </w:r>
      <w:r>
        <w:rPr>
          <w:rFonts w:ascii="Calibri" w:hAnsi="Calibri"/>
          <w:b w:val="0"/>
          <w:sz w:val="22"/>
        </w:rPr>
        <w:t xml:space="preserve"> APPSolve does not prepare, validate, or submit statutory reports on behalf of the client (including EEA2/EEA4 Employment Equity reports, Workplace Skills Plans (WSP), Annual Training Reports (ATR), or PAYE/UIF/SDL reconciliations). APPSolve configures Oracle HCM to hold the data required for these reports; the extraction, validation, and submission of statutory reports to the relevant authority is the client's responsibility.</w:t>
      </w:r>
    </w:p>
    <w:p>
      <w:pPr>
        <w:pBdr>
          <w:bottom w:val="single" w:sz="4" w:space="1" w:color="CCCCCC"/>
        </w:pBdr>
        <w:spacing w:before="80" w:after="80"/>
      </w:pPr>
    </w:p>
    <w:p>
      <w:pPr>
        <w:pStyle w:val="Heading4"/>
        <w:keepNext/>
      </w:pPr>
      <w:r>
        <w:rPr>
          <w:rFonts w:ascii="Calibri" w:hAnsi="Calibri"/>
          <w:b w:val="0"/>
          <w:sz w:val="22"/>
        </w:rPr>
        <w:t>BU Lead Decisions — Applied</w:t>
      </w:r>
    </w:p>
    <w:p>
      <w:pPr/>
      <w:r>
        <w:rPr>
          <w:rFonts w:ascii="Calibri" w:hAnsi="Calibri"/>
          <w:b w:val="0"/>
          <w:sz w:val="22"/>
        </w:rPr>
        <w:t>All eight BU Lead decisions have been applied. No open items remain. This document is Approved.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Assumptions Affected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payroll run INCLUDED by default where payroll replacement is in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HCM-CUT-005 reversed (Exclusion → Assumption); HCM-CUT-008 added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environment; no implication of multiple non-production tenants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HCM-ENV-003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4-week hypercare is contractual default (not guideline); business hours; defect/stabilisation only; enhancements excluded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HCM-HYP-001/002/003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Management is APPSolve default; Position Management excluded unless explicitly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HCM-ORG-006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 custom job roles included: Employee, Line Manager, HR Administrator, 1 additional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HCM-SEC-002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CRP1=Design Validation; CRP2=End-to-End Validation; 2 CRP cycles is APPSolve standard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HCM-TST-003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on-site = UAT support + Go-Live support only; all other activities remote-first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HCM-GEN-001/002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BU-HCM-022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Journey count = 3 (Onboarding + Internal Transfer/Promotion + Offboarding); additional Journeys separately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HCM-JRN-001 added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2026-06-19 (WP16D)</w:t>
            </w:r>
          </w:p>
        </w:tc>
      </w:tr>
    </w:tbl>
    <w:p>
      <w:pPr>
        <w:spacing w:before="0" w:after="120"/>
      </w:pPr>
    </w:p>
    <w:p>
      <w:pPr>
        <w:pBdr>
          <w:bottom w:val="single" w:sz="4" w:space="1" w:color="CCCCCC"/>
        </w:pBdr>
        <w:spacing w:before="80" w:after="80"/>
      </w:pPr>
    </w:p>
    <w:p>
      <w:pPr>
        <w:pStyle w:val="Heading3"/>
        <w:keepNext/>
      </w:pPr>
      <w:r>
        <w:rPr>
          <w:rFonts w:ascii="Calibri" w:hAnsi="Calibri"/>
          <w:b w:val="0"/>
          <w:sz w:val="26"/>
        </w:rPr>
        <w:t>Oracle Fusion Recruiting Cloud — Assumptions V1.0</w:t>
      </w:r>
    </w:p>
    <w:p>
      <w:pPr/>
      <w:r>
        <w:rPr>
          <w:rFonts w:ascii="Calibri" w:hAnsi="Calibri"/>
          <w:sz w:val="22"/>
        </w:rPr>
        <w:t>**Load order:**</w:t>
      </w:r>
      <w:r>
        <w:rPr>
          <w:rFonts w:ascii="Calibri" w:hAnsi="Calibri"/>
          <w:b w:val="0"/>
          <w:sz w:val="22"/>
        </w:rPr>
        <w:t xml:space="preserve"> HCM Base Assumptions (complete) → this pack (additive). Do not use this pack without first including HCM Base.</w:t>
      </w:r>
    </w:p>
    <w:p>
      <w:pPr>
        <w:pBdr>
          <w:bottom w:val="single" w:sz="4" w:space="1" w:color="CCCCCC"/>
        </w:pBdr>
        <w:spacing w:before="80" w:after="80"/>
      </w:pPr>
    </w:p>
    <w:p>
      <w:pPr>
        <w:pStyle w:val="Heading4"/>
        <w:keepNext/>
      </w:pPr>
      <w:r>
        <w:rPr>
          <w:rFonts w:ascii="Calibri" w:hAnsi="Calibri"/>
          <w:b w:val="0"/>
          <w:sz w:val="22"/>
        </w:rPr>
        <w:t>16. Career Site Assumptions</w:t>
      </w:r>
    </w:p>
    <w:p>
      <w:pPr/>
      <w:r>
        <w:rPr>
          <w:rFonts w:ascii="Calibri" w:hAnsi="Calibri"/>
          <w:sz w:val="22"/>
        </w:rPr>
        <w:t>**REC-SIT-001**</w:t>
      </w:r>
      <w:r>
        <w:rPr>
          <w:rFonts w:ascii="Calibri" w:hAnsi="Calibri"/>
          <w:b w:val="0"/>
          <w:sz w:val="22"/>
        </w:rPr>
        <w:t xml:space="preserve">   The default Oracle Recruiting career site configuration includes: one (1) external career site (branded and publicly accessible, designed for external candidates); one (1) internal career site (accessible to current employees for internal mobility and referrals); and one (1) agency/recruiter portal (accessible to approved external recruiting agencies). Each additional career site type beyond this default constitutes a scope change requiring a Change Request.</w:t>
      </w:r>
    </w:p>
    <w:p>
      <w:pPr>
        <w:pBdr>
          <w:bottom w:val="single" w:sz="4" w:space="1" w:color="CCCCCC"/>
        </w:pBdr>
        <w:spacing w:before="80" w:after="80"/>
      </w:pPr>
    </w:p>
    <w:p>
      <w:pPr>
        <w:pStyle w:val="Heading4"/>
        <w:keepNext/>
      </w:pPr>
      <w:r>
        <w:rPr>
          <w:rFonts w:ascii="Calibri" w:hAnsi="Calibri"/>
          <w:b w:val="0"/>
          <w:sz w:val="22"/>
        </w:rPr>
        <w:t>17. Requisition Assumptions</w:t>
      </w:r>
    </w:p>
    <w:p>
      <w:pPr>
        <w:pBdr>
          <w:bottom w:val="single" w:sz="4" w:space="1" w:color="CCCCCC"/>
        </w:pBdr>
        <w:spacing w:before="80" w:after="80"/>
      </w:pPr>
    </w:p>
    <w:p>
      <w:pPr>
        <w:pStyle w:val="Heading4"/>
        <w:keepNext/>
      </w:pPr>
      <w:r>
        <w:rPr>
          <w:rFonts w:ascii="Calibri" w:hAnsi="Calibri"/>
          <w:b w:val="0"/>
          <w:sz w:val="22"/>
        </w:rPr>
        <w:t>18. Candidate Migration Assumptions</w:t>
      </w:r>
    </w:p>
    <w:p>
      <w:pPr>
        <w:pBdr>
          <w:bottom w:val="single" w:sz="4" w:space="1" w:color="CCCCCC"/>
        </w:pBdr>
        <w:spacing w:before="80" w:after="80"/>
      </w:pPr>
    </w:p>
    <w:p>
      <w:pPr>
        <w:pStyle w:val="Heading4"/>
        <w:keepNext/>
      </w:pPr>
      <w:r>
        <w:rPr>
          <w:rFonts w:ascii="Calibri" w:hAnsi="Calibri"/>
          <w:b w:val="0"/>
          <w:sz w:val="22"/>
        </w:rPr>
        <w:t>19. Recruiting Agency Assumptions</w:t>
      </w:r>
    </w:p>
    <w:p>
      <w:pPr>
        <w:pBdr>
          <w:bottom w:val="single" w:sz="4" w:space="1" w:color="CCCCCC"/>
        </w:pBdr>
        <w:spacing w:before="80" w:after="80"/>
      </w:pPr>
    </w:p>
    <w:p>
      <w:pPr>
        <w:pStyle w:val="Heading4"/>
        <w:keepNext/>
      </w:pPr>
      <w:r>
        <w:rPr>
          <w:rFonts w:ascii="Calibri" w:hAnsi="Calibri"/>
          <w:b w:val="0"/>
          <w:sz w:val="22"/>
        </w:rPr>
        <w:t>20. Offer Management Assumptions</w:t>
      </w:r>
    </w:p>
    <w:p>
      <w:pPr>
        <w:pBdr>
          <w:bottom w:val="single" w:sz="4" w:space="1" w:color="CCCCCC"/>
        </w:pBdr>
        <w:spacing w:before="80" w:after="80"/>
      </w:pPr>
    </w:p>
    <w:p>
      <w:pPr>
        <w:pStyle w:val="Heading4"/>
        <w:keepNext/>
      </w:pPr>
      <w:r>
        <w:rPr>
          <w:rFonts w:ascii="Calibri" w:hAnsi="Calibri"/>
          <w:b w:val="0"/>
          <w:sz w:val="22"/>
        </w:rPr>
        <w:t>21. Interview Scheduling Assumptions</w:t>
      </w:r>
    </w:p>
    <w:p>
      <w:pPr>
        <w:pBdr>
          <w:bottom w:val="single" w:sz="4" w:space="1" w:color="CCCCCC"/>
        </w:pBdr>
        <w:spacing w:before="80" w:after="80"/>
      </w:pPr>
    </w:p>
    <w:p>
      <w:pPr>
        <w:pStyle w:val="Heading4"/>
        <w:keepNext/>
      </w:pPr>
      <w:r>
        <w:rPr>
          <w:rFonts w:ascii="Calibri" w:hAnsi="Calibri"/>
          <w:b w:val="0"/>
          <w:sz w:val="22"/>
        </w:rPr>
        <w:t>22. LinkedIn Integration Assumptions</w:t>
      </w:r>
    </w:p>
    <w:p>
      <w:pPr>
        <w:pBdr>
          <w:bottom w:val="single" w:sz="4" w:space="1" w:color="CCCCCC"/>
        </w:pBdr>
        <w:spacing w:before="80" w:after="80"/>
      </w:pPr>
    </w:p>
    <w:p>
      <w:pPr>
        <w:pStyle w:val="Heading4"/>
        <w:keepNext/>
      </w:pPr>
      <w:r>
        <w:rPr>
          <w:rFonts w:ascii="Calibri" w:hAnsi="Calibri"/>
          <w:b w:val="0"/>
          <w:sz w:val="22"/>
        </w:rPr>
        <w:t>23. Recruiting Reporting Assumptions</w:t>
      </w:r>
    </w:p>
    <w:p>
      <w:pPr>
        <w:pBdr>
          <w:bottom w:val="single" w:sz="4" w:space="1" w:color="CCCCCC"/>
        </w:pBdr>
        <w:spacing w:before="80" w:after="80"/>
      </w:pPr>
    </w:p>
    <w:p>
      <w:pPr>
        <w:pStyle w:val="Heading4"/>
        <w:keepNext/>
      </w:pPr>
      <w:r>
        <w:rPr>
          <w:rFonts w:ascii="Calibri" w:hAnsi="Calibri"/>
          <w:b w:val="0"/>
          <w:sz w:val="22"/>
        </w:rPr>
        <w:t>24. Recruiting Booster Assumptions</w:t>
      </w:r>
    </w:p>
    <w:p>
      <w:pPr>
        <w:pBdr>
          <w:bottom w:val="single" w:sz="4" w:space="1" w:color="CCCCCC"/>
        </w:pBdr>
        <w:spacing w:before="80" w:after="80"/>
      </w:pPr>
    </w:p>
    <w:p>
      <w:pPr>
        <w:pStyle w:val="Heading4"/>
        <w:keepNext/>
      </w:pPr>
      <w:r>
        <w:rPr>
          <w:rFonts w:ascii="Calibri" w:hAnsi="Calibri"/>
          <w:b w:val="0"/>
          <w:sz w:val="22"/>
        </w:rPr>
        <w:t>25. Recruiting Security Assumptions</w:t>
      </w:r>
    </w:p>
    <w:p>
      <w:pPr>
        <w:pBdr>
          <w:bottom w:val="single" w:sz="4" w:space="1" w:color="CCCCCC"/>
        </w:pBdr>
        <w:spacing w:before="80" w:after="80"/>
      </w:pPr>
    </w:p>
    <w:p>
      <w:pPr>
        <w:pStyle w:val="Heading4"/>
        <w:keepNext/>
      </w:pPr>
      <w:r>
        <w:rPr>
          <w:rFonts w:ascii="Calibri" w:hAnsi="Calibri"/>
          <w:b w:val="0"/>
          <w:sz w:val="22"/>
        </w:rPr>
        <w:t>26. Recruiting Training Assumptions</w:t>
      </w:r>
    </w:p>
    <w:p>
      <w:pPr>
        <w:pBdr>
          <w:bottom w:val="single" w:sz="4" w:space="1" w:color="CCCCCC"/>
        </w:pBdr>
        <w:spacing w:before="80" w:after="80"/>
      </w:pPr>
    </w:p>
    <w:p>
      <w:pPr>
        <w:pStyle w:val="Heading4"/>
        <w:keepNext/>
      </w:pPr>
      <w:r>
        <w:rPr>
          <w:rFonts w:ascii="Calibri" w:hAnsi="Calibri"/>
          <w:b w:val="0"/>
          <w:sz w:val="22"/>
        </w:rPr>
        <w:t>27. Recruiting Exclusions</w:t>
      </w:r>
    </w:p>
    <w:p>
      <w:pPr>
        <w:pStyle w:val="Heading3"/>
        <w:keepNext/>
      </w:pPr>
      <w:r>
        <w:rPr>
          <w:rFonts w:ascii="Calibri" w:hAnsi="Calibri"/>
          <w:b w:val="0"/>
          <w:sz w:val="26"/>
        </w:rPr>
        <w:t>Oracle Fusion Learning Cloud — Assumptions V1.0</w:t>
      </w:r>
    </w:p>
    <w:p>
      <w:pPr>
        <w:pBdr>
          <w:bottom w:val="single" w:sz="4" w:space="1" w:color="CCCCCC"/>
        </w:pBdr>
        <w:spacing w:before="80" w:after="80"/>
      </w:pPr>
    </w:p>
    <w:p>
      <w:pPr>
        <w:pStyle w:val="Heading4"/>
        <w:keepNext/>
      </w:pPr>
      <w:r>
        <w:rPr>
          <w:rFonts w:ascii="Calibri" w:hAnsi="Calibri"/>
          <w:b w:val="0"/>
          <w:sz w:val="22"/>
        </w:rPr>
        <w:t>28. Learning Content Assumptions</w:t>
      </w:r>
    </w:p>
    <w:p>
      <w:pPr>
        <w:pBdr>
          <w:bottom w:val="single" w:sz="4" w:space="1" w:color="CCCCCC"/>
        </w:pBdr>
        <w:spacing w:before="80" w:after="80"/>
      </w:pPr>
    </w:p>
    <w:p>
      <w:pPr>
        <w:pStyle w:val="Heading4"/>
        <w:keepNext/>
      </w:pPr>
      <w:r>
        <w:rPr>
          <w:rFonts w:ascii="Calibri" w:hAnsi="Calibri"/>
          <w:b w:val="0"/>
          <w:sz w:val="22"/>
        </w:rPr>
        <w:t>29. Learning Platform Configuration</w:t>
      </w:r>
    </w:p>
    <w:p>
      <w:pPr>
        <w:pBdr>
          <w:bottom w:val="single" w:sz="4" w:space="1" w:color="CCCCCC"/>
        </w:pBdr>
        <w:spacing w:before="80" w:after="80"/>
      </w:pPr>
    </w:p>
    <w:p>
      <w:pPr>
        <w:pStyle w:val="Heading4"/>
        <w:keepNext/>
      </w:pPr>
      <w:r>
        <w:rPr>
          <w:rFonts w:ascii="Calibri" w:hAnsi="Calibri"/>
          <w:b w:val="0"/>
          <w:sz w:val="22"/>
        </w:rPr>
        <w:t>30. AI and Personalised Learning</w:t>
      </w:r>
    </w:p>
    <w:p>
      <w:pPr>
        <w:pBdr>
          <w:bottom w:val="single" w:sz="4" w:space="1" w:color="CCCCCC"/>
        </w:pBdr>
        <w:spacing w:before="80" w:after="80"/>
      </w:pPr>
    </w:p>
    <w:p>
      <w:pPr>
        <w:pStyle w:val="Heading4"/>
        <w:keepNext/>
      </w:pPr>
      <w:r>
        <w:rPr>
          <w:rFonts w:ascii="Calibri" w:hAnsi="Calibri"/>
          <w:b w:val="0"/>
          <w:sz w:val="22"/>
        </w:rPr>
        <w:t>31. Statutory Compliance and Reporting (SETA / WSP / ATR)</w:t>
      </w:r>
    </w:p>
    <w:p>
      <w:pPr>
        <w:pBdr>
          <w:bottom w:val="single" w:sz="4" w:space="1" w:color="CCCCCC"/>
        </w:pBdr>
        <w:spacing w:before="80" w:after="80"/>
      </w:pPr>
    </w:p>
    <w:p>
      <w:pPr>
        <w:pStyle w:val="Heading4"/>
        <w:keepNext/>
      </w:pPr>
      <w:r>
        <w:rPr>
          <w:rFonts w:ascii="Calibri" w:hAnsi="Calibri"/>
          <w:b w:val="0"/>
          <w:sz w:val="22"/>
        </w:rPr>
        <w:t>32. Third-Party Learning System Integration</w:t>
      </w:r>
    </w:p>
    <w:p>
      <w:pPr>
        <w:pBdr>
          <w:bottom w:val="single" w:sz="4" w:space="1" w:color="CCCCCC"/>
        </w:pBdr>
        <w:spacing w:before="80" w:after="80"/>
      </w:pPr>
    </w:p>
    <w:p>
      <w:pPr>
        <w:pStyle w:val="Heading4"/>
        <w:keepNext/>
      </w:pPr>
      <w:r>
        <w:rPr>
          <w:rFonts w:ascii="Calibri" w:hAnsi="Calibri"/>
          <w:b w:val="0"/>
          <w:sz w:val="22"/>
        </w:rPr>
        <w:t>33. Learning Data Migration</w:t>
      </w:r>
    </w:p>
    <w:p>
      <w:pPr>
        <w:pBdr>
          <w:bottom w:val="single" w:sz="4" w:space="1" w:color="CCCCCC"/>
        </w:pBdr>
        <w:spacing w:before="80" w:after="80"/>
      </w:pPr>
    </w:p>
    <w:p>
      <w:pPr>
        <w:pStyle w:val="Heading4"/>
        <w:keepNext/>
      </w:pPr>
      <w:r>
        <w:rPr>
          <w:rFonts w:ascii="Calibri" w:hAnsi="Calibri"/>
          <w:b w:val="0"/>
          <w:sz w:val="22"/>
        </w:rPr>
        <w:t>34. Learning Training and Administration Assumptions</w:t>
      </w:r>
    </w:p>
    <w:p>
      <w:pPr>
        <w:pBdr>
          <w:bottom w:val="single" w:sz="4" w:space="1" w:color="CCCCCC"/>
        </w:pBdr>
        <w:spacing w:before="80" w:after="80"/>
      </w:pPr>
    </w:p>
    <w:p>
      <w:pPr>
        <w:pStyle w:val="Heading4"/>
        <w:keepNext/>
      </w:pPr>
      <w:r>
        <w:rPr>
          <w:rFonts w:ascii="Calibri" w:hAnsi="Calibri"/>
          <w:b w:val="0"/>
          <w:sz w:val="22"/>
        </w:rPr>
        <w:t>35. Learning Exclusions</w:t>
      </w:r>
    </w:p>
    <w:p>
      <w:pPr>
        <w:pStyle w:val="Heading3"/>
        <w:keepNext/>
      </w:pPr>
      <w:r>
        <w:rPr>
          <w:rFonts w:ascii="Calibri" w:hAnsi="Calibri"/>
          <w:b w:val="0"/>
          <w:sz w:val="26"/>
        </w:rPr>
        <w:t>Oracle Fusion Talent Management — Assumptions V1.0</w:t>
      </w:r>
    </w:p>
    <w:p>
      <w:pPr>
        <w:pBdr>
          <w:bottom w:val="single" w:sz="4" w:space="1" w:color="CCCCCC"/>
        </w:pBdr>
        <w:spacing w:before="80" w:after="80"/>
      </w:pPr>
    </w:p>
    <w:p>
      <w:pPr>
        <w:pStyle w:val="Heading4"/>
        <w:keepNext/>
      </w:pPr>
      <w:r>
        <w:rPr>
          <w:rFonts w:ascii="Calibri" w:hAnsi="Calibri"/>
          <w:b w:val="0"/>
          <w:sz w:val="22"/>
        </w:rPr>
        <w:t>36. Performance Management Assumptions</w:t>
      </w:r>
    </w:p>
    <w:p>
      <w:pPr>
        <w:pBdr>
          <w:bottom w:val="single" w:sz="4" w:space="1" w:color="CCCCCC"/>
        </w:pBdr>
        <w:spacing w:before="80" w:after="80"/>
      </w:pPr>
    </w:p>
    <w:p>
      <w:pPr>
        <w:pStyle w:val="Heading4"/>
        <w:keepNext/>
      </w:pPr>
      <w:r>
        <w:rPr>
          <w:rFonts w:ascii="Calibri" w:hAnsi="Calibri"/>
          <w:b w:val="0"/>
          <w:sz w:val="22"/>
        </w:rPr>
        <w:t>37. Goal Management Assumptions</w:t>
      </w:r>
    </w:p>
    <w:p>
      <w:pPr>
        <w:pBdr>
          <w:bottom w:val="single" w:sz="4" w:space="1" w:color="CCCCCC"/>
        </w:pBdr>
        <w:spacing w:before="80" w:after="80"/>
      </w:pPr>
    </w:p>
    <w:p>
      <w:pPr>
        <w:pStyle w:val="Heading4"/>
        <w:keepNext/>
      </w:pPr>
      <w:r>
        <w:rPr>
          <w:rFonts w:ascii="Calibri" w:hAnsi="Calibri"/>
          <w:b w:val="0"/>
          <w:sz w:val="22"/>
        </w:rPr>
        <w:t>38. Talent Review and Succession Assumptions</w:t>
      </w:r>
    </w:p>
    <w:p>
      <w:pPr>
        <w:pBdr>
          <w:bottom w:val="single" w:sz="4" w:space="1" w:color="CCCCCC"/>
        </w:pBdr>
        <w:spacing w:before="80" w:after="80"/>
      </w:pPr>
    </w:p>
    <w:p>
      <w:pPr>
        <w:pStyle w:val="Heading4"/>
        <w:keepNext/>
      </w:pPr>
      <w:r>
        <w:rPr>
          <w:rFonts w:ascii="Calibri" w:hAnsi="Calibri"/>
          <w:b w:val="0"/>
          <w:sz w:val="22"/>
        </w:rPr>
        <w:t>39. Career Development Assumptions</w:t>
      </w:r>
    </w:p>
    <w:p>
      <w:pPr>
        <w:pBdr>
          <w:bottom w:val="single" w:sz="4" w:space="1" w:color="CCCCCC"/>
        </w:pBdr>
        <w:spacing w:before="80" w:after="80"/>
      </w:pPr>
    </w:p>
    <w:p>
      <w:pPr>
        <w:pStyle w:val="Heading4"/>
        <w:keepNext/>
      </w:pPr>
      <w:r>
        <w:rPr>
          <w:rFonts w:ascii="Calibri" w:hAnsi="Calibri"/>
          <w:b w:val="0"/>
          <w:sz w:val="22"/>
        </w:rPr>
        <w:t>40. Talent Profile Assumptions</w:t>
      </w:r>
    </w:p>
    <w:p>
      <w:pPr>
        <w:pBdr>
          <w:bottom w:val="single" w:sz="4" w:space="1" w:color="CCCCCC"/>
        </w:pBdr>
        <w:spacing w:before="80" w:after="80"/>
      </w:pPr>
    </w:p>
    <w:p>
      <w:pPr>
        <w:pStyle w:val="Heading4"/>
        <w:keepNext/>
      </w:pPr>
      <w:r>
        <w:rPr>
          <w:rFonts w:ascii="Calibri" w:hAnsi="Calibri"/>
          <w:b w:val="0"/>
          <w:sz w:val="22"/>
        </w:rPr>
        <w:t>41. Talent Management Training Assumptions</w:t>
      </w:r>
    </w:p>
    <w:p>
      <w:pPr>
        <w:pBdr>
          <w:bottom w:val="single" w:sz="4" w:space="1" w:color="CCCCCC"/>
        </w:pBdr>
        <w:spacing w:before="80" w:after="80"/>
      </w:pPr>
    </w:p>
    <w:p>
      <w:pPr>
        <w:pStyle w:val="Heading4"/>
        <w:keepNext/>
      </w:pPr>
      <w:r>
        <w:rPr>
          <w:rFonts w:ascii="Calibri" w:hAnsi="Calibri"/>
          <w:b w:val="0"/>
          <w:sz w:val="22"/>
        </w:rPr>
        <w:t>42. Talent Management Exclusions</w:t>
      </w:r>
    </w:p>
    <w:p>
      <w:pPr>
        <w:pStyle w:val="Heading3"/>
        <w:keepNext/>
      </w:pPr>
      <w:r>
        <w:rPr>
          <w:rFonts w:ascii="Calibri" w:hAnsi="Calibri"/>
          <w:b w:val="0"/>
          <w:sz w:val="26"/>
        </w:rPr>
        <w:t>Oracle Integration Cloud (OIC) — Assumptions V1.0</w:t>
      </w:r>
    </w:p>
    <w:p>
      <w:pPr>
        <w:pBdr>
          <w:bottom w:val="single" w:sz="4" w:space="1" w:color="CCCCCC"/>
        </w:pBdr>
        <w:spacing w:before="80" w:after="80"/>
      </w:pPr>
    </w:p>
    <w:p>
      <w:pPr>
        <w:pStyle w:val="Heading4"/>
        <w:keepNext/>
      </w:pPr>
      <w:r>
        <w:rPr>
          <w:rFonts w:ascii="Calibri" w:hAnsi="Calibri"/>
          <w:b w:val="0"/>
          <w:sz w:val="22"/>
        </w:rPr>
        <w:t>51. Scope Assumptions</w:t>
      </w:r>
    </w:p>
    <w:p>
      <w:pPr>
        <w:pBdr>
          <w:bottom w:val="single" w:sz="4" w:space="1" w:color="CCCCCC"/>
        </w:pBdr>
        <w:spacing w:before="80" w:after="80"/>
      </w:pPr>
    </w:p>
    <w:p>
      <w:pPr>
        <w:pStyle w:val="Heading4"/>
        <w:keepNext/>
      </w:pPr>
      <w:r>
        <w:rPr>
          <w:rFonts w:ascii="Calibri" w:hAnsi="Calibri"/>
          <w:b w:val="0"/>
          <w:sz w:val="22"/>
        </w:rPr>
        <w:t>52. Integration Design Assumptions</w:t>
      </w:r>
    </w:p>
    <w:p>
      <w:pPr>
        <w:pBdr>
          <w:bottom w:val="single" w:sz="4" w:space="1" w:color="CCCCCC"/>
        </w:pBdr>
        <w:spacing w:before="80" w:after="80"/>
      </w:pPr>
    </w:p>
    <w:p>
      <w:pPr>
        <w:pStyle w:val="Heading4"/>
        <w:keepNext/>
      </w:pPr>
      <w:r>
        <w:rPr>
          <w:rFonts w:ascii="Calibri" w:hAnsi="Calibri"/>
          <w:b w:val="0"/>
          <w:sz w:val="22"/>
        </w:rPr>
        <w:t>53. Endpoint Assumptions</w:t>
      </w:r>
    </w:p>
    <w:p>
      <w:pPr>
        <w:pBdr>
          <w:bottom w:val="single" w:sz="4" w:space="1" w:color="CCCCCC"/>
        </w:pBdr>
        <w:spacing w:before="80" w:after="80"/>
      </w:pPr>
    </w:p>
    <w:p>
      <w:pPr>
        <w:pStyle w:val="Heading4"/>
        <w:keepNext/>
      </w:pPr>
      <w:r>
        <w:rPr>
          <w:rFonts w:ascii="Calibri" w:hAnsi="Calibri"/>
          <w:b w:val="0"/>
          <w:sz w:val="22"/>
        </w:rPr>
        <w:t>54. Security Assumptions</w:t>
      </w:r>
    </w:p>
    <w:p>
      <w:pPr>
        <w:pBdr>
          <w:bottom w:val="single" w:sz="4" w:space="1" w:color="CCCCCC"/>
        </w:pBdr>
        <w:spacing w:before="80" w:after="80"/>
      </w:pPr>
    </w:p>
    <w:p>
      <w:pPr>
        <w:pStyle w:val="Heading4"/>
        <w:keepNext/>
      </w:pPr>
      <w:r>
        <w:rPr>
          <w:rFonts w:ascii="Calibri" w:hAnsi="Calibri"/>
          <w:b w:val="0"/>
          <w:sz w:val="22"/>
        </w:rPr>
        <w:t>55. Certificate Assumptions</w:t>
      </w:r>
    </w:p>
    <w:p>
      <w:pPr>
        <w:pBdr>
          <w:bottom w:val="single" w:sz="4" w:space="1" w:color="CCCCCC"/>
        </w:pBdr>
        <w:spacing w:before="80" w:after="80"/>
      </w:pPr>
    </w:p>
    <w:p>
      <w:pPr>
        <w:pStyle w:val="Heading4"/>
        <w:keepNext/>
      </w:pPr>
      <w:r>
        <w:rPr>
          <w:rFonts w:ascii="Calibri" w:hAnsi="Calibri"/>
          <w:b w:val="0"/>
          <w:sz w:val="22"/>
        </w:rPr>
        <w:t>56. Data Mapping Assumptions</w:t>
      </w:r>
    </w:p>
    <w:p>
      <w:pPr>
        <w:pBdr>
          <w:bottom w:val="single" w:sz="4" w:space="1" w:color="CCCCCC"/>
        </w:pBdr>
        <w:spacing w:before="80" w:after="80"/>
      </w:pPr>
    </w:p>
    <w:p>
      <w:pPr>
        <w:pStyle w:val="Heading4"/>
        <w:keepNext/>
      </w:pPr>
      <w:r>
        <w:rPr>
          <w:rFonts w:ascii="Calibri" w:hAnsi="Calibri"/>
          <w:b w:val="0"/>
          <w:sz w:val="22"/>
        </w:rPr>
        <w:t>57. Testing Assumptions</w:t>
      </w:r>
    </w:p>
    <w:p>
      <w:pPr>
        <w:pBdr>
          <w:bottom w:val="single" w:sz="4" w:space="1" w:color="CCCCCC"/>
        </w:pBdr>
        <w:spacing w:before="80" w:after="80"/>
      </w:pPr>
    </w:p>
    <w:p>
      <w:pPr>
        <w:pStyle w:val="Heading4"/>
        <w:keepNext/>
      </w:pPr>
      <w:r>
        <w:rPr>
          <w:rFonts w:ascii="Calibri" w:hAnsi="Calibri"/>
          <w:b w:val="0"/>
          <w:sz w:val="22"/>
        </w:rPr>
        <w:t>58. Performance Assumptions</w:t>
      </w:r>
    </w:p>
    <w:p>
      <w:pPr>
        <w:pBdr>
          <w:bottom w:val="single" w:sz="4" w:space="1" w:color="CCCCCC"/>
        </w:pBdr>
        <w:spacing w:before="80" w:after="80"/>
      </w:pPr>
    </w:p>
    <w:p>
      <w:pPr>
        <w:pStyle w:val="Heading4"/>
        <w:keepNext/>
      </w:pPr>
      <w:r>
        <w:rPr>
          <w:rFonts w:ascii="Calibri" w:hAnsi="Calibri"/>
          <w:b w:val="0"/>
          <w:sz w:val="22"/>
        </w:rPr>
        <w:t>59. Cutover Assumptions</w:t>
      </w:r>
    </w:p>
    <w:p>
      <w:pPr>
        <w:pBdr>
          <w:bottom w:val="single" w:sz="4" w:space="1" w:color="CCCCCC"/>
        </w:pBdr>
        <w:spacing w:before="80" w:after="80"/>
      </w:pPr>
    </w:p>
    <w:p>
      <w:pPr>
        <w:pStyle w:val="Heading4"/>
        <w:keepNext/>
      </w:pPr>
      <w:r>
        <w:rPr>
          <w:rFonts w:ascii="Calibri" w:hAnsi="Calibri"/>
          <w:b w:val="0"/>
          <w:sz w:val="22"/>
        </w:rPr>
        <w:t>60. Monitoring Assumptions</w:t>
      </w:r>
    </w:p>
    <w:p>
      <w:pPr>
        <w:pBdr>
          <w:bottom w:val="single" w:sz="4" w:space="1" w:color="CCCCCC"/>
        </w:pBdr>
        <w:spacing w:before="80" w:after="80"/>
      </w:pPr>
    </w:p>
    <w:p>
      <w:pPr>
        <w:pStyle w:val="Heading4"/>
        <w:keepNext/>
      </w:pPr>
      <w:r>
        <w:rPr>
          <w:rFonts w:ascii="Calibri" w:hAnsi="Calibri"/>
          <w:b w:val="0"/>
          <w:sz w:val="22"/>
        </w:rPr>
        <w:t>61. Support Assumptions</w:t>
      </w:r>
    </w:p>
    <w:p>
      <w:pPr>
        <w:pBdr>
          <w:bottom w:val="single" w:sz="4" w:space="1" w:color="CCCCCC"/>
        </w:pBdr>
        <w:spacing w:before="80" w:after="80"/>
      </w:pPr>
    </w:p>
    <w:p>
      <w:pPr>
        <w:pStyle w:val="Heading4"/>
        <w:keepNext/>
      </w:pPr>
      <w:r>
        <w:rPr>
          <w:rFonts w:ascii="Calibri" w:hAnsi="Calibri"/>
          <w:b w:val="0"/>
          <w:sz w:val="22"/>
        </w:rPr>
        <w:t>62. Customer Responsibilities</w:t>
      </w:r>
    </w:p>
    <w:p>
      <w:pPr>
        <w:pBdr>
          <w:bottom w:val="single" w:sz="4" w:space="1" w:color="CCCCCC"/>
        </w:pBdr>
        <w:spacing w:before="80" w:after="80"/>
      </w:pPr>
    </w:p>
    <w:p>
      <w:pPr>
        <w:pStyle w:val="Heading4"/>
        <w:keepNext/>
      </w:pPr>
      <w:r>
        <w:rPr>
          <w:rFonts w:ascii="Calibri" w:hAnsi="Calibri"/>
          <w:b w:val="0"/>
          <w:sz w:val="22"/>
        </w:rPr>
        <w:t>63. Dependencies</w:t>
      </w:r>
    </w:p>
    <w:p>
      <w:pPr>
        <w:pBdr>
          <w:bottom w:val="single" w:sz="4" w:space="1" w:color="CCCCCC"/>
        </w:pBdr>
        <w:spacing w:before="80" w:after="80"/>
      </w:pPr>
    </w:p>
    <w:p>
      <w:pPr>
        <w:pStyle w:val="Heading4"/>
        <w:keepNext/>
      </w:pPr>
      <w:r>
        <w:rPr>
          <w:rFonts w:ascii="Calibri" w:hAnsi="Calibri"/>
          <w:b w:val="0"/>
          <w:sz w:val="22"/>
        </w:rPr>
        <w:t>64. Constraints</w:t>
      </w:r>
    </w:p>
    <w:p>
      <w:pPr>
        <w:pBdr>
          <w:bottom w:val="single" w:sz="4" w:space="1" w:color="CCCCCC"/>
        </w:pBdr>
        <w:spacing w:before="80" w:after="80"/>
      </w:pPr>
    </w:p>
    <w:p>
      <w:pPr>
        <w:pStyle w:val="Heading4"/>
        <w:keepNext/>
      </w:pPr>
      <w:r>
        <w:rPr>
          <w:rFonts w:ascii="Calibri" w:hAnsi="Calibri"/>
          <w:b w:val="0"/>
          <w:sz w:val="22"/>
        </w:rPr>
        <w:t>65. Exclusions</w:t>
      </w:r>
    </w:p>
    <w:p>
      <w:pPr>
        <w:pBdr>
          <w:bottom w:val="single" w:sz="4" w:space="1" w:color="CCCCCC"/>
        </w:pBdr>
        <w:spacing w:before="80" w:after="80"/>
      </w:pPr>
    </w:p>
    <w:p>
      <w:pPr>
        <w:pStyle w:val="Heading4"/>
        <w:keepNext/>
      </w:pPr>
      <w:r>
        <w:rPr>
          <w:rFonts w:ascii="Calibri" w:hAnsi="Calibri"/>
          <w:b w:val="0"/>
          <w:sz w:val="22"/>
        </w:rPr>
        <w:t>BU Lead Decisions Applied — All Items Closed</w:t>
      </w:r>
    </w:p>
    <w:p>
      <w:pPr>
        <w:pBdr>
          <w:bottom w:val="single" w:sz="4" w:space="1" w:color="CCCCCC"/>
        </w:pBdr>
        <w:spacing w:before="80" w:after="80"/>
      </w:pPr>
    </w:p>
    <w:p>
      <w:pPr>
        <w:spacing w:before="0" w:after="0"/>
      </w:pPr>
      <w:r>
        <w:br w:type="page"/>
      </w:r>
    </w:p>
    <w:p>
      <w:pPr>
        <w:pStyle w:val="Heading2"/>
        <w:keepNext/>
      </w:pPr>
      <w:r>
        <w:t>Appendix D — Reference Projects</w:t>
      </w:r>
    </w:p>
    <w:p>
      <w:pPr/>
      <w:r>
        <w:rPr>
          <w:rFonts w:ascii="Calibri" w:hAnsi="Calibri"/>
          <w:b w:val="0"/>
          <w:sz w:val="22"/>
        </w:rPr>
        <w:t>The following summarises APPSolve's most relevant Oracle HCM Cloud reference projects. Reference letters and client contacts are available on request, subject to individual client approval. Contact your APPSolve Account Manager.</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Industry</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Oracle HCM Scope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[Pending AM approval]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Gaming &amp; Entertainment — South Africa</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Core, Recruiting Cloud, Learning Cloud, HR Help Desk, Employee Relations, OIC Payroll Integration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 7,000+ employees</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 on request]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 South Africa</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Talent Management, Performance Management, Goals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Agribusiness — South Africa</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Core, Recruiting Cloud, Learning Cloud, Talent Management, OIC Integration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in progress</w:t>
            </w:r>
          </w:p>
        </w:tc>
      </w:tr>
    </w:tbl>
    <w:p>
      <w:pPr>
        <w:spacing w:before="0" w:after="120"/>
      </w:pPr>
    </w:p>
    <w:p>
      <w:pPr>
        <w:pStyle w:val="Heading3"/>
        <w:keepNext/>
      </w:pPr>
      <w:r>
        <w:rPr>
          <w:rFonts w:ascii="Calibri" w:hAnsi="Calibri"/>
          <w:b w:val="0"/>
          <w:sz w:val="26"/>
        </w:rPr>
        <w:t>Additional Delivery Evidence</w:t>
      </w:r>
    </w:p>
    <w:p>
      <w:pPr/>
      <w:r>
        <w:rPr>
          <w:rFonts w:ascii="Calibri" w:hAnsi="Calibri"/>
          <w:b w:val="0"/>
          <w:sz w:val="22"/>
        </w:rPr>
        <w:t>_Client reference letters are provided on a per-tender basis, subject to individual client approval per APPSolve Account Manager. Full reference details available on request._</w:t>
      </w:r>
    </w:p>
    <w:p>
      <w:pPr>
        <w:spacing w:before="0" w:after="0"/>
      </w:pPr>
      <w:r>
        <w:br w:type="page"/>
      </w:r>
    </w:p>
    <w:p>
      <w:pPr>
        <w:pStyle w:val="Heading2"/>
        <w:keepNext/>
      </w:pPr>
      <w:r>
        <w:t>Appendix E — Glossary</w:t>
      </w:r>
    </w:p>
    <w:p>
      <w:pPr/>
      <w:r>
        <w:rPr>
          <w:rFonts w:ascii="Calibri" w:hAnsi="Calibri"/>
          <w:b w:val="0"/>
          <w:sz w:val="22"/>
        </w:rPr>
        <w:t>Key terms used in this proposal.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Term</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Definition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Human Capital Management — Oracle Cloud suite covering Core HR, Talent, Learning, Compensation, and Absence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 Oracle's cloud middleware and integration platform for connecting systems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ORC</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Cloud — Oracle's SaaS talent acquisition and recruitment module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Transactional Business Intelligence — embedded analytics and reporting within Oracle Fusion Cloud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Conference Room Prototype — structured configuration demonstration session with client stakeholders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UAT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 Acceptance Testing — client-led testing phase validating system configuration against business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RAID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Risks, Assumptions, Issues, Dependencies — APPSolve's standard project tracking framework</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AMS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Application Managed Services — post-go-live support, optimisation, and Oracle quarterly update management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Partner Network — Oracle's partner programme; APPSolve is a Level 1 OPN Partner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Software as a Service — Oracle-managed cloud delivery model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Unified Method — Oracle's implementation methodology; APPSolve's basis for all cloud engagements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SOW</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Statement of Work — contractual document defining scope, timeline, and commercial terms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Change Request — formal scope change process with commercial and timeline impact assessment</w:t>
            </w:r>
          </w:p>
        </w:tc>
      </w:tr>
    </w:tbl>
    <w:p>
      <w:pPr>
        <w:spacing w:before="0" w:after="120"/>
      </w:pPr>
    </w:p>
    <w:sectPr w:rsidR="00FC693F" w:rsidRPr="0006063C" w:rsidSect="00034616">
      <w:headerReference w:type="default" r:id="rId9"/>
      <w:footerReference w:type="default" r:id="rId10"/>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072"/>
      </w:tabs>
      <w:pBdr>
        <w:top w:val="single" w:sz="6" w:space="1" w:color="00467F"/>
      </w:pBdr>
    </w:pPr>
    <w:r>
      <w:rPr>
        <w:rFonts w:ascii="Calibri" w:hAnsi="Calibri"/>
        <w:color w:val="808080"/>
        <w:sz w:val="18"/>
      </w:rPr>
      <w:t>APPSolve (Pty) Ltd  |  PLENNEGY-HCM-001</w:t>
      <w:tab/>
    </w:r>
    <w:r>
      <w:rPr>
        <w:rFonts w:ascii="Calibri" w:hAnsi="Calibri"/>
        <w:color w:val="808080"/>
        <w:sz w:val="18"/>
      </w:rPr>
      <w:t xml:space="preserve">Page </w:t>
      <w:fldChar w:fldCharType="begin"/>
      <w:instrText xml:space="preserve"> PAGE </w:instrText>
      <w:fldChar w:fldCharType="end"/>
    </w:r>
    <w:r>
      <w:rPr>
        <w:rFonts w:ascii="Calibri" w:hAnsi="Calibri"/>
        <w:color w:val="808080"/>
        <w:sz w:val="18"/>
      </w:rPr>
      <w:t xml:space="preserve"> of </w:t>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072"/>
      </w:tabs>
      <w:pBdr>
        <w:bottom w:val="single" w:sz="6" w:space="1" w:color="00467F"/>
      </w:pBdr>
    </w:pPr>
    <w:r>
      <w:rPr>
        <w:rFonts w:ascii="Calibri" w:hAnsi="Calibri"/>
        <w:b/>
        <w:color w:val="00467F"/>
        <w:sz w:val="18"/>
      </w:rPr>
      <w:t>APPSolve (Pty) Ltd</w:t>
    </w:r>
    <w:r>
      <w:rPr>
        <w:sz w:val="18"/>
      </w:rPr>
      <w:tab/>
    </w:r>
    <w:r>
      <w:rPr>
        <w:rFonts w:ascii="Calibri" w:hAnsi="Calibri"/>
        <w:color w:val="808080"/>
        <w:sz w:val="18"/>
      </w:rPr>
      <w:t>Oracle HCM Cloud — Implementation Proposal  |  COMMERCIAL IN CONFIDENCE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color w:val="4040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i w:val="0"/>
      <w:color w:val="00467F"/>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i w:val="0"/>
      <w:color w:val="00467F"/>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i w:val="0"/>
      <w:color w:val="0070C0"/>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val="0"/>
      <w:iCs/>
      <w:color w:val="404040"/>
      <w:sz w:val="22"/>
    </w:rPr>
  </w:style>
  <w:style w:type="paragraph" w:styleId="Heading5">
    <w:name w:val="heading 5"/>
    <w:basedOn w:val="Normal"/>
    <w:next w:val="Normal"/>
    <w:link w:val="Heading5Char"/>
    <w:uiPriority w:val="9"/>
    <w:semiHidden/>
    <w:unhideWhenUsed/>
    <w:qFormat/>
    <w:rsid w:val="00FC693F"/>
    <w:pPr>
      <w:keepNext/>
      <w:keepLines/>
      <w:spacing w:before="160" w:after="60"/>
      <w:outlineLvl w:val="4"/>
    </w:pPr>
    <w:rPr>
      <w:rFonts w:asciiTheme="majorHAnsi" w:eastAsiaTheme="majorEastAsia" w:hAnsiTheme="majorHAnsi" w:cstheme="majorBidi" w:ascii="Calibri" w:hAnsi="Calibri"/>
      <w:b/>
      <w:i w:val="0"/>
      <w:color w:val="40404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