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80"/>
        <w:jc w:val="center"/>
      </w:pPr>
      <w:r>
        <w:rPr>
          <w:rFonts w:ascii="Calibri" w:hAnsi="Calibri"/>
          <w:b/>
          <w:color w:val="00467F"/>
          <w:sz w:val="64"/>
        </w:rPr>
        <w:t>APPSolve (Pty) Ltd</w:t>
      </w:r>
    </w:p>
    <w:p>
      <w:pPr>
        <w:spacing w:before="0" w:after="960"/>
        <w:jc w:val="center"/>
      </w:pPr>
      <w:r>
        <w:rPr>
          <w:rFonts w:ascii="Calibri" w:hAnsi="Calibri"/>
          <w:color w:val="0070C0"/>
          <w:sz w:val="22"/>
        </w:rPr>
        <w:t>Enterprise Technology Services | Oracle | Acumatica | BeBanking</w:t>
      </w:r>
    </w:p>
    <w:p>
      <w:pPr>
        <w:spacing w:before="0" w:after="160"/>
        <w:jc w:val="center"/>
      </w:pPr>
      <w:r>
        <w:rPr>
          <w:rFonts w:ascii="Calibri" w:hAnsi="Calibri"/>
          <w:b/>
          <w:color w:val="404040"/>
          <w:sz w:val="36"/>
        </w:rPr>
        <w:t>IMPLEMENTATION PROPOSAL</w:t>
      </w:r>
    </w:p>
    <w:p>
      <w:pPr>
        <w:spacing w:before="0" w:after="960"/>
        <w:jc w:val="center"/>
      </w:pPr>
      <w:r>
        <w:rPr>
          <w:rFonts w:ascii="Calibri" w:hAnsi="Calibri"/>
          <w:color w:val="00467F"/>
          <w:sz w:val="30"/>
        </w:rPr>
        <w:t>`{{tender_title}}`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sz w:val="22"/>
              </w:rPr>
              <w:t>`{{client_name}}`</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RFP / Tender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sz w:val="22"/>
              </w:rPr>
              <w:t>`{{rfp_reference}}`</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Submission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sz w:val="22"/>
              </w:rPr>
              <w:t>`{{submission_date}}`</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PLENNEGY-HCM-001</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1.0 — DRAFT FOR REVIEW</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 Rendered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2026-06-30</w:t>
            </w:r>
          </w:p>
        </w:tc>
      </w:tr>
    </w:tbl>
    <w:p>
      <w:pPr>
        <w:spacing w:before="1200" w:after="80"/>
        <w:jc w:val="center"/>
      </w:pPr>
      <w:r>
        <w:rPr>
          <w:rFonts w:ascii="Calibri" w:hAnsi="Calibri"/>
          <w:b/>
          <w:color w:val="808080"/>
          <w:sz w:val="20"/>
        </w:rPr>
        <w:t>COMMERCIAL IN CONFIDENCE</w:t>
      </w:r>
    </w:p>
    <w:p>
      <w:pPr>
        <w:spacing w:before="0" w:after="0"/>
        <w:jc w:val="center"/>
      </w:pPr>
      <w:r>
        <w:rPr>
          <w:rFonts w:ascii="Calibri" w:hAnsi="Calibri"/>
          <w:color w:val="808080"/>
          <w:sz w:val="18"/>
        </w:rPr>
        <w:t>APPSolve (Pty) Ltd  |  Gauteng &amp; Western Cape, South Africa</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rPr>
          <w:rFonts w:ascii="Calibri" w:hAnsi="Calibri"/>
          <w:b w:val="0"/>
          <w:sz w:val="32"/>
        </w:rPr>
        <w:t>1. Company Overview</w:t>
      </w:r>
    </w:p>
    <w:p>
      <w:pPr>
        <w:spacing w:before="0" w:after="60"/>
      </w:pPr>
      <w:r>
        <w:rPr>
          <w:rFonts w:ascii="Calibri" w:hAnsi="Calibri"/>
          <w:i/>
          <w:color w:val="808080"/>
          <w:sz w:val="17"/>
        </w:rPr>
        <w:t>⚙  Governance: Never use old company profile; KB-approved content supersedes</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rPr>
          <w:rFonts w:ascii="Calibri" w:hAnsi="Calibri"/>
          <w:b w:val="0"/>
          <w:sz w:val="32"/>
        </w:rPr>
        <w:t>2. Company History</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rPr>
          <w:rFonts w:ascii="Calibri" w:hAnsi="Calibri"/>
          <w:b w:val="0"/>
          <w:sz w:val="32"/>
        </w:rPr>
        <w:t>3. Awards and Recognition</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rPr>
          <w:rFonts w:ascii="Calibri" w:hAnsi="Calibri"/>
          <w:b w:val="0"/>
          <w:sz w:val="32"/>
        </w:rPr>
        <w:t>4. Delivery Model</w:t>
      </w:r>
    </w:p>
    <w:p>
      <w:pPr>
        <w:spacing w:before="0" w:after="60"/>
      </w:pPr>
      <w:r>
        <w:rPr>
          <w:rFonts w:ascii="Calibri" w:hAnsi="Calibri"/>
          <w:i/>
          <w:color w:val="808080"/>
          <w:sz w:val="17"/>
        </w:rPr>
        <w:t>⚙  Governance: Headcount: 'more than 50 Senior Consultants' ONLY</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rPr>
          <w:rFonts w:ascii="Calibri" w:hAnsi="Calibri"/>
          <w:b w:val="0"/>
          <w:sz w:val="32"/>
        </w:rPr>
        <w:t>5. Geographic Presence</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rPr>
          <w:rFonts w:ascii="Calibri" w:hAnsi="Calibri"/>
          <w:b w:val="0"/>
          <w:sz w:val="32"/>
        </w:rPr>
        <w:t>6. Key Differentiators</w:t>
      </w:r>
    </w:p>
    <w:p>
      <w:pPr>
        <w:spacing w:before="0" w:after="60"/>
      </w:pPr>
      <w:r>
        <w:rPr>
          <w:rFonts w:ascii="Calibri" w:hAnsi="Calibri"/>
          <w:i/>
          <w:color w:val="808080"/>
          <w:sz w:val="17"/>
        </w:rPr>
        <w:t>⚙  Governance: Included when W1S1-009 mandatory (always in corporate block)</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rPr>
          <w:rFonts w:ascii="Calibri" w:hAnsi="Calibri"/>
          <w:b w:val="0"/>
          <w:sz w:val="32"/>
        </w:rPr>
        <w:t>7. Oracle Partnership</w:t>
      </w:r>
    </w:p>
    <w:p>
      <w:pPr>
        <w:spacing w:before="0" w:after="60"/>
      </w:pPr>
      <w:r>
        <w:rPr>
          <w:rFonts w:ascii="Calibri" w:hAnsi="Calibri"/>
          <w:i/>
          <w:color w:val="808080"/>
          <w:sz w:val="17"/>
        </w:rPr>
        <w:t>⚙  Governance: Never cite 'Oracle Gold Partner' — expired August 2021. Level 1 Partner only.</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rPr>
          <w:rFonts w:ascii="Calibri" w:hAnsi="Calibri"/>
          <w:b w:val="0"/>
          <w:sz w:val="32"/>
        </w:rPr>
        <w:t>8. B-BBEE Compliance Statement</w:t>
      </w:r>
    </w:p>
    <w:p>
      <w:pPr>
        <w:spacing w:before="0" w:after="60"/>
      </w:pPr>
      <w:r>
        <w:rPr>
          <w:rFonts w:ascii="Calibri" w:hAnsi="Calibri"/>
          <w:i/>
          <w:color w:val="808080"/>
          <w:sz w:val="17"/>
        </w:rPr>
        <w:t>⚙  Governance: B-BBEE cert expires 2026-07-31 (OAR-C01/C02/A01); flag if submission after that date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B-BBEE Compliance Statement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B-BBEE cert expiry date; never cite status after 2026-07-31 without renewal</w:t>
            </w:r>
          </w:p>
        </w:tc>
      </w:tr>
    </w:tbl>
    <w:p>
      <w:pPr>
        <w:spacing w:before="0" w:after="120"/>
      </w:pPr>
    </w:p>
    <w:p>
      <w:pPr>
        <w:spacing w:before="0" w:after="0"/>
      </w:pPr>
      <w:r>
        <w:br w:type="page"/>
      </w:r>
    </w:p>
    <w:p>
      <w:pPr>
        <w:pStyle w:val="Heading2"/>
        <w:keepNext/>
      </w:pPr>
      <w:r>
        <w:rPr>
          <w:rFonts w:ascii="Calibri" w:hAnsi="Calibri"/>
          <w:b w:val="0"/>
          <w:sz w:val="32"/>
        </w:rPr>
        <w:t>9. Executive Summary</w:t>
      </w:r>
    </w:p>
    <w:p>
      <w:pPr>
        <w:spacing w:before="0" w:after="60"/>
      </w:pPr>
      <w:r>
        <w:rPr>
          <w:rFonts w:ascii="Calibri" w:hAnsi="Calibri"/>
          <w:i/>
          <w:color w:val="808080"/>
          <w:sz w:val="17"/>
        </w:rPr>
        <w:t>⚙  Governance: Never use Candidate_Content/ or Review_Required/ in any tender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10. Understanding of Requirements</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11. Proposed Solution Overview</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rPr>
          <w:rFonts w:ascii="Calibri" w:hAnsi="Calibri"/>
          <w:b w:val="0"/>
          <w:sz w:val="32"/>
        </w:rPr>
        <w:t>12. Oracle Fusion HCM Capability</w:t>
      </w:r>
    </w:p>
    <w:p>
      <w:pPr>
        <w:spacing w:before="0" w:after="60"/>
      </w:pPr>
      <w:r>
        <w:rPr>
          <w:rFonts w:ascii="Calibri" w:hAnsi="Calibri"/>
          <w:i/>
          <w:color w:val="808080"/>
          <w:sz w:val="17"/>
        </w:rPr>
        <w:t>⚙  Governance: Section 14.2 (W3S1-008) and Section 13.2 (W3S1-009 payroll section) NEVER in external submissions</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W3S1-002-ORA-TalentMgmt | Version: 1.2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W3S1-003-ORA-RecruitingCloud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W3S1-004-ORA-LearningCloud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W3S1-006-ORA-HCMAnalytics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W3S1-007-ORA-WorkforceManagement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W4-AI-002-ORA-AISkills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W4-HCM-002-ORA-Journeys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rPr>
          <w:rFonts w:ascii="Calibri" w:hAnsi="Calibri"/>
          <w:b w:val="0"/>
          <w:sz w:val="32"/>
        </w:rPr>
        <w:t>13. Oracle Fusion ERP Capability</w:t>
      </w:r>
    </w:p>
    <w:p>
      <w:pPr>
        <w:spacing w:before="0" w:after="60"/>
      </w:pPr>
      <w:r>
        <w:rPr>
          <w:rFonts w:ascii="Calibri" w:hAnsi="Calibri"/>
          <w:i/>
          <w:color w:val="808080"/>
          <w:sz w:val="17"/>
        </w:rPr>
        <w:t>⚙  Governance: AM-W4E3-001 ACTIVE — KPMG must NOT be named; anonymous reference only until signed letter registered</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rPr>
          <w:rFonts w:ascii="Calibri" w:hAnsi="Calibri"/>
          <w:b w:val="0"/>
          <w:sz w:val="32"/>
        </w:rPr>
        <w:t>14. Oracle OIC / Integration Capability</w:t>
      </w:r>
    </w:p>
    <w:p>
      <w:pPr>
        <w:spacing w:before="0" w:after="60"/>
      </w:pPr>
      <w:r>
        <w:rPr>
          <w:rFonts w:ascii="Calibri" w:hAnsi="Calibri"/>
          <w:i/>
          <w:color w:val="808080"/>
          <w:sz w:val="17"/>
        </w:rPr>
        <w:t>⚙  Governance: HIST-018 billing (R825,170) MUST NEVER appear in external submissions. Section 13.2 (W3S1-009) NEVER external.</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rPr>
          <w:rFonts w:ascii="Calibri" w:hAnsi="Calibri"/>
          <w:b w:val="0"/>
          <w:sz w:val="32"/>
        </w:rPr>
        <w:t>15. Scope of Work — Inclusions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Scope of Work — Inclusions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inclusions before submission</w:t>
            </w:r>
          </w:p>
        </w:tc>
      </w:tr>
    </w:tbl>
    <w:p>
      <w:pPr>
        <w:spacing w:before="0" w:after="120"/>
      </w:pPr>
    </w:p>
    <w:p>
      <w:pPr>
        <w:spacing w:before="0" w:after="0"/>
      </w:pPr>
      <w:r>
        <w:br w:type="page"/>
      </w:r>
    </w:p>
    <w:p>
      <w:pPr>
        <w:pStyle w:val="Heading2"/>
        <w:keepNext/>
      </w:pPr>
      <w:r>
        <w:rPr>
          <w:rFonts w:ascii="Calibri" w:hAnsi="Calibri"/>
          <w:b w:val="0"/>
          <w:sz w:val="32"/>
        </w:rPr>
        <w:t>16. Scope of Work — Exclusions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Scope of Work — Exclusions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exclusions before submission</w:t>
            </w:r>
          </w:p>
        </w:tc>
      </w:tr>
    </w:tbl>
    <w:p>
      <w:pPr>
        <w:spacing w:before="0" w:after="120"/>
      </w:pPr>
    </w:p>
    <w:p>
      <w:pPr>
        <w:spacing w:before="0" w:after="0"/>
      </w:pPr>
      <w:r>
        <w:br w:type="page"/>
      </w:r>
    </w:p>
    <w:p>
      <w:pPr>
        <w:pStyle w:val="Heading2"/>
        <w:keepNext/>
      </w:pPr>
      <w:r>
        <w:rPr>
          <w:rFonts w:ascii="Calibri" w:hAnsi="Calibri"/>
          <w:b w:val="0"/>
          <w:sz w:val="32"/>
        </w:rPr>
        <w:t>17. Deliverables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Deliverables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deliverables list for completeness</w:t>
            </w:r>
          </w:p>
        </w:tc>
      </w:tr>
    </w:tbl>
    <w:p>
      <w:pPr>
        <w:spacing w:before="0" w:after="120"/>
      </w:pPr>
    </w:p>
    <w:p>
      <w:pPr>
        <w:spacing w:before="0" w:after="0"/>
      </w:pPr>
      <w:r>
        <w:br w:type="page"/>
      </w:r>
    </w:p>
    <w:p>
      <w:pPr>
        <w:pStyle w:val="Heading2"/>
        <w:keepNext/>
      </w:pPr>
      <w:r>
        <w:rPr>
          <w:rFonts w:ascii="Calibri" w:hAnsi="Calibri"/>
          <w:b w:val="0"/>
          <w:sz w:val="32"/>
        </w:rPr>
        <w:t>18. Dependencies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Dependencies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client dependencies extracted from assumption packs</w:t>
            </w:r>
          </w:p>
        </w:tc>
      </w:tr>
    </w:tbl>
    <w:p>
      <w:pPr>
        <w:spacing w:before="0" w:after="120"/>
      </w:pPr>
    </w:p>
    <w:p>
      <w:pPr>
        <w:spacing w:before="0" w:after="0"/>
      </w:pPr>
      <w:r>
        <w:br w:type="page"/>
      </w:r>
    </w:p>
    <w:p>
      <w:pPr>
        <w:pStyle w:val="Heading2"/>
        <w:keepNext/>
      </w:pPr>
      <w:r>
        <w:rPr>
          <w:rFonts w:ascii="Calibri" w:hAnsi="Calibri"/>
          <w:b w:val="0"/>
          <w:sz w:val="32"/>
        </w:rPr>
        <w:t>19. Implementation Methodology</w:t>
      </w:r>
    </w:p>
    <w:p>
      <w:pPr>
        <w:spacing w:before="0" w:after="60"/>
      </w:pPr>
      <w:r>
        <w:rPr>
          <w:rFonts w:ascii="Calibri" w:hAnsi="Calibri"/>
          <w:i/>
          <w:color w:val="808080"/>
          <w:sz w:val="17"/>
        </w:rPr>
        <w:t>⚙  Governance: SI-001: EXCLUDED for Pattern 13 AMS; W2S1-005 for Oracle; W5-METH-001 for Acumatica/BeBanking</w:t>
      </w:r>
    </w:p>
    <w:p>
      <w:pPr>
        <w:spacing w:before="0" w:after="60"/>
      </w:pPr>
      <w:r>
        <w:rPr>
          <w:rFonts w:ascii="Calibri" w:hAnsi="Calibri"/>
          <w:i/>
          <w:color w:val="808080"/>
          <w:sz w:val="17"/>
        </w:rPr>
        <w:t>⚙  Governance: SI-001</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Tailor phases to tender-specific timeline; AMS: EXCLUDED (use S-73 instead)</w:t>
            </w:r>
          </w:p>
        </w:tc>
      </w:tr>
    </w:tbl>
    <w:p>
      <w:pPr>
        <w:spacing w:before="0" w:after="120"/>
      </w:pPr>
    </w:p>
    <w:p>
      <w:pPr>
        <w:spacing w:before="0" w:after="0"/>
      </w:pPr>
      <w:r>
        <w:br w:type="page"/>
      </w:r>
    </w:p>
    <w:p>
      <w:pPr>
        <w:pStyle w:val="Heading2"/>
        <w:keepNext/>
      </w:pPr>
      <w:r>
        <w:rPr>
          <w:rFonts w:ascii="Calibri" w:hAnsi="Calibri"/>
          <w:b w:val="0"/>
          <w:sz w:val="32"/>
        </w:rPr>
        <w:t>20. Project Plan / Timeline</w:t>
      </w:r>
    </w:p>
    <w:p>
      <w:pPr>
        <w:spacing w:before="0" w:after="60"/>
      </w:pPr>
      <w:r>
        <w:rPr>
          <w:rFonts w:ascii="Calibri" w:hAnsi="Calibri"/>
          <w:i/>
          <w:color w:val="808080"/>
          <w:sz w:val="17"/>
        </w:rPr>
        <w:t>⚙  Governance: EXCLUDED for Pattern 13 AMS</w:t>
      </w:r>
    </w:p>
    <w:p>
      <w:pPr>
        <w:spacing w:before="0" w:after="60"/>
      </w:pPr>
      <w:r>
        <w:rPr>
          <w:rFonts w:ascii="Calibri" w:hAnsi="Calibri"/>
          <w:i/>
          <w:color w:val="808080"/>
          <w:sz w:val="17"/>
        </w:rPr>
        <w:t>⚙  Governance: SI-001</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rPr>
          <w:rFonts w:ascii="Calibri" w:hAnsi="Calibri"/>
          <w:b w:val="0"/>
          <w:sz w:val="32"/>
        </w:rPr>
        <w:t>21. Project Governance</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rPr>
          <w:rFonts w:ascii="Calibri" w:hAnsi="Calibri"/>
          <w:b w:val="0"/>
          <w:sz w:val="32"/>
        </w:rPr>
        <w:t>22. RAID Framework</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RAID Framework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Risk register populated from Risk Library; review before submission</w:t>
            </w:r>
          </w:p>
        </w:tc>
      </w:tr>
    </w:tbl>
    <w:p>
      <w:pPr>
        <w:spacing w:before="0" w:after="120"/>
      </w:pPr>
    </w:p>
    <w:p>
      <w:pPr>
        <w:spacing w:before="0" w:after="0"/>
      </w:pPr>
      <w:r>
        <w:br w:type="page"/>
      </w:r>
    </w:p>
    <w:p>
      <w:pPr>
        <w:pStyle w:val="Heading2"/>
        <w:keepNext/>
      </w:pPr>
      <w:r>
        <w:rPr>
          <w:rFonts w:ascii="Calibri" w:hAnsi="Calibri"/>
          <w:b w:val="0"/>
          <w:sz w:val="32"/>
        </w:rPr>
        <w:t>23. Change Control Framework</w:t>
      </w:r>
    </w:p>
    <w:p>
      <w:pPr>
        <w:spacing w:before="0" w:after="60"/>
      </w:pPr>
      <w:r>
        <w:rPr>
          <w:rFonts w:ascii="Calibri" w:hAnsi="Calibri"/>
          <w:i/>
          <w:color w:val="808080"/>
          <w:sz w:val="17"/>
        </w:rPr>
        <w:t>⚙  Governance: SI-001: EXCLUDED for Pattern 13 AMS; S-73 is the single AMS change management section</w:t>
      </w:r>
    </w:p>
    <w:p>
      <w:pPr>
        <w:spacing w:before="0" w:after="60"/>
      </w:pPr>
      <w:r>
        <w:rPr>
          <w:rFonts w:ascii="Calibri" w:hAnsi="Calibri"/>
          <w:i/>
          <w:color w:val="808080"/>
          <w:sz w:val="17"/>
        </w:rPr>
        <w:t>⚙  Governance: SI-001</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Change Control Framework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Do not expose CR thresholds or rates; EXCLUDED for AMS — use S-73</w:t>
            </w:r>
          </w:p>
        </w:tc>
      </w:tr>
    </w:tbl>
    <w:p>
      <w:pPr>
        <w:spacing w:before="0" w:after="120"/>
      </w:pPr>
    </w:p>
    <w:p>
      <w:pPr>
        <w:spacing w:before="0" w:after="0"/>
      </w:pPr>
      <w:r>
        <w:br w:type="page"/>
      </w:r>
    </w:p>
    <w:p>
      <w:pPr>
        <w:pStyle w:val="Heading2"/>
        <w:keepNext/>
      </w:pPr>
      <w:r>
        <w:rPr>
          <w:rFonts w:ascii="Calibri" w:hAnsi="Calibri"/>
          <w:b w:val="0"/>
          <w:sz w:val="32"/>
        </w:rPr>
        <w:t>24. Cutover / Go-Live Plan</w:t>
      </w:r>
    </w:p>
    <w:p>
      <w:pPr>
        <w:spacing w:before="0" w:after="60"/>
      </w:pPr>
      <w:r>
        <w:rPr>
          <w:rFonts w:ascii="Calibri" w:hAnsi="Calibri"/>
          <w:i/>
          <w:color w:val="808080"/>
          <w:sz w:val="17"/>
        </w:rPr>
        <w:t>⚙  Governance: EXCLUDED for Pattern 13 AMS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Cutover / Go-Live Plan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EXCLUDED for AMS (no cutover in ongoing AMS)</w:t>
            </w:r>
          </w:p>
        </w:tc>
      </w:tr>
    </w:tbl>
    <w:p>
      <w:pPr>
        <w:spacing w:before="0" w:after="120"/>
      </w:pPr>
    </w:p>
    <w:p>
      <w:pPr>
        <w:spacing w:before="0" w:after="0"/>
      </w:pPr>
      <w:r>
        <w:br w:type="page"/>
      </w:r>
    </w:p>
    <w:p>
      <w:pPr>
        <w:pStyle w:val="Heading2"/>
        <w:keepNext/>
      </w:pPr>
      <w:r>
        <w:rPr>
          <w:rFonts w:ascii="Calibri" w:hAnsi="Calibri"/>
          <w:b w:val="0"/>
          <w:sz w:val="32"/>
        </w:rPr>
        <w:t>25. Team Structure</w:t>
      </w:r>
    </w:p>
    <w:p>
      <w:pPr>
        <w:spacing w:before="0" w:after="60"/>
      </w:pPr>
      <w:r>
        <w:rPr>
          <w:rFonts w:ascii="Calibri" w:hAnsi="Calibri"/>
          <w:i/>
          <w:color w:val="808080"/>
          <w:sz w:val="17"/>
        </w:rPr>
        <w:t>⚙  Governance: EXCLUDED for Pattern 13 AMS</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rPr>
          <w:rFonts w:ascii="Calibri" w:hAnsi="Calibri"/>
          <w:b w:val="0"/>
          <w:sz w:val="32"/>
        </w:rPr>
        <w:t>26. Key Assumptions (Body Section)</w:t>
      </w:r>
    </w:p>
    <w:p>
      <w:pPr>
        <w:spacing w:before="0" w:after="60"/>
      </w:pPr>
      <w:r>
        <w:rPr>
          <w:rFonts w:ascii="Calibri" w:hAnsi="Calibri"/>
          <w:i/>
          <w:color w:val="808080"/>
          <w:sz w:val="17"/>
        </w:rPr>
        <w:t>⚙  Governance: SI-006: S-49 Key Assumptions assembled BEFORE S-52 Pricing in all proposals</w:t>
      </w:r>
    </w:p>
    <w:p>
      <w:pPr>
        <w:spacing w:before="0" w:after="60"/>
      </w:pPr>
      <w:r>
        <w:rPr>
          <w:rFonts w:ascii="Calibri" w:hAnsi="Calibri"/>
          <w:i/>
          <w:color w:val="808080"/>
          <w:sz w:val="17"/>
        </w:rPr>
        <w:t>⚙  Governance: SI-006</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SI-006: must appear BEFORE S-52 Pricing</w:t>
            </w:r>
          </w:p>
        </w:tc>
      </w:tr>
    </w:tbl>
    <w:p>
      <w:pPr>
        <w:spacing w:before="0" w:after="120"/>
      </w:pPr>
    </w:p>
    <w:p>
      <w:pPr>
        <w:spacing w:before="0" w:after="0"/>
      </w:pPr>
      <w:r>
        <w:br w:type="page"/>
      </w:r>
    </w:p>
    <w:p>
      <w:pPr>
        <w:pStyle w:val="Heading2"/>
        <w:keepNext/>
      </w:pPr>
      <w:r>
        <w:rPr>
          <w:rFonts w:ascii="Calibri" w:hAnsi="Calibri"/>
          <w:b w:val="0"/>
          <w:sz w:val="32"/>
        </w:rPr>
        <w:t>27. Risk Register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28. Commercial Assumptions</w:t>
      </w:r>
    </w:p>
    <w:p>
      <w:pPr>
        <w:spacing w:before="0" w:after="60"/>
      </w:pPr>
      <w:r>
        <w:rPr>
          <w:rFonts w:ascii="Calibri" w:hAnsi="Calibri"/>
          <w:i/>
          <w:color w:val="808080"/>
          <w:sz w:val="17"/>
        </w:rPr>
        <w:t>⚙  Governance: Never assemble a fixed-price proposal without the commercial file</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extracted from selected assumption packs</w:t>
            </w:r>
          </w:p>
        </w:tc>
      </w:tr>
    </w:tbl>
    <w:p>
      <w:pPr>
        <w:spacing w:before="0" w:after="120"/>
      </w:pPr>
    </w:p>
    <w:p>
      <w:pPr>
        <w:spacing w:before="0" w:after="0"/>
      </w:pPr>
      <w:r>
        <w:br w:type="page"/>
      </w:r>
    </w:p>
    <w:p>
      <w:pPr>
        <w:pStyle w:val="Heading2"/>
        <w:keepNext/>
      </w:pPr>
      <w:r>
        <w:rPr>
          <w:rFonts w:ascii="Calibri" w:hAnsi="Calibri"/>
          <w:b w:val="0"/>
          <w:sz w:val="32"/>
        </w:rPr>
        <w:t>29. Commercials / Pricing</w:t>
      </w:r>
    </w:p>
    <w:p>
      <w:pPr>
        <w:spacing w:before="0" w:after="60"/>
      </w:pPr>
      <w:r>
        <w:rPr>
          <w:rFonts w:ascii="Calibri" w:hAnsi="Calibri"/>
          <w:i/>
          <w:color w:val="808080"/>
          <w:sz w:val="17"/>
        </w:rPr>
        <w:t>⚙  Governance: SI-006: S-49 Key Assumptions BEFORE S-52 Pricing in all proposals</w:t>
      </w:r>
    </w:p>
    <w:p>
      <w:pPr>
        <w:spacing w:before="0" w:after="60"/>
      </w:pPr>
      <w:r>
        <w:rPr>
          <w:rFonts w:ascii="Calibri" w:hAnsi="Calibri"/>
          <w:i/>
          <w:color w:val="808080"/>
          <w:sz w:val="17"/>
        </w:rPr>
        <w:t>⚙  Governance: SI-006</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Commercials / Pricing</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 Director authority; never expose rates; SI-006: S-49 must precede this</w:t>
            </w:r>
          </w:p>
        </w:tc>
      </w:tr>
    </w:tbl>
    <w:p>
      <w:pPr>
        <w:spacing w:before="0" w:after="120"/>
      </w:pPr>
    </w:p>
    <w:p>
      <w:pPr/>
      <w:r>
        <w:rPr>
          <w:rFonts w:ascii="Calibri" w:hAnsi="Calibri"/>
          <w:sz w:val="22"/>
        </w:rPr>
        <w:t>**Fields to complete:**</w:t>
      </w:r>
    </w:p>
    <w:p>
      <w:pPr>
        <w:pStyle w:val="ListBullet"/>
        <w:spacing w:before="20" w:after="20"/>
      </w:pPr>
      <w:r>
        <w:rPr>
          <w:rFonts w:ascii="Calibri" w:hAnsi="Calibri"/>
          <w:sz w:val="22"/>
        </w:rPr>
        <w:t>`{{pricing_table}}`</w:t>
      </w:r>
    </w:p>
    <w:p>
      <w:pPr>
        <w:pStyle w:val="ListBullet"/>
        <w:spacing w:before="20" w:after="20"/>
      </w:pPr>
      <w:r>
        <w:rPr>
          <w:rFonts w:ascii="Calibri" w:hAnsi="Calibri"/>
          <w:sz w:val="22"/>
        </w:rPr>
        <w:t>`{{commercial_terms}}`</w:t>
      </w:r>
    </w:p>
    <w:p>
      <w:pPr>
        <w:spacing w:before="0" w:after="0"/>
      </w:pPr>
      <w:r>
        <w:br w:type="page"/>
      </w:r>
    </w:p>
    <w:p>
      <w:pPr>
        <w:pStyle w:val="Heading2"/>
        <w:keepNext/>
      </w:pPr>
      <w:r>
        <w:rPr>
          <w:rFonts w:ascii="Calibri" w:hAnsi="Calibri"/>
          <w:b w:val="0"/>
          <w:sz w:val="32"/>
        </w:rPr>
        <w:t>30. Compliance Schedule</w:t>
      </w:r>
    </w:p>
    <w:p>
      <w:pPr>
        <w:spacing w:before="0" w:after="60"/>
      </w:pPr>
      <w:r>
        <w:rPr>
          <w:rFonts w:ascii="Calibri" w:hAnsi="Calibri"/>
          <w:i/>
          <w:color w:val="808080"/>
          <w:sz w:val="17"/>
        </w:rPr>
        <w:t>⚙  Governance: Never submit a proposal with expired compliance documents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Compliance Schedule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all expiry dates &gt; submission date; expired items flagged</w:t>
            </w:r>
          </w:p>
        </w:tc>
      </w:tr>
    </w:tbl>
    <w:p>
      <w:pPr>
        <w:spacing w:before="0" w:after="120"/>
      </w:pPr>
    </w:p>
    <w:p>
      <w:pPr>
        <w:spacing w:before="0" w:after="0"/>
      </w:pPr>
      <w:r>
        <w:br w:type="page"/>
      </w:r>
    </w:p>
    <w:p>
      <w:pPr>
        <w:pStyle w:val="Heading2"/>
        <w:keepNext/>
      </w:pPr>
      <w:r>
        <w:rPr>
          <w:rFonts w:ascii="Calibri" w:hAnsi="Calibri"/>
          <w:b w:val="0"/>
          <w:sz w:val="32"/>
        </w:rPr>
        <w:t>31. Company Registration</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Company Registration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CIPC registration current</w:t>
            </w:r>
          </w:p>
        </w:tc>
      </w:tr>
    </w:tbl>
    <w:p>
      <w:pPr>
        <w:spacing w:before="0" w:after="120"/>
      </w:pPr>
    </w:p>
    <w:p>
      <w:pPr>
        <w:spacing w:before="0" w:after="0"/>
      </w:pPr>
      <w:r>
        <w:br w:type="page"/>
      </w:r>
    </w:p>
    <w:p>
      <w:pPr>
        <w:pStyle w:val="Heading2"/>
        <w:keepNext/>
      </w:pPr>
      <w:r>
        <w:rPr>
          <w:rFonts w:ascii="Calibri" w:hAnsi="Calibri"/>
          <w:b w:val="0"/>
          <w:sz w:val="32"/>
        </w:rPr>
        <w:t>32. Tax Clearance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Tax Clearance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expiry date &gt; submission date (current valid to 2027-02-23)</w:t>
            </w:r>
          </w:p>
        </w:tc>
      </w:tr>
    </w:tbl>
    <w:p>
      <w:pPr>
        <w:spacing w:before="0" w:after="120"/>
      </w:pPr>
    </w:p>
    <w:p>
      <w:pPr>
        <w:spacing w:before="0" w:after="0"/>
      </w:pPr>
      <w:r>
        <w:br w:type="page"/>
      </w:r>
    </w:p>
    <w:p>
      <w:pPr>
        <w:pStyle w:val="Heading2"/>
        <w:keepNext/>
      </w:pPr>
      <w:r>
        <w:rPr>
          <w:rFonts w:ascii="Calibri" w:hAnsi="Calibri"/>
          <w:b w:val="0"/>
          <w:sz w:val="32"/>
        </w:rPr>
        <w:t>33. Directors' Resolution</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Directors' Resolution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Renewed 2026-06-15; confirm still valid at submission date</w:t>
            </w:r>
          </w:p>
        </w:tc>
      </w:tr>
    </w:tbl>
    <w:p>
      <w:pPr>
        <w:spacing w:before="0" w:after="120"/>
      </w:pPr>
    </w:p>
    <w:p>
      <w:pPr>
        <w:spacing w:before="0" w:after="0"/>
      </w:pPr>
      <w:r>
        <w:br w:type="page"/>
      </w:r>
    </w:p>
    <w:p>
      <w:pPr>
        <w:pStyle w:val="Heading2"/>
        <w:keepNext/>
      </w:pPr>
      <w:r>
        <w:rPr>
          <w:rFonts w:ascii="Calibri" w:hAnsi="Calibri"/>
          <w:b w:val="0"/>
          <w:sz w:val="32"/>
        </w:rPr>
        <w:t>34. B-BBEE Certificate</w:t>
      </w:r>
    </w:p>
    <w:p>
      <w:pPr>
        <w:spacing w:before="0" w:after="60"/>
      </w:pPr>
      <w:r>
        <w:rPr>
          <w:rFonts w:ascii="Calibri" w:hAnsi="Calibri"/>
          <w:i/>
          <w:color w:val="808080"/>
          <w:sz w:val="17"/>
        </w:rPr>
        <w:t>⚙  Governance: OAR-C01/C02/A01: B-BBEE cert expires 2026-07-31; never cite BEE status after that date without renewal</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Expires 2026-07-31 — do not submit after that date without renewal cert</w:t>
            </w:r>
          </w:p>
        </w:tc>
      </w:tr>
    </w:tbl>
    <w:p>
      <w:pPr>
        <w:spacing w:before="0" w:after="120"/>
      </w:pPr>
    </w:p>
    <w:p>
      <w:pPr>
        <w:spacing w:before="0" w:after="0"/>
      </w:pPr>
      <w:r>
        <w:br w:type="page"/>
      </w:r>
    </w:p>
    <w:p>
      <w:pPr>
        <w:pStyle w:val="Heading2"/>
        <w:keepNext/>
      </w:pPr>
      <w:r>
        <w:rPr>
          <w:rFonts w:ascii="Calibri" w:hAnsi="Calibri"/>
          <w:b w:val="0"/>
          <w:sz w:val="32"/>
        </w:rPr>
        <w:t>35. Public Liability Insurance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Public Liability Insurance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Obtained 2026-06-15; confirm exact expiry from policy (OAR pending confirmation)</w:t>
            </w:r>
          </w:p>
        </w:tc>
      </w:tr>
    </w:tbl>
    <w:p>
      <w:pPr>
        <w:spacing w:before="0" w:after="120"/>
      </w:pPr>
    </w:p>
    <w:p>
      <w:pPr>
        <w:spacing w:before="0" w:after="0"/>
      </w:pPr>
      <w:r>
        <w:br w:type="page"/>
      </w:r>
    </w:p>
    <w:p>
      <w:pPr>
        <w:pStyle w:val="Heading2"/>
        <w:keepNext/>
      </w:pPr>
      <w:r>
        <w:rPr>
          <w:rFonts w:ascii="Calibri" w:hAnsi="Calibri"/>
          <w:b w:val="0"/>
          <w:sz w:val="32"/>
        </w:rPr>
        <w:t>36. Oracle OPN Certificate</w:t>
      </w:r>
    </w:p>
    <w:p>
      <w:pPr>
        <w:spacing w:before="0" w:after="60"/>
      </w:pPr>
      <w:r>
        <w:rPr>
          <w:rFonts w:ascii="Calibri" w:hAnsi="Calibri"/>
          <w:i/>
          <w:color w:val="808080"/>
          <w:sz w:val="17"/>
        </w:rPr>
        <w:t>⚙  Governance: Never cite 'Oracle Gold Partner' — expired August 2021</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rPr>
          <w:rFonts w:ascii="Calibri" w:hAnsi="Calibri"/>
          <w:b w:val="0"/>
          <w:sz w:val="32"/>
        </w:rPr>
        <w:t>37. Client References</w:t>
      </w:r>
    </w:p>
    <w:p>
      <w:pPr>
        <w:spacing w:before="0" w:after="60"/>
      </w:pPr>
      <w:r>
        <w:rPr>
          <w:rFonts w:ascii="Calibri" w:hAnsi="Calibri"/>
          <w:i/>
          <w:color w:val="808080"/>
          <w:sz w:val="17"/>
        </w:rPr>
        <w:t>⚙  Governance: Never cite DFA, CCBA, SAA. Never cite Redpath Mining until Rule 21.5 waived. Never name Hollywood Bets without AM approval. Never name KPMG in PPM/ERP until AM-W4E3-001 cleared.</w:t>
      </w:r>
    </w:p>
    <w:p>
      <w:pPr>
        <w:spacing w:before="0" w:after="60"/>
      </w:pPr>
      <w:r>
        <w:rPr>
          <w:rFonts w:ascii="Calibri" w:hAnsi="Calibri"/>
          <w:i/>
          <w:color w:val="808080"/>
          <w:sz w:val="17"/>
        </w:rPr>
        <w:t>⚙  Governance: SI-005</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rPr>
          <w:rFonts w:ascii="Calibri" w:hAnsi="Calibri"/>
          <w:b w:val="0"/>
          <w:sz w:val="32"/>
        </w:rPr>
        <w:t>Appendix A — Complete Assumption Schedule</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all WP17D-1 validation checks must pass; counts match body sections</w:t>
            </w:r>
          </w:p>
        </w:tc>
      </w:tr>
    </w:tbl>
    <w:p>
      <w:pPr>
        <w:spacing w:before="0" w:after="120"/>
      </w:pPr>
    </w:p>
    <w:p>
      <w:pPr>
        <w:spacing w:before="0" w:after="0"/>
      </w:pPr>
      <w:r>
        <w:br w:type="page"/>
      </w:r>
    </w:p>
    <w:p>
      <w:pPr>
        <w:pStyle w:val="Heading2"/>
        <w:keepNext/>
      </w:pPr>
      <w:r>
        <w:rPr>
          <w:rFonts w:ascii="Calibri" w:hAnsi="Calibri"/>
          <w:b w:val="0"/>
          <w:sz w:val="32"/>
        </w:rPr>
        <w:t>Appendix D — Certifications and Compliance</w:t>
      </w:r>
    </w:p>
    <w:p>
      <w:pPr>
        <w:spacing w:before="0" w:after="60"/>
      </w:pPr>
      <w:r>
        <w:rPr>
          <w:rFonts w:ascii="Calibri" w:hAnsi="Calibri"/>
          <w:i/>
          <w:color w:val="808080"/>
          <w:sz w:val="17"/>
        </w:rPr>
        <w:t>⚙  Governance: Never submit a proposal with expired compliance documents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Certifications and Compliance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All expiry dates must be &gt; submission date</w:t>
            </w:r>
          </w:p>
        </w:tc>
      </w:tr>
    </w:tbl>
    <w:p>
      <w:pPr>
        <w:spacing w:before="0" w:after="120"/>
      </w:pPr>
    </w:p>
    <w:p>
      <w:pPr>
        <w:spacing w:before="0" w:after="0"/>
      </w:pPr>
      <w:r>
        <w:br w:type="page"/>
      </w:r>
    </w:p>
    <w:p>
      <w:pPr>
        <w:pStyle w:val="Heading2"/>
        <w:keepNext/>
      </w:pPr>
      <w:r>
        <w:rPr>
          <w:rFonts w:ascii="Calibri" w:hAnsi="Calibri"/>
          <w:b w:val="0"/>
          <w:sz w:val="32"/>
        </w:rPr>
        <w:t>Appendix E — B-BBEE Certificate</w:t>
      </w:r>
    </w:p>
    <w:p>
      <w:pPr>
        <w:spacing w:before="0" w:after="60"/>
      </w:pPr>
      <w:r>
        <w:rPr>
          <w:rFonts w:ascii="Calibri" w:hAnsi="Calibri"/>
          <w:i/>
          <w:color w:val="808080"/>
          <w:sz w:val="17"/>
        </w:rPr>
        <w:t>⚙  Governance: B-BBEE cert expires 2026-07-31; never cite BEE status after that date without renewal cert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Expiry 2026-07-31; OAR-C01/C02/A01 BEE blocker</w:t>
            </w:r>
          </w:p>
        </w:tc>
      </w:tr>
    </w:tbl>
    <w:p>
      <w:pPr>
        <w:spacing w:before="0" w:after="120"/>
      </w:pPr>
    </w:p>
    <w:p>
      <w:pPr>
        <w:pBdr>
          <w:bottom w:val="single" w:sz="4" w:space="1" w:color="CCCCCC"/>
        </w:pBdr>
        <w:spacing w:before="80" w:after="8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RENDERED=21 | PLACEHOLDER=18 | AI-DRAFT=3 | NOT_FOUND=0 | SKIPPED=0</w:t>
            </w:r>
          </w:p>
        </w:tc>
      </w:tr>
    </w:tbl>
    <w:p>
      <w:pPr>
        <w:spacing w:before="0" w:after="120"/>
      </w:pPr>
    </w:p>
    <w:p>
      <w:pPr/>
      <w:r>
        <w:rPr>
          <w:rFonts w:ascii="Calibri" w:hAnsi="Calibri"/>
          <w:sz w:val="22"/>
        </w:rPr>
        <w:t>*End of document — assembled by APPSolve Proposal Factory v1.0*</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rFonts w:ascii="Calibri" w:hAnsi="Calibri"/>
        <w:sz w:val="18"/>
      </w:rPr>
      <w:tab/>
    </w:r>
    <w:r>
      <w:rPr>
        <w:rFonts w:ascii="Calibri" w:hAnsi="Calibri"/>
        <w:color w:val="808080"/>
        <w:sz w:val="18"/>
      </w:rPr>
      <w:t>Oracle HCM Cloud — Implementation Proposal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