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libri" w:hAnsi="Calibri"/>
          <w:b/>
          <w:color w:val="00467F"/>
          <w:sz w:val="44"/>
        </w:rPr>
        <w:t>APPSolve — V4 Internal Review Workbook</w:t>
      </w:r>
    </w:p>
    <w:p>
      <w:pPr>
        <w:spacing w:after="320"/>
        <w:jc w:val="center"/>
      </w:pPr>
      <w:r>
        <w:rPr>
          <w:rFonts w:ascii="Calibri" w:hAnsi="Calibri"/>
          <w:color w:val="0070C0"/>
          <w:sz w:val="22"/>
        </w:rPr>
        <w:t>PLENNEGY-HCM-001  |  Oracle HCM Cloud  |  2026-06-30  |  PF2-008 PEE v1.0</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D4EDDA"/>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4</w:t>
              <w:br/>
              <w:t>RENDERED</w:t>
            </w:r>
          </w:p>
        </w:tc>
        <w:tc>
          <w:tcPr>
            <w:tcW w:type="dxa" w:w="1805"/>
            <w:shd w:val="clear" w:color="auto" w:fill="E8F3E8"/>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10</w:t>
              <w:br/>
              <w:t>AUTHORED</w:t>
            </w:r>
          </w:p>
        </w:tc>
        <w:tc>
          <w:tcPr>
            <w:tcW w:type="dxa" w:w="1805"/>
            <w:shd w:val="clear" w:color="auto" w:fill="F8D7DA"/>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0</w:t>
              <w:br/>
              <w:t>PLACEHOLDER</w:t>
            </w:r>
          </w:p>
        </w:tc>
        <w:tc>
          <w:tcPr>
            <w:tcW w:type="dxa" w:w="1805"/>
            <w:shd w:val="clear" w:color="auto" w:fill="FFF3CD"/>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2</w:t>
              <w:br/>
              <w:t>AI_DRAFT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16</w:t>
              <w:br/>
              <w:t>TOTAL</w:t>
            </w:r>
          </w:p>
        </w:tc>
      </w:tr>
    </w:tbl>
    <w:p>
      <w:pPr>
        <w:spacing w:after="16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**Internal Use Only.**</w:t>
            </w:r>
            <w:r>
              <w:rPr>
                <w:rFonts w:ascii="Calibri" w:hAnsi="Calibri"/>
                <w:b w:val="0"/>
                <w:sz w:val="20"/>
              </w:rPr>
              <w:t xml:space="preserve"> This workbook shows all V4 editorial decisions, action items, and sections requiring completion. Do not distribute to clients.</w:t>
            </w:r>
          </w:p>
        </w:tc>
      </w:tr>
    </w:tbl>
    <w:p>
      <w:pPr>
        <w:spacing w:before="0" w:after="120"/>
      </w:pPr>
    </w:p>
    <w:p>
      <w:pPr>
        <w:spacing w:before="0" w:after="0"/>
      </w:pPr>
      <w:r>
        <w:br w:type="page"/>
      </w:r>
    </w:p>
    <w:p>
      <w:pPr>
        <w:pStyle w:val="Heading1"/>
        <w:spacing w:before="0"/>
      </w:pPr>
      <w:r>
        <w:t>V3 → V4 Editorial Change Summary</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18"/>
              </w:rPr>
              <w:t>Section</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18"/>
              </w:rPr>
              <w:t>Mode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18"/>
              </w:rPr>
              <w:t>V3 Segs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18"/>
              </w:rPr>
              <w:t>Budget</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18"/>
              </w:rPr>
              <w:t>V4 Segs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18"/>
              </w:rPr>
              <w:t>Removed</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18"/>
              </w:rPr>
              <w:t>Status</w:t>
            </w:r>
          </w:p>
        </w:tc>
      </w:tr>
      <w:tr>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 Executive Summary</w:t>
            </w:r>
          </w:p>
        </w:tc>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budgeted</w:t>
            </w:r>
          </w:p>
        </w:tc>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12</w:t>
            </w:r>
          </w:p>
        </w:tc>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0</w:t>
            </w:r>
          </w:p>
        </w:tc>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AI_DRAFT</w:t>
            </w:r>
          </w:p>
        </w:tc>
      </w:tr>
      <w:tr>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2. Understanding Plennegy's Requirements</w:t>
            </w:r>
          </w:p>
        </w:tc>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budgeted</w:t>
            </w:r>
          </w:p>
        </w:tc>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12</w:t>
            </w:r>
          </w:p>
        </w:tc>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0</w:t>
            </w:r>
          </w:p>
        </w:tc>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FFF3CD"/>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AI_DRAFT</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3. Proposed Oracle HCM Solution</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40</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5</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4. Why APPSolve</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budgeted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72</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24</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25</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−48 (f:0/b:0/d:1/o:47)</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RENDERED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5. Delivery Approach</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budgeted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144</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40</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41</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−104 (f:0/b:0/d:0/o:104)</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RENDERED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6. Project Governance</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budgeted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6</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24</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6</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7. Implementation Roadmap</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20</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4</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8. Key Assumptions</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budgeted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5</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24</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5</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9. Key Project Risks and Mitigations</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16</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3</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10. Commercial Inputs</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budgeted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4</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16</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4</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11. Next Steps (Customer Actions)</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budgeted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3</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12</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3</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Appendix A — Oracle HCM Capability Summary</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20</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4</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Appendix B — Detailed Capability Catalogue</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budgeted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797</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96</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96</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−701 (f:9/b:0/d:11/o:681)</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RENDERED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Appendix C — Assumption Schedule</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budgeted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367</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120</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120</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−247 (f:12/b:1/d:0/o:234)</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RENDERED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Appendix D — Reference Projects</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24</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4</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r>
      <w:tr>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Appendix E — Glossary</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16</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2</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w:t>
            </w:r>
          </w:p>
        </w:tc>
        <w:tc>
          <w:tcPr>
            <w:tcW w:type="dxa" w:w="1289"/>
            <w:shd w:val="clear" w:color="auto" w:fill="D4EDDA"/>
            <w:tcBorders>
              <w:top w:val="single" w:sz="4" w:space="0" w:color="D0D0D0"/>
              <w:left w:val="single" w:sz="4" w:space="0" w:color="D0D0D0"/>
              <w:bottom w:val="single" w:sz="4" w:space="0" w:color="D0D0D0"/>
              <w:right w:val="single" w:sz="4" w:space="0" w:color="D0D0D0"/>
            </w:tcBorders>
          </w:tcPr>
          <w:p>
            <w:pPr>
              <w:spacing w:before="40" w:after="40"/>
            </w:pPr>
            <w:r>
              <w:rPr>
                <w:rFonts w:ascii="Calibri" w:hAnsi="Calibri"/>
                <w:b w:val="0"/>
                <w:sz w:val="17"/>
              </w:rPr>
              <w:t>AUTHORED</w:t>
            </w:r>
          </w:p>
        </w:tc>
      </w:tr>
    </w:tbl>
    <w:p>
      <w:pPr>
        <w:spacing w:before="0" w:after="0"/>
      </w:pPr>
      <w:r>
        <w:br w:type="page"/>
      </w:r>
    </w:p>
    <w:p>
      <w:pPr>
        <w:spacing w:before="0" w:after="0"/>
      </w:pPr>
      <w:r>
        <w:br w:type="page"/>
      </w:r>
    </w:p>
    <w:p>
      <w:pPr>
        <w:pStyle w:val="Heading2"/>
        <w:keepNext/>
      </w:pPr>
      <w:r>
        <w:rPr>
          <w:rFonts w:ascii="Calibri" w:hAnsi="Calibri"/>
          <w:b w:val="0"/>
          <w:sz w:val="32"/>
        </w:rPr>
        <w:t>1. Executive Summary ✏</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8" w:space="0" w:color="CC0000"/>
              <w:left w:val="single" w:sz="8" w:space="0" w:color="CC0000"/>
              <w:bottom w:val="single" w:sz="8" w:space="0" w:color="CC0000"/>
              <w:right w:val="single" w:sz="8" w:space="0" w:color="CC0000"/>
            </w:tcBorders>
          </w:tcPr>
          <w:p>
            <w:pPr>
              <w:spacing w:before="80" w:after="40"/>
            </w:pPr>
            <w:r>
              <w:rPr>
                <w:rFonts w:ascii="Calibri" w:hAnsi="Calibri"/>
                <w:b/>
                <w:sz w:val="20"/>
              </w:rPr>
              <w:t>⚠  AI-DRAFT REQUIRED — BU Lead review before submission</w:t>
            </w:r>
          </w:p>
          <w:p>
            <w:pPr>
              <w:spacing w:before="0" w:after="40"/>
            </w:pPr>
            <w:r>
              <w:rPr>
                <w:rFonts w:ascii="Calibri" w:hAnsi="Calibri"/>
                <w:sz w:val="19"/>
              </w:rPr>
              <w:t>1. Executive Summary</w:t>
            </w:r>
          </w:p>
          <w:p>
            <w:pPr>
              <w:spacing w:before="0" w:after="80"/>
            </w:pPr>
            <w:r>
              <w:rPr>
                <w:rFonts w:ascii="Calibri" w:hAnsi="Calibri"/>
                <w:i/>
                <w:color w:val="707070"/>
                <w:sz w:val="18"/>
              </w:rPr>
              <w:t>Owner: BU Lead</w:t>
            </w:r>
          </w:p>
        </w:tc>
      </w:tr>
    </w:tbl>
    <w:p>
      <w:pPr>
        <w:spacing w:after="120"/>
      </w:pPr>
    </w:p>
    <w:p>
      <w:pPr>
        <w:spacing w:before="0" w:after="60"/>
      </w:pPr>
      <w:r>
        <w:rPr>
          <w:rFonts w:ascii="Calibri" w:hAnsi="Calibri"/>
          <w:i/>
          <w:color w:val="707070"/>
          <w:sz w:val="17"/>
        </w:rPr>
        <w:t>⚙  Governance: Never use Candidate_Content/ or Review_Required/ in any tender</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Executive Summary</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tailor to tender-specific win themes*</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rPr>
          <w:rFonts w:ascii="Calibri" w:hAnsi="Calibri"/>
          <w:b w:val="0"/>
          <w:sz w:val="32"/>
        </w:rPr>
        <w:t>2. Understanding Plennegy's Requirements ✏</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8" w:space="0" w:color="CC0000"/>
              <w:left w:val="single" w:sz="8" w:space="0" w:color="CC0000"/>
              <w:bottom w:val="single" w:sz="8" w:space="0" w:color="CC0000"/>
              <w:right w:val="single" w:sz="8" w:space="0" w:color="CC0000"/>
            </w:tcBorders>
          </w:tcPr>
          <w:p>
            <w:pPr>
              <w:spacing w:before="80" w:after="40"/>
            </w:pPr>
            <w:r>
              <w:rPr>
                <w:rFonts w:ascii="Calibri" w:hAnsi="Calibri"/>
                <w:b/>
                <w:sz w:val="20"/>
              </w:rPr>
              <w:t>⚠  AI-DRAFT REQUIRED — BU Lead review before submission</w:t>
            </w:r>
          </w:p>
          <w:p>
            <w:pPr>
              <w:spacing w:before="0" w:after="40"/>
            </w:pPr>
            <w:r>
              <w:rPr>
                <w:rFonts w:ascii="Calibri" w:hAnsi="Calibri"/>
                <w:sz w:val="19"/>
              </w:rPr>
              <w:t>2. Understanding Plennegy's Requirements</w:t>
            </w:r>
          </w:p>
          <w:p>
            <w:pPr>
              <w:spacing w:before="0" w:after="80"/>
            </w:pPr>
            <w:r>
              <w:rPr>
                <w:rFonts w:ascii="Calibri" w:hAnsi="Calibri"/>
                <w:i/>
                <w:color w:val="707070"/>
                <w:sz w:val="18"/>
              </w:rPr>
              <w:t>Owner: BU Lead</w:t>
            </w:r>
          </w:p>
        </w:tc>
      </w:tr>
    </w:tbl>
    <w:p>
      <w:pPr>
        <w:spacing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Understanding of Requirements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drawn from tender RFP/RFQ document*</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rPr>
          <w:rFonts w:ascii="Calibri" w:hAnsi="Calibri"/>
          <w:b w:val="0"/>
          <w:sz w:val="32"/>
        </w:rPr>
        <w:t>3. Proposed Oracle HCM Solution ✎</w:t>
      </w:r>
    </w:p>
    <w:tbl>
      <w:tblPr>
        <w:tblStyle w:val="TableGrid"/>
        <w:tblW w:type="auto" w:w="0"/>
        <w:tblLook w:firstColumn="1" w:firstRow="1" w:lastColumn="0" w:lastRow="0" w:noHBand="0" w:noVBand="1" w:val="04A0"/>
      </w:tblPr>
      <w:tblGrid>
        <w:gridCol w:w="9026"/>
      </w:tblGrid>
      <w:tr>
        <w:tc>
          <w:tcPr>
            <w:tcW w:type="dxa" w:w="9026"/>
            <w:shd w:val="clear" w:color="auto" w:fill="EAF4FF"/>
            <w:tcBorders>
              <w:top w:val="single" w:sz="6" w:space="0" w:color="0070C0"/>
              <w:left w:val="single" w:sz="6" w:space="0" w:color="0070C0"/>
              <w:bottom w:val="single" w:sz="6" w:space="0" w:color="0070C0"/>
              <w:right w:val="single" w:sz="6" w:space="0" w:color="0070C0"/>
            </w:tcBorders>
          </w:tcPr>
          <w:p>
            <w:pPr>
              <w:spacing w:before="60" w:after="60"/>
            </w:pPr>
            <w:r>
              <w:rPr>
                <w:rFonts w:ascii="Calibri" w:hAnsi="Calibri"/>
                <w:i/>
                <w:color w:val="707070"/>
                <w:sz w:val="19"/>
              </w:rPr>
              <w:t>Authored content. Review for accuracy before submission.</w:t>
            </w:r>
          </w:p>
        </w:tc>
      </w:tr>
    </w:tbl>
    <w:p>
      <w:pPr>
        <w:spacing w:after="80"/>
      </w:pPr>
    </w:p>
    <w:p>
      <w:pPr/>
      <w:r>
        <w:rPr>
          <w:rFonts w:ascii="Calibri" w:hAnsi="Calibri"/>
          <w:b w:val="0"/>
          <w:sz w:val="22"/>
        </w:rPr>
        <w:t>Based on the scope discussed with Plennegy Group, APPSolve recommends a phased Oracle HCM Cloud implementation delivering Core HCM and integration capability in Phase 1, followed by Talent and Learning modules in Phase 2.</w:t>
      </w:r>
    </w:p>
    <w:p>
      <w:pPr>
        <w:pStyle w:val="Heading3"/>
        <w:keepNext/>
      </w:pPr>
      <w:r>
        <w:rPr>
          <w:rFonts w:ascii="Calibri" w:hAnsi="Calibri"/>
          <w:b w:val="0"/>
          <w:sz w:val="26"/>
        </w:rPr>
        <w:t>Proposed Implementation Scope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Oracle 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Proposed 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HR, Organisation Structure, Employee Lifecycle, Position Management, Absence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Vacancy Management, Candidate Sourcing, Offer Management, Pre-Employment, Onboarding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Third-Party Integrations, Middleware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 Phase 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Catalogue, Certifications, Instructor-Led Training, Learning Paths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Talent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Goals Framework, Succession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r>
    </w:tbl>
    <w:p>
      <w:pPr>
        <w:spacing w:before="0" w:after="120"/>
      </w:pPr>
    </w:p>
    <w:p>
      <w:pPr>
        <w:pStyle w:val="Heading3"/>
        <w:keepNext/>
      </w:pPr>
      <w:r>
        <w:rPr>
          <w:rFonts w:ascii="Calibri" w:hAnsi="Calibri"/>
          <w:b w:val="0"/>
          <w:sz w:val="26"/>
        </w:rPr>
        <w:t>Scope Basis</w:t>
      </w:r>
    </w:p>
    <w:p>
      <w:pPr/>
      <w:r>
        <w:rPr>
          <w:rFonts w:ascii="Calibri" w:hAnsi="Calibri"/>
          <w:b w:val="0"/>
          <w:sz w:val="22"/>
        </w:rPr>
        <w:t>The above scope is indicative pending confirmation of legal entity count, employee headcount, go-live target date, and payroll provider from Plennegy Group. Pricing and timeline will be confirmed in the formal Commercial Proposal once scope parameters are agreed.</w:t>
      </w:r>
    </w:p>
    <w:p>
      <w:pPr>
        <w:pStyle w:val="Heading3"/>
        <w:keepNext/>
      </w:pPr>
      <w:r>
        <w:rPr>
          <w:rFonts w:ascii="Calibri" w:hAnsi="Calibri"/>
          <w:b w:val="0"/>
          <w:sz w:val="26"/>
        </w:rPr>
        <w:t>What Is Not Included in This Proposal</w:t>
      </w:r>
    </w:p>
    <w:p>
      <w:pPr/>
      <w:r>
        <w:rPr>
          <w:rFonts w:ascii="Calibri" w:hAnsi="Calibri"/>
          <w:b w:val="0"/>
          <w:sz w:val="22"/>
        </w:rPr>
        <w:t xml:space="preserve">Oracle HCM Cloud module capability summaries are provided in </w:t>
      </w:r>
      <w:r>
        <w:rPr>
          <w:rFonts w:ascii="Calibri" w:hAnsi="Calibri"/>
          <w:sz w:val="22"/>
        </w:rPr>
        <w:t>**Appendix A**</w:t>
      </w:r>
      <w:r>
        <w:rPr>
          <w:rFonts w:ascii="Calibri" w:hAnsi="Calibri"/>
          <w:b w:val="0"/>
          <w:sz w:val="22"/>
        </w:rPr>
        <w:t xml:space="preserve">. Full module-level feature descriptions and delivery evidence are in </w:t>
      </w:r>
      <w:r>
        <w:rPr>
          <w:rFonts w:ascii="Calibri" w:hAnsi="Calibri"/>
          <w:sz w:val="22"/>
        </w:rPr>
        <w:t>**Appendix B**</w:t>
      </w:r>
      <w:r>
        <w:rPr>
          <w:rFonts w:ascii="Calibri" w:hAnsi="Calibri"/>
          <w:b w:val="0"/>
          <w:sz w:val="22"/>
        </w:rPr>
        <w:t>.</w:t>
      </w:r>
    </w:p>
    <w:p>
      <w:pPr>
        <w:spacing w:before="0" w:after="0"/>
      </w:pPr>
      <w:r>
        <w:br w:type="page"/>
      </w:r>
    </w:p>
    <w:p>
      <w:pPr>
        <w:pStyle w:val="Heading2"/>
        <w:keepNext/>
      </w:pPr>
      <w:r>
        <w:rPr>
          <w:rFonts w:ascii="Calibri" w:hAnsi="Calibri"/>
          <w:b w:val="0"/>
          <w:sz w:val="32"/>
        </w:rPr>
        <w:t>4. Why APPSolve ✓</w:t>
      </w:r>
    </w:p>
    <w:tbl>
      <w:tblPr>
        <w:tblStyle w:val="TableGrid"/>
        <w:tblW w:type="auto" w:w="0"/>
        <w:tblLook w:firstColumn="1" w:firstRow="1" w:lastColumn="0" w:lastRow="0" w:noHBand="0" w:noVBand="1" w:val="04A0"/>
      </w:tblPr>
      <w:tblGrid>
        <w:gridCol w:w="9026"/>
      </w:tblGrid>
      <w:tr>
        <w:tc>
          <w:tcPr>
            <w:tcW w:type="dxa" w:w="9026"/>
            <w:shd w:val="clear" w:color="auto" w:fill="FFF8E8"/>
            <w:tcBorders>
              <w:top w:val="single" w:sz="6" w:space="0" w:color="CC8800"/>
              <w:left w:val="single" w:sz="6" w:space="0" w:color="CC8800"/>
              <w:bottom w:val="single" w:sz="6" w:space="0" w:color="CC8800"/>
              <w:right w:val="single" w:sz="6" w:space="0" w:color="CC8800"/>
            </w:tcBorders>
          </w:tcPr>
          <w:p>
            <w:pPr>
              <w:spacing w:before="60" w:after="60"/>
            </w:pPr>
            <w:r>
              <w:rPr>
                <w:rFonts w:ascii="Calibri" w:hAnsi="Calibri"/>
                <w:i/>
                <w:color w:val="707070"/>
                <w:sz w:val="19"/>
              </w:rPr>
              <w:t>Editorial: Truncated: 47 segs over budget (24 max) | Deduped: 1 segs removed</w:t>
            </w:r>
          </w:p>
        </w:tc>
      </w:tr>
    </w:tbl>
    <w:p>
      <w:pPr>
        <w:spacing w:after="80"/>
      </w:pP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pStyle w:val="Heading3"/>
        <w:keepNext/>
      </w:pPr>
      <w:r>
        <w:rPr>
          <w:rFonts w:ascii="Calibri" w:hAnsi="Calibri"/>
          <w:b w:val="0"/>
          <w:sz w:val="26"/>
        </w:rPr>
        <w:t>APPSolve Delivery Model</w:t>
      </w:r>
    </w:p>
    <w:p>
      <w:pPr>
        <w:pStyle w:val="Heading4"/>
        <w:keepNext/>
      </w:pPr>
      <w:r>
        <w:rPr>
          <w:rFonts w:ascii="Calibri" w:hAnsi="Calibri"/>
          <w:b w:val="0"/>
          <w:sz w:val="22"/>
        </w:rPr>
        <w:t>Products and Services</w:t>
      </w:r>
    </w:p>
    <w:p>
      <w:pPr>
        <w:pStyle w:val="Heading4"/>
        <w:keepNext/>
      </w:pPr>
      <w:r>
        <w:rPr>
          <w:rFonts w:ascii="Calibri" w:hAnsi="Calibri"/>
          <w:b w:val="0"/>
          <w:sz w:val="22"/>
        </w:rPr>
        <w:t>How APPSolve Delivers</w:t>
      </w:r>
    </w:p>
    <w:p>
      <w:pPr>
        <w:pStyle w:val="Heading5"/>
        <w:keepNext/>
      </w:pPr>
      <w:r>
        <w:rPr>
          <w:rFonts w:ascii="Calibri" w:hAnsi="Calibri"/>
          <w:b w:val="0"/>
          <w:sz w:val="22"/>
        </w:rPr>
        <w:t>Monthly Recurring Invoice Model</w:t>
      </w:r>
    </w:p>
    <w:p>
      <w:pPr>
        <w:pStyle w:val="Heading3"/>
        <w:keepNext/>
      </w:pPr>
      <w:r>
        <w:rPr>
          <w:rFonts w:ascii="Calibri" w:hAnsi="Calibri"/>
          <w:b w:val="0"/>
          <w:sz w:val="26"/>
        </w:rPr>
        <w:t>APPSolve Geographic Presence</w:t>
      </w:r>
    </w:p>
    <w:p>
      <w:pPr>
        <w:pStyle w:val="Heading4"/>
        <w:keepNext/>
      </w:pPr>
      <w:r>
        <w:rPr>
          <w:rFonts w:ascii="Calibri" w:hAnsi="Calibri"/>
          <w:b w:val="0"/>
          <w:sz w:val="22"/>
        </w:rPr>
        <w:t>Sub-Saharan Africa — Active and Recent Engagements</w:t>
      </w:r>
    </w:p>
    <w:p>
      <w:pPr>
        <w:pStyle w:val="Heading4"/>
        <w:keepNext/>
      </w:pPr>
      <w:r>
        <w:rPr>
          <w:rFonts w:ascii="Calibri" w:hAnsi="Calibri"/>
          <w:b w:val="0"/>
          <w:sz w:val="22"/>
        </w:rPr>
        <w:t>International Markets — Project Delivery</w:t>
      </w:r>
    </w:p>
    <w:p>
      <w:pPr>
        <w:pStyle w:val="Heading4"/>
        <w:keepNext/>
      </w:pPr>
      <w:r>
        <w:rPr>
          <w:rFonts w:ascii="Calibri" w:hAnsi="Calibri"/>
          <w:b w:val="0"/>
          <w:sz w:val="22"/>
        </w:rPr>
        <w:t>Industries by Geography</w:t>
      </w: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pStyle w:val="Heading5"/>
        <w:keepNext/>
      </w:pPr>
      <w:r>
        <w:rPr>
          <w:rFonts w:ascii="Calibri" w:hAnsi="Calibri"/>
          <w:b w:val="0"/>
          <w:sz w:val="22"/>
        </w:rPr>
        <w:t>1. Least Risk Option</w:t>
      </w:r>
    </w:p>
    <w:p>
      <w:pPr>
        <w:pStyle w:val="Heading5"/>
        <w:keepNext/>
      </w:pPr>
      <w:r>
        <w:rPr>
          <w:rFonts w:ascii="Calibri" w:hAnsi="Calibri"/>
          <w:b w:val="0"/>
          <w:sz w:val="22"/>
        </w:rPr>
        <w:t>2. Technical Expertise and Track Record</w:t>
      </w:r>
    </w:p>
    <w:p>
      <w:pPr>
        <w:pStyle w:val="Heading5"/>
        <w:keepNext/>
      </w:pPr>
      <w:r>
        <w:rPr>
          <w:rFonts w:ascii="Calibri" w:hAnsi="Calibri"/>
          <w:b w:val="0"/>
          <w:sz w:val="22"/>
        </w:rPr>
        <w:t>3. Service Delivery Management Team</w:t>
      </w:r>
    </w:p>
    <w:p>
      <w:pPr>
        <w:pStyle w:val="Heading5"/>
        <w:keepNext/>
      </w:pPr>
      <w:r>
        <w:rPr>
          <w:rFonts w:ascii="Calibri" w:hAnsi="Calibri"/>
          <w:b w:val="0"/>
          <w:sz w:val="22"/>
        </w:rPr>
        <w:t>4. On-site Expertise Support</w:t>
      </w:r>
    </w:p>
    <w:p>
      <w:pPr>
        <w:pStyle w:val="Heading5"/>
        <w:keepNext/>
      </w:pPr>
      <w:r>
        <w:rPr>
          <w:rFonts w:ascii="Calibri" w:hAnsi="Calibri"/>
          <w:b w:val="0"/>
          <w:sz w:val="22"/>
        </w:rPr>
        <w:t>5. Continuous Improvement Model</w:t>
      </w:r>
    </w:p>
    <w:p>
      <w:pPr>
        <w:pStyle w:val="Heading5"/>
        <w:keepNext/>
      </w:pPr>
      <w:r>
        <w:rPr>
          <w:rFonts w:ascii="Calibri" w:hAnsi="Calibri"/>
          <w:b w:val="0"/>
          <w:sz w:val="22"/>
        </w:rPr>
        <w:t>6. Hybrid Support Model</w:t>
      </w:r>
    </w:p>
    <w:p>
      <w:pPr>
        <w:pStyle w:val="Heading5"/>
        <w:keepNext/>
      </w:pPr>
      <w:r>
        <w:rPr>
          <w:rFonts w:ascii="Calibri" w:hAnsi="Calibri"/>
          <w:b w:val="0"/>
          <w:sz w:val="22"/>
        </w:rPr>
        <w:t>7. Flexible and Predictable Costing</w:t>
      </w:r>
    </w:p>
    <w:p>
      <w:pPr>
        <w:pStyle w:val="Heading3"/>
        <w:keepNext/>
      </w:pPr>
      <w:r>
        <w:rPr>
          <w:rFonts w:ascii="Calibri" w:hAnsi="Calibri"/>
          <w:b w:val="0"/>
          <w:sz w:val="26"/>
        </w:rPr>
        <w:t>APPSolve Oracle Partnership</w:t>
      </w:r>
    </w:p>
    <w:p>
      <w:pPr>
        <w:pStyle w:val="Heading4"/>
        <w:keepNext/>
      </w:pPr>
      <w:r>
        <w:rPr>
          <w:rFonts w:ascii="Calibri" w:hAnsi="Calibri"/>
          <w:b w:val="0"/>
          <w:sz w:val="22"/>
        </w:rPr>
        <w:t>Partner Credentials</w:t>
      </w:r>
    </w:p>
    <w:p>
      <w:pPr>
        <w:pStyle w:val="Heading4"/>
        <w:keepNext/>
      </w:pPr>
      <w:r>
        <w:rPr>
          <w:rFonts w:ascii="Calibri" w:hAnsi="Calibri"/>
          <w:b w:val="0"/>
          <w:sz w:val="22"/>
        </w:rPr>
        <w:t>Awards</w:t>
      </w:r>
    </w:p>
    <w:p>
      <w:pPr>
        <w:pStyle w:val="Heading4"/>
        <w:keepNext/>
      </w:pPr>
      <w:r>
        <w:rPr>
          <w:rFonts w:ascii="Calibri" w:hAnsi="Calibri"/>
          <w:b w:val="0"/>
          <w:sz w:val="22"/>
        </w:rPr>
        <w:t>Oracle Backed</w:t>
      </w:r>
    </w:p>
    <w:p>
      <w:pPr/>
      <w:r>
        <w:rPr>
          <w:rFonts w:ascii="Calibri" w:hAnsi="Calibri"/>
          <w:b w:val="0"/>
          <w:sz w:val="22"/>
        </w:rPr>
        <w:t>_This section has been summarised for conciseness. Full detail is provided in Appendix D (Reference Projects)._</w:t>
      </w:r>
    </w:p>
    <w:p>
      <w:pPr>
        <w:spacing w:before="0" w:after="0"/>
      </w:pPr>
      <w:r>
        <w:br w:type="page"/>
      </w:r>
    </w:p>
    <w:p>
      <w:pPr>
        <w:pStyle w:val="Heading2"/>
        <w:keepNext/>
      </w:pPr>
      <w:r>
        <w:rPr>
          <w:rFonts w:ascii="Calibri" w:hAnsi="Calibri"/>
          <w:b w:val="0"/>
          <w:sz w:val="32"/>
        </w:rPr>
        <w:t>5. Delivery Approach ✓</w:t>
      </w:r>
    </w:p>
    <w:tbl>
      <w:tblPr>
        <w:tblStyle w:val="TableGrid"/>
        <w:tblW w:type="auto" w:w="0"/>
        <w:tblLook w:firstColumn="1" w:firstRow="1" w:lastColumn="0" w:lastRow="0" w:noHBand="0" w:noVBand="1" w:val="04A0"/>
      </w:tblPr>
      <w:tblGrid>
        <w:gridCol w:w="9026"/>
      </w:tblGrid>
      <w:tr>
        <w:tc>
          <w:tcPr>
            <w:tcW w:type="dxa" w:w="9026"/>
            <w:shd w:val="clear" w:color="auto" w:fill="FFF8E8"/>
            <w:tcBorders>
              <w:top w:val="single" w:sz="6" w:space="0" w:color="CC8800"/>
              <w:left w:val="single" w:sz="6" w:space="0" w:color="CC8800"/>
              <w:bottom w:val="single" w:sz="6" w:space="0" w:color="CC8800"/>
              <w:right w:val="single" w:sz="6" w:space="0" w:color="CC8800"/>
            </w:tcBorders>
          </w:tcPr>
          <w:p>
            <w:pPr>
              <w:spacing w:before="60" w:after="60"/>
            </w:pPr>
            <w:r>
              <w:rPr>
                <w:rFonts w:ascii="Calibri" w:hAnsi="Calibri"/>
                <w:i/>
                <w:color w:val="707070"/>
                <w:sz w:val="19"/>
              </w:rPr>
              <w:t>Editorial: Truncated: 104 segs over budget (40 max)</w:t>
            </w:r>
          </w:p>
        </w:tc>
      </w:tr>
    </w:tbl>
    <w:p>
      <w:pPr>
        <w:spacing w:after="80"/>
      </w:pP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Heading5"/>
        <w:keepNext/>
      </w:pPr>
      <w:r>
        <w:rPr>
          <w:rFonts w:ascii="Calibri" w:hAnsi="Calibri"/>
          <w:b w:val="0"/>
          <w:sz w:val="22"/>
        </w:rPr>
        <w:t>6.5 Prototype 2 — CRP2</w:t>
      </w:r>
    </w:p>
    <w:p>
      <w:pPr>
        <w:pStyle w:val="Heading5"/>
        <w:keepNext/>
      </w:pPr>
      <w:r>
        <w:rPr>
          <w:rFonts w:ascii="Calibri" w:hAnsi="Calibri"/>
          <w:b w:val="0"/>
          <w:sz w:val="22"/>
        </w:rPr>
        <w:t>6.6 System Integration Testing (SIT)</w:t>
      </w:r>
    </w:p>
    <w:p>
      <w:pPr>
        <w:pBdr>
          <w:bottom w:val="single" w:sz="4" w:space="1" w:color="CCCCCC"/>
        </w:pBdr>
        <w:spacing w:before="80" w:after="80"/>
      </w:pPr>
    </w:p>
    <w:p>
      <w:pPr>
        <w:pStyle w:val="Heading4"/>
        <w:keepNext/>
      </w:pPr>
      <w:r>
        <w:rPr>
          <w:rFonts w:ascii="Calibri" w:hAnsi="Calibri"/>
          <w:b w:val="0"/>
          <w:sz w:val="22"/>
        </w:rPr>
        <w:t>7. Validate Phase</w:t>
      </w:r>
    </w:p>
    <w:p>
      <w:pPr>
        <w:pStyle w:val="Heading5"/>
        <w:keepNext/>
      </w:pPr>
      <w:r>
        <w:rPr>
          <w:rFonts w:ascii="Calibri" w:hAnsi="Calibri"/>
          <w:b w:val="0"/>
          <w:sz w:val="22"/>
        </w:rPr>
        <w:t>7.1 Production-to-Test Copy</w:t>
      </w:r>
    </w:p>
    <w:p>
      <w:pPr>
        <w:pStyle w:val="Heading5"/>
        <w:keepNext/>
      </w:pPr>
      <w:r>
        <w:rPr>
          <w:rFonts w:ascii="Calibri" w:hAnsi="Calibri"/>
          <w:b w:val="0"/>
          <w:sz w:val="22"/>
        </w:rPr>
        <w:t>7.2 Final Validation</w:t>
      </w:r>
    </w:p>
    <w:p>
      <w:pPr>
        <w:pStyle w:val="Heading5"/>
        <w:keepNext/>
      </w:pPr>
      <w:r>
        <w:rPr>
          <w:rFonts w:ascii="Calibri" w:hAnsi="Calibri"/>
          <w:b w:val="0"/>
          <w:sz w:val="22"/>
        </w:rPr>
        <w:t>7.3 Documentation Finalisation</w:t>
      </w:r>
    </w:p>
    <w:p>
      <w:pPr>
        <w:pStyle w:val="Heading5"/>
        <w:keepNext/>
      </w:pPr>
      <w:r>
        <w:rPr>
          <w:rFonts w:ascii="Calibri" w:hAnsi="Calibri"/>
          <w:b w:val="0"/>
          <w:sz w:val="22"/>
        </w:rPr>
        <w:t>7.4 Go-Live Preparation</w:t>
      </w:r>
    </w:p>
    <w:p>
      <w:pPr>
        <w:pBdr>
          <w:bottom w:val="single" w:sz="4" w:space="1" w:color="CCCCCC"/>
        </w:pBdr>
        <w:spacing w:before="80" w:after="80"/>
      </w:pPr>
    </w:p>
    <w:p>
      <w:pPr>
        <w:pStyle w:val="Heading4"/>
        <w:keepNext/>
      </w:pPr>
      <w:r>
        <w:rPr>
          <w:rFonts w:ascii="Calibri" w:hAnsi="Calibri"/>
          <w:b w:val="0"/>
          <w:sz w:val="22"/>
        </w:rPr>
        <w:t>8. Deploy Phase</w:t>
      </w:r>
    </w:p>
    <w:p>
      <w:pPr>
        <w:pStyle w:val="Heading5"/>
        <w:keepNext/>
      </w:pPr>
      <w:r>
        <w:rPr>
          <w:rFonts w:ascii="Calibri" w:hAnsi="Calibri"/>
          <w:b w:val="0"/>
          <w:sz w:val="22"/>
        </w:rPr>
        <w:t>8.1 Production Build</w:t>
      </w:r>
    </w:p>
    <w:p>
      <w:pPr>
        <w:pStyle w:val="Heading5"/>
        <w:keepNext/>
      </w:pPr>
      <w:r>
        <w:rPr>
          <w:rFonts w:ascii="Calibri" w:hAnsi="Calibri"/>
          <w:b w:val="0"/>
          <w:sz w:val="22"/>
        </w:rPr>
        <w:t>8.2 User Enablement</w:t>
      </w:r>
    </w:p>
    <w:p>
      <w:pPr>
        <w:pStyle w:val="Heading5"/>
        <w:keepNext/>
      </w:pPr>
      <w:r>
        <w:rPr>
          <w:rFonts w:ascii="Calibri" w:hAnsi="Calibri"/>
          <w:b w:val="0"/>
          <w:sz w:val="22"/>
        </w:rPr>
        <w:t>8.3 Go-Live Execution</w:t>
      </w:r>
    </w:p>
    <w:p>
      <w:pPr>
        <w:pBdr>
          <w:bottom w:val="single" w:sz="4" w:space="1" w:color="CCCCCC"/>
        </w:pBdr>
        <w:spacing w:before="80" w:after="80"/>
      </w:pPr>
    </w:p>
    <w:p>
      <w:pPr>
        <w:pStyle w:val="Heading4"/>
        <w:keepNext/>
      </w:pPr>
      <w:r>
        <w:rPr>
          <w:rFonts w:ascii="Calibri" w:hAnsi="Calibri"/>
          <w:b w:val="0"/>
          <w:sz w:val="22"/>
        </w:rPr>
        <w:t>9. Evolve / Hyper-care Phase</w:t>
      </w:r>
    </w:p>
    <w:p>
      <w:pPr>
        <w:pStyle w:val="Heading5"/>
        <w:keepNext/>
      </w:pPr>
      <w:r>
        <w:rPr>
          <w:rFonts w:ascii="Calibri" w:hAnsi="Calibri"/>
          <w:b w:val="0"/>
          <w:sz w:val="22"/>
        </w:rPr>
        <w:t>9.1 Hyper-care (~3 Months)</w:t>
      </w:r>
    </w:p>
    <w:p>
      <w:pPr>
        <w:pStyle w:val="Heading5"/>
        <w:keepNext/>
      </w:pPr>
      <w:r>
        <w:rPr>
          <w:rFonts w:ascii="Calibri" w:hAnsi="Calibri"/>
          <w:b w:val="0"/>
          <w:sz w:val="22"/>
        </w:rPr>
        <w:t>9.2 Critical Care (~6 Months)</w:t>
      </w:r>
    </w:p>
    <w:p>
      <w:pPr>
        <w:pStyle w:val="Heading5"/>
        <w:keepNext/>
      </w:pPr>
      <w:r>
        <w:rPr>
          <w:rFonts w:ascii="Calibri" w:hAnsi="Calibri"/>
          <w:b w:val="0"/>
          <w:sz w:val="22"/>
        </w:rPr>
        <w:t>9.3 Steady-State Transition</w:t>
      </w:r>
    </w:p>
    <w:p>
      <w:pPr>
        <w:pBdr>
          <w:bottom w:val="single" w:sz="4" w:space="1" w:color="CCCCCC"/>
        </w:pBdr>
        <w:spacing w:before="80" w:after="80"/>
      </w:pPr>
    </w:p>
    <w:p>
      <w:pPr>
        <w:pStyle w:val="Heading4"/>
        <w:keepNext/>
      </w:pPr>
      <w:r>
        <w:rPr>
          <w:rFonts w:ascii="Calibri" w:hAnsi="Calibri"/>
          <w:b w:val="0"/>
          <w:sz w:val="22"/>
        </w:rPr>
        <w:t>10. Project Governance Framework</w:t>
      </w:r>
    </w:p>
    <w:p>
      <w:pPr>
        <w:pStyle w:val="Heading5"/>
        <w:keepNext/>
      </w:pPr>
      <w:r>
        <w:rPr>
          <w:rFonts w:ascii="Calibri" w:hAnsi="Calibri"/>
          <w:b w:val="0"/>
          <w:sz w:val="22"/>
        </w:rPr>
        <w:t>10.1 Risk Management</w:t>
      </w:r>
    </w:p>
    <w:p>
      <w:pPr>
        <w:pStyle w:val="Heading5"/>
        <w:keepNext/>
      </w:pPr>
      <w:r>
        <w:rPr>
          <w:rFonts w:ascii="Calibri" w:hAnsi="Calibri"/>
          <w:b w:val="0"/>
          <w:sz w:val="22"/>
        </w:rPr>
        <w:t>10.2 Issue Management</w:t>
      </w:r>
    </w:p>
    <w:p>
      <w:pPr>
        <w:pStyle w:val="Heading5"/>
        <w:keepNext/>
      </w:pPr>
      <w:r>
        <w:rPr>
          <w:rFonts w:ascii="Calibri" w:hAnsi="Calibri"/>
          <w:b w:val="0"/>
          <w:sz w:val="22"/>
        </w:rPr>
        <w:t>10.3 Change Control</w:t>
      </w:r>
    </w:p>
    <w:p>
      <w:pPr>
        <w:pStyle w:val="Heading5"/>
        <w:keepNext/>
      </w:pPr>
      <w:r>
        <w:rPr>
          <w:rFonts w:ascii="Calibri" w:hAnsi="Calibri"/>
          <w:b w:val="0"/>
          <w:sz w:val="22"/>
        </w:rPr>
        <w:t>10.4 Configuration Management</w:t>
      </w:r>
    </w:p>
    <w:p>
      <w:pPr>
        <w:pStyle w:val="Heading5"/>
        <w:keepNext/>
      </w:pPr>
      <w:r>
        <w:rPr>
          <w:rFonts w:ascii="Calibri" w:hAnsi="Calibri"/>
          <w:b w:val="0"/>
          <w:sz w:val="22"/>
        </w:rPr>
        <w:t>10.5 Governance Integration with Client Structures</w:t>
      </w:r>
    </w:p>
    <w:p>
      <w:pPr>
        <w:pBdr>
          <w:bottom w:val="single" w:sz="4" w:space="1" w:color="CCCCCC"/>
        </w:pBdr>
        <w:spacing w:before="80" w:after="80"/>
      </w:pPr>
    </w:p>
    <w:p>
      <w:pPr>
        <w:pStyle w:val="Heading4"/>
        <w:keepNext/>
      </w:pPr>
      <w:r>
        <w:rPr>
          <w:rFonts w:ascii="Calibri" w:hAnsi="Calibri"/>
          <w:b w:val="0"/>
          <w:sz w:val="22"/>
        </w:rPr>
        <w:t>11. Oracle Delivery Accelerators</w:t>
      </w:r>
    </w:p>
    <w:p>
      <w:pPr>
        <w:pStyle w:val="Heading5"/>
        <w:keepNext/>
      </w:pPr>
      <w:r>
        <w:rPr>
          <w:rFonts w:ascii="Calibri" w:hAnsi="Calibri"/>
          <w:b w:val="0"/>
          <w:sz w:val="22"/>
        </w:rPr>
        <w:t>11.1 Oracle Integration Cloud (OIC)</w:t>
      </w:r>
    </w:p>
    <w:p>
      <w:pPr>
        <w:pStyle w:val="Heading5"/>
        <w:keepNext/>
      </w:pPr>
      <w:r>
        <w:rPr>
          <w:rFonts w:ascii="Calibri" w:hAnsi="Calibri"/>
          <w:b w:val="0"/>
          <w:sz w:val="22"/>
        </w:rPr>
        <w:t>11.2 Oracle FBDI (File Based Data Import)</w:t>
      </w:r>
    </w:p>
    <w:p>
      <w:pPr>
        <w:pStyle w:val="Heading5"/>
        <w:keepNext/>
      </w:pPr>
      <w:r>
        <w:rPr>
          <w:rFonts w:ascii="Calibri" w:hAnsi="Calibri"/>
          <w:b w:val="0"/>
          <w:sz w:val="22"/>
        </w:rPr>
        <w:t>11.3 Oracle Starter Configurator and Modern Best Practices</w:t>
      </w:r>
    </w:p>
    <w:p>
      <w:pPr>
        <w:pStyle w:val="Heading5"/>
        <w:keepNext/>
      </w:pPr>
      <w:r>
        <w:rPr>
          <w:rFonts w:ascii="Calibri" w:hAnsi="Calibri"/>
          <w:b w:val="0"/>
          <w:sz w:val="22"/>
        </w:rPr>
        <w:t>11.4 Oracle Guided Learning</w:t>
      </w:r>
    </w:p>
    <w:p>
      <w:pPr>
        <w:pStyle w:val="Heading5"/>
        <w:keepNext/>
      </w:pPr>
      <w:r>
        <w:rPr>
          <w:rFonts w:ascii="Calibri" w:hAnsi="Calibri"/>
          <w:b w:val="0"/>
          <w:sz w:val="22"/>
        </w:rPr>
        <w:t>11.5 Oracle University Training</w:t>
      </w:r>
    </w:p>
    <w:p>
      <w:pPr>
        <w:pStyle w:val="Heading5"/>
        <w:keepNext/>
      </w:pPr>
      <w:r>
        <w:rPr>
          <w:rFonts w:ascii="Calibri" w:hAnsi="Calibri"/>
          <w:b w:val="0"/>
          <w:sz w:val="22"/>
        </w:rPr>
        <w:t>11.6 OUM Documentation Standards</w:t>
      </w:r>
    </w:p>
    <w:p>
      <w:pPr>
        <w:pStyle w:val="Heading5"/>
        <w:keepNext/>
      </w:pPr>
      <w:r>
        <w:rPr>
          <w:rFonts w:ascii="Calibri" w:hAnsi="Calibri"/>
          <w:b w:val="0"/>
          <w:sz w:val="22"/>
        </w:rPr>
        <w:t>11.7 OCI Security Documentation</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pStyle w:val="Heading5"/>
        <w:keepNext/>
      </w:pPr>
      <w:r>
        <w:rPr>
          <w:rFonts w:ascii="Calibri" w:hAnsi="Calibri"/>
          <w:b w:val="0"/>
          <w:sz w:val="22"/>
        </w:rPr>
        <w:t>12.1 Module Sequencing</w:t>
      </w:r>
    </w:p>
    <w:p>
      <w:pPr>
        <w:pStyle w:val="Heading5"/>
        <w:keepNext/>
      </w:pPr>
      <w:r>
        <w:rPr>
          <w:rFonts w:ascii="Calibri" w:hAnsi="Calibri"/>
          <w:b w:val="0"/>
          <w:sz w:val="22"/>
        </w:rPr>
        <w:t>12.2 OIC as Mandatory Architecture Component</w:t>
      </w:r>
    </w:p>
    <w:p>
      <w:pPr>
        <w:pStyle w:val="Heading5"/>
        <w:keepNext/>
      </w:pPr>
      <w:r>
        <w:rPr>
          <w:rFonts w:ascii="Calibri" w:hAnsi="Calibri"/>
          <w:b w:val="0"/>
          <w:sz w:val="22"/>
        </w:rPr>
        <w:t>12.3 Oracle Quarterly Patch Cycle</w:t>
      </w:r>
    </w:p>
    <w:p>
      <w:pPr>
        <w:pStyle w:val="Heading5"/>
        <w:keepNext/>
      </w:pPr>
      <w:r>
        <w:rPr>
          <w:rFonts w:ascii="Calibri" w:hAnsi="Calibri"/>
          <w:b w:val="0"/>
          <w:sz w:val="22"/>
        </w:rPr>
        <w:t>12.4 Security and Role Design</w:t>
      </w:r>
    </w:p>
    <w:p>
      <w:pPr>
        <w:pStyle w:val="Heading5"/>
        <w:keepNext/>
      </w:pPr>
      <w:r>
        <w:rPr>
          <w:rFonts w:ascii="Calibri" w:hAnsi="Calibri"/>
          <w:b w:val="0"/>
          <w:sz w:val="22"/>
        </w:rPr>
        <w:t>12.5 Multi-Country and Blueprint Rollout</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pStyle w:val="Heading5"/>
        <w:keepNext/>
      </w:pPr>
      <w:r>
        <w:rPr>
          <w:rFonts w:ascii="Calibri" w:hAnsi="Calibri"/>
          <w:b w:val="0"/>
          <w:sz w:val="22"/>
        </w:rPr>
        <w:t>13.1 OUM on Oracle EBS</w:t>
      </w:r>
    </w:p>
    <w:p>
      <w:pPr>
        <w:pStyle w:val="Heading5"/>
        <w:keepNext/>
      </w:pPr>
      <w:r>
        <w:rPr>
          <w:rFonts w:ascii="Calibri" w:hAnsi="Calibri"/>
          <w:b w:val="0"/>
          <w:sz w:val="22"/>
        </w:rPr>
        <w:t>13.2 Customisation Assessment</w:t>
      </w:r>
    </w:p>
    <w:p>
      <w:pPr>
        <w:pStyle w:val="Heading5"/>
        <w:keepNext/>
      </w:pPr>
      <w:r>
        <w:rPr>
          <w:rFonts w:ascii="Calibri" w:hAnsi="Calibri"/>
          <w:b w:val="0"/>
          <w:sz w:val="22"/>
        </w:rPr>
        <w:t>13.3 EBS-to-OCI Migration</w:t>
      </w:r>
    </w:p>
    <w:p>
      <w:pPr>
        <w:pStyle w:val="Heading5"/>
        <w:keepNext/>
      </w:pPr>
      <w:r>
        <w:rPr>
          <w:rFonts w:ascii="Calibri" w:hAnsi="Calibri"/>
          <w:b w:val="0"/>
          <w:sz w:val="22"/>
        </w:rPr>
        <w:t>13.4 DBA Integration During Implementation</w:t>
      </w:r>
    </w:p>
    <w:p>
      <w:pPr>
        <w:pBdr>
          <w:bottom w:val="single" w:sz="4" w:space="1" w:color="CCCCCC"/>
        </w:pBdr>
        <w:spacing w:before="80" w:after="80"/>
      </w:pPr>
    </w:p>
    <w:p>
      <w:pPr>
        <w:pStyle w:val="Heading4"/>
        <w:keepNext/>
      </w:pPr>
      <w:r>
        <w:rPr>
          <w:rFonts w:ascii="Calibri" w:hAnsi="Calibri"/>
          <w:b w:val="0"/>
          <w:sz w:val="22"/>
        </w:rPr>
        <w:t>14. Transition to Support Services</w:t>
      </w:r>
    </w:p>
    <w:p>
      <w:pPr>
        <w:pStyle w:val="Heading5"/>
        <w:keepNext/>
      </w:pPr>
      <w:r>
        <w:rPr>
          <w:rFonts w:ascii="Calibri" w:hAnsi="Calibri"/>
          <w:b w:val="0"/>
          <w:sz w:val="22"/>
        </w:rPr>
        <w:t>14.1 Transition Planning</w:t>
      </w:r>
    </w:p>
    <w:p>
      <w:pPr>
        <w:pStyle w:val="Heading5"/>
        <w:keepNext/>
      </w:pPr>
      <w:r>
        <w:rPr>
          <w:rFonts w:ascii="Calibri" w:hAnsi="Calibri"/>
          <w:b w:val="0"/>
          <w:sz w:val="22"/>
        </w:rPr>
        <w:t>14.2 Knowledge Transfer</w:t>
      </w:r>
    </w:p>
    <w:p>
      <w:pPr>
        <w:pStyle w:val="Heading5"/>
        <w:keepNext/>
      </w:pPr>
      <w:r>
        <w:rPr>
          <w:rFonts w:ascii="Calibri" w:hAnsi="Calibri"/>
          <w:b w:val="0"/>
          <w:sz w:val="22"/>
        </w:rPr>
        <w:t>14.3 Steady-State Support Handover</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pStyle w:val="Heading5"/>
        <w:keepNext/>
      </w:pPr>
      <w:r>
        <w:rPr>
          <w:rFonts w:ascii="Calibri" w:hAnsi="Calibri"/>
          <w:b w:val="0"/>
          <w:sz w:val="22"/>
        </w:rPr>
        <w:t>15.2 Implementation Depth</w:t>
      </w:r>
    </w:p>
    <w:p>
      <w:pPr>
        <w:pStyle w:val="Heading5"/>
        <w:keepNext/>
      </w:pPr>
      <w:r>
        <w:rPr>
          <w:rFonts w:ascii="Calibri" w:hAnsi="Calibri"/>
          <w:b w:val="0"/>
          <w:sz w:val="22"/>
        </w:rPr>
        <w:t>15.3 OIC Integration Leadership</w:t>
      </w:r>
    </w:p>
    <w:p>
      <w:pPr>
        <w:pStyle w:val="Heading5"/>
        <w:keepNext/>
      </w:pPr>
      <w:r>
        <w:rPr>
          <w:rFonts w:ascii="Calibri" w:hAnsi="Calibri"/>
          <w:b w:val="0"/>
          <w:sz w:val="22"/>
        </w:rPr>
        <w:t>15.4 Local Presence and Delivery Model</w:t>
      </w:r>
    </w:p>
    <w:p>
      <w:pPr>
        <w:pStyle w:val="Heading5"/>
        <w:keepNext/>
      </w:pPr>
      <w:r>
        <w:rPr>
          <w:rFonts w:ascii="Calibri" w:hAnsi="Calibri"/>
          <w:b w:val="0"/>
          <w:sz w:val="22"/>
        </w:rPr>
        <w:t>15.5 Resource Stability</w:t>
      </w:r>
    </w:p>
    <w:p>
      <w:pPr>
        <w:pBdr>
          <w:bottom w:val="single" w:sz="4" w:space="1" w:color="CCCCCC"/>
        </w:pBdr>
        <w:spacing w:before="80" w:after="80"/>
      </w:pPr>
    </w:p>
    <w:p>
      <w:pPr>
        <w:pStyle w:val="Heading4"/>
        <w:keepNext/>
      </w:pPr>
      <w:r>
        <w:rPr>
          <w:rFonts w:ascii="Calibri" w:hAnsi="Calibri"/>
          <w:b w:val="0"/>
          <w:sz w:val="22"/>
        </w:rPr>
        <w:t>16. Conclusion</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p>
      <w:pPr>
        <w:pStyle w:val="Heading5"/>
        <w:keepNext/>
      </w:pPr>
      <w:r>
        <w:rPr>
          <w:rFonts w:ascii="Calibri" w:hAnsi="Calibri"/>
          <w:b w:val="0"/>
          <w:sz w:val="22"/>
        </w:rPr>
        <w:t>17.2 Pre-Tender Checks</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p>
      <w:pPr>
        <w:pBdr>
          <w:bottom w:val="single" w:sz="4" w:space="1" w:color="CCCCCC"/>
        </w:pBdr>
        <w:spacing w:before="80" w:after="80"/>
      </w:pPr>
    </w:p>
    <w:p>
      <w:pPr>
        <w:pStyle w:val="Heading3"/>
        <w:keepNext/>
      </w:pPr>
      <w:r>
        <w:rPr>
          <w:rFonts w:ascii="Calibri" w:hAnsi="Calibri"/>
          <w:b w:val="0"/>
          <w:sz w:val="26"/>
        </w:rPr>
        <w:t>Appendix B — Fact Verification Summary</w:t>
      </w:r>
    </w:p>
    <w:p>
      <w:pPr>
        <w:pBdr>
          <w:bottom w:val="single" w:sz="4" w:space="1" w:color="CCCCCC"/>
        </w:pBdr>
        <w:spacing w:before="80" w:after="80"/>
      </w:pPr>
    </w:p>
    <w:p>
      <w:pPr>
        <w:pStyle w:val="Heading3"/>
        <w:keepNext/>
      </w:pPr>
      <w:r>
        <w:rPr>
          <w:rFonts w:ascii="Calibri" w:hAnsi="Calibri"/>
          <w:b w:val="0"/>
          <w:sz w:val="26"/>
        </w:rPr>
        <w:t>Appendix C — Governance Review Summary</w:t>
      </w:r>
    </w:p>
    <w:p>
      <w:pPr>
        <w:pBdr>
          <w:bottom w:val="single" w:sz="4" w:space="1" w:color="CCCCCC"/>
        </w:pBdr>
        <w:spacing w:before="80" w:after="80"/>
      </w:pPr>
    </w:p>
    <w:p>
      <w:pPr>
        <w:pStyle w:val="Heading3"/>
        <w:keepNext/>
      </w:pPr>
      <w:r>
        <w:rPr>
          <w:rFonts w:ascii="Calibri" w:hAnsi="Calibri"/>
          <w:b w:val="0"/>
          <w:sz w:val="26"/>
        </w:rPr>
        <w:t>Scope of Work — Inclusions</w:t>
      </w:r>
    </w:p>
    <w:p>
      <w:pPr>
        <w:pStyle w:val="Heading3"/>
        <w:keepNext/>
      </w:pPr>
      <w:r>
        <w:rPr>
          <w:rFonts w:ascii="Calibri" w:hAnsi="Calibri"/>
          <w:b w:val="0"/>
          <w:sz w:val="26"/>
        </w:rPr>
        <w:t>Scope of Work — Exclusions</w:t>
      </w:r>
    </w:p>
    <w:p>
      <w:pPr>
        <w:pStyle w:val="Heading3"/>
        <w:keepNext/>
      </w:pPr>
      <w:r>
        <w:rPr>
          <w:rFonts w:ascii="Calibri" w:hAnsi="Calibri"/>
          <w:b w:val="0"/>
          <w:sz w:val="26"/>
        </w:rPr>
        <w:t>Deliverables</w:t>
      </w:r>
    </w:p>
    <w:p>
      <w:pPr>
        <w:pStyle w:val="Heading3"/>
        <w:keepNext/>
      </w:pPr>
      <w:r>
        <w:rPr>
          <w:rFonts w:ascii="Calibri" w:hAnsi="Calibri"/>
          <w:b w:val="0"/>
          <w:sz w:val="26"/>
        </w:rPr>
        <w:t>Dependencies</w:t>
      </w:r>
    </w:p>
    <w:p>
      <w:pPr/>
      <w:r>
        <w:rPr>
          <w:rFonts w:ascii="Calibri" w:hAnsi="Calibri"/>
          <w:b w:val="0"/>
          <w:sz w:val="22"/>
        </w:rPr>
        <w:t>_This section has been summarised for conciseness. Full detail is provided in Appendix B (Detailed Capability Catalogue)._</w:t>
      </w:r>
    </w:p>
    <w:p>
      <w:pPr>
        <w:spacing w:before="0" w:after="0"/>
      </w:pPr>
      <w:r>
        <w:br w:type="page"/>
      </w:r>
    </w:p>
    <w:p>
      <w:pPr>
        <w:pStyle w:val="Heading2"/>
        <w:keepNext/>
      </w:pPr>
      <w:r>
        <w:rPr>
          <w:rFonts w:ascii="Calibri" w:hAnsi="Calibri"/>
          <w:b w:val="0"/>
          <w:sz w:val="32"/>
        </w:rPr>
        <w:t>6. Project Governance ✎</w:t>
      </w:r>
    </w:p>
    <w:tbl>
      <w:tblPr>
        <w:tblStyle w:val="TableGrid"/>
        <w:tblW w:type="auto" w:w="0"/>
        <w:tblLook w:firstColumn="1" w:firstRow="1" w:lastColumn="0" w:lastRow="0" w:noHBand="0" w:noVBand="1" w:val="04A0"/>
      </w:tblPr>
      <w:tblGrid>
        <w:gridCol w:w="9026"/>
      </w:tblGrid>
      <w:tr>
        <w:tc>
          <w:tcPr>
            <w:tcW w:type="dxa" w:w="9026"/>
            <w:shd w:val="clear" w:color="auto" w:fill="EAF4FF"/>
            <w:tcBorders>
              <w:top w:val="single" w:sz="6" w:space="0" w:color="0070C0"/>
              <w:left w:val="single" w:sz="6" w:space="0" w:color="0070C0"/>
              <w:bottom w:val="single" w:sz="6" w:space="0" w:color="0070C0"/>
              <w:right w:val="single" w:sz="6" w:space="0" w:color="0070C0"/>
            </w:tcBorders>
          </w:tcPr>
          <w:p>
            <w:pPr>
              <w:spacing w:before="60" w:after="60"/>
            </w:pPr>
            <w:r>
              <w:rPr>
                <w:rFonts w:ascii="Calibri" w:hAnsi="Calibri"/>
                <w:i/>
                <w:color w:val="707070"/>
                <w:sz w:val="19"/>
              </w:rPr>
              <w:t>Authored content. Review for accuracy before submission.</w:t>
            </w:r>
          </w:p>
        </w:tc>
      </w:tr>
    </w:tbl>
    <w:p>
      <w:pPr>
        <w:spacing w:after="80"/>
      </w:pPr>
    </w:p>
    <w:p>
      <w:pPr/>
      <w:r>
        <w:rPr>
          <w:rFonts w:ascii="Calibri" w:hAnsi="Calibri"/>
          <w:b w:val="0"/>
          <w:sz w:val="22"/>
        </w:rPr>
        <w:t>APPSolve's project governance model establishes clear accountability at every level of the engagement. The framework provides effective oversight, rapid decision-making, and transparent risk management throughout the implementation lifecycle.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Layer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Frequency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Participants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Steering Committee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Executive Sponsor, APPSolve 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decisions, scope authority, escalation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Joint Project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Weekly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PM, APPSolve PM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tracking, risk management, actions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Workstream Reviews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Bi-weekly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Functional Leads, Technical Leads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status, CRP planning, design decisions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Control Board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 required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PM, BU Lead, Commercial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request review, impact assessment, approval</w:t>
            </w:r>
          </w:p>
        </w:tc>
      </w:tr>
    </w:tbl>
    <w:p>
      <w:pPr>
        <w:spacing w:before="0" w:after="120"/>
      </w:pPr>
    </w:p>
    <w:p>
      <w:pPr/>
      <w:r>
        <w:rPr>
          <w:rFonts w:ascii="Calibri" w:hAnsi="Calibri"/>
          <w:b w:val="0"/>
          <w:sz w:val="22"/>
        </w:rPr>
        <w:t>APPSolve provides a dedicated Project Manager and BU Lead for the engagement. A weekly progress report is issued to all stakeholders covering RAG status by workstream, upcoming milestones, open risks, and pending client decisions. All scope changes are processed through a formal Change Request with documented commercial and timeline impact before approval.</w:t>
      </w:r>
    </w:p>
    <w:p>
      <w:pPr/>
      <w:r>
        <w:rPr>
          <w:rFonts w:ascii="Calibri" w:hAnsi="Calibri"/>
          <w:b w:val="0"/>
          <w:sz w:val="22"/>
        </w:rPr>
        <w:t>The RAID Framework (Risks, Assumptions, Issues, Dependencies) will be maintained as a living document throughout the project and reviewed at each Project Management meeting. A formal Cutover Plan will be agreed during the Validate phase, defining the go-live sequence, rollback criteria, and hypercare period. Full RAID documentation, Change Control Framework, and Cutover Plan are provided as separate project deliverables and will be completed during the Mobilise phase.</w:t>
      </w:r>
    </w:p>
    <w:p>
      <w:pPr>
        <w:pStyle w:val="Heading3"/>
        <w:keepNext/>
      </w:pPr>
      <w:r>
        <w:rPr>
          <w:rFonts w:ascii="Calibri" w:hAnsi="Calibri"/>
          <w:b w:val="0"/>
          <w:sz w:val="26"/>
        </w:rPr>
        <w:t>RAID Framework</w:t>
      </w:r>
    </w:p>
    <w:p>
      <w:pPr/>
      <w:r>
        <w:rPr>
          <w:rFonts w:ascii="Calibri" w:hAnsi="Calibri"/>
          <w:b w:val="0"/>
          <w:sz w:val="22"/>
        </w:rPr>
        <w:t>_PLACEHOLDER: Project-specific RAID Framework to be completed during Mobilise phase with input from Plennegy project sponsor and APPSolve Project Manager._</w:t>
      </w:r>
    </w:p>
    <w:p>
      <w:pPr>
        <w:pStyle w:val="Heading3"/>
        <w:keepNext/>
      </w:pPr>
      <w:r>
        <w:rPr>
          <w:rFonts w:ascii="Calibri" w:hAnsi="Calibri"/>
          <w:b w:val="0"/>
          <w:sz w:val="26"/>
        </w:rPr>
        <w:t>Cutover / Go-Live Plan</w:t>
      </w:r>
    </w:p>
    <w:p>
      <w:pPr/>
      <w:r>
        <w:rPr>
          <w:rFonts w:ascii="Calibri" w:hAnsi="Calibri"/>
          <w:b w:val="0"/>
          <w:sz w:val="22"/>
        </w:rPr>
        <w:t>_PLACEHOLDER: Go-live sequence and hypercare plan to be agreed during Validate phase. Target go-live date to be confirmed with Plennegy (OAR-C04)._</w:t>
      </w:r>
    </w:p>
    <w:p>
      <w:pPr>
        <w:spacing w:before="0" w:after="0"/>
      </w:pPr>
      <w:r>
        <w:br w:type="page"/>
      </w:r>
    </w:p>
    <w:p>
      <w:pPr>
        <w:pStyle w:val="Heading2"/>
        <w:keepNext/>
      </w:pPr>
      <w:r>
        <w:rPr>
          <w:rFonts w:ascii="Calibri" w:hAnsi="Calibri"/>
          <w:b w:val="0"/>
          <w:sz w:val="32"/>
        </w:rPr>
        <w:t>7. Implementation Roadmap ✎</w:t>
      </w:r>
    </w:p>
    <w:tbl>
      <w:tblPr>
        <w:tblStyle w:val="TableGrid"/>
        <w:tblW w:type="auto" w:w="0"/>
        <w:tblLook w:firstColumn="1" w:firstRow="1" w:lastColumn="0" w:lastRow="0" w:noHBand="0" w:noVBand="1" w:val="04A0"/>
      </w:tblPr>
      <w:tblGrid>
        <w:gridCol w:w="9026"/>
      </w:tblGrid>
      <w:tr>
        <w:tc>
          <w:tcPr>
            <w:tcW w:type="dxa" w:w="9026"/>
            <w:shd w:val="clear" w:color="auto" w:fill="EAF4FF"/>
            <w:tcBorders>
              <w:top w:val="single" w:sz="6" w:space="0" w:color="0070C0"/>
              <w:left w:val="single" w:sz="6" w:space="0" w:color="0070C0"/>
              <w:bottom w:val="single" w:sz="6" w:space="0" w:color="0070C0"/>
              <w:right w:val="single" w:sz="6" w:space="0" w:color="0070C0"/>
            </w:tcBorders>
          </w:tcPr>
          <w:p>
            <w:pPr>
              <w:spacing w:before="60" w:after="60"/>
            </w:pPr>
            <w:r>
              <w:rPr>
                <w:rFonts w:ascii="Calibri" w:hAnsi="Calibri"/>
                <w:i/>
                <w:color w:val="707070"/>
                <w:sz w:val="19"/>
              </w:rPr>
              <w:t>Authored content. Review for accuracy before submission.</w:t>
            </w:r>
          </w:p>
        </w:tc>
      </w:tr>
    </w:tbl>
    <w:p>
      <w:pPr>
        <w:spacing w:after="80"/>
      </w:pPr>
    </w:p>
    <w:p>
      <w:pPr/>
      <w:r>
        <w:rPr>
          <w:rFonts w:ascii="Calibri" w:hAnsi="Calibri"/>
          <w:b w:val="0"/>
          <w:sz w:val="22"/>
        </w:rPr>
        <w:t>APPSolve's implementation approach follows Oracle's recommended methodology, adapted for Oracle Cloud SaaS environments. The following roadmap provides indicative phase durations, subject to scope confirmation and Oracle environment provisioning timelines.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Name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Indicative Duration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Deliverables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Mobilise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RAID Register, Governance Framework, Kick-off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&amp; Design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8–10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Functional Design Documents, Configuration Workbooks, CRP-1 Workshop</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Prototype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Configured System, CRP-2 Demonstration, Integration Build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Sign-off, Data Migration Dress Rehearsal, Go-Live Readiness Review</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Go-Live, Hypercare, Cutover Sign-off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Evolve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months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AMS Monthly Reports, Oracle Quarterly Updates, Optimisation</w:t>
            </w:r>
          </w:p>
        </w:tc>
      </w:tr>
    </w:tbl>
    <w:p>
      <w:pPr>
        <w:spacing w:before="0" w:after="120"/>
      </w:pPr>
    </w:p>
    <w:p>
      <w:pPr>
        <w:pStyle w:val="Heading3"/>
        <w:keepNext/>
      </w:pPr>
      <w:r>
        <w:rPr>
          <w:rFonts w:ascii="Calibri" w:hAnsi="Calibri"/>
          <w:b w:val="0"/>
          <w:sz w:val="26"/>
        </w:rPr>
        <w:t>Key Milestones</w:t>
      </w:r>
    </w:p>
    <w:p>
      <w:pPr/>
      <w:r>
        <w:rPr>
          <w:rFonts w:ascii="Calibri" w:hAnsi="Calibri"/>
          <w:b w:val="0"/>
          <w:sz w:val="22"/>
        </w:rPr>
        <w:t>A detailed project plan with milestone dates will be developed during the Mobilise phase. Timelines are indicative and subject to Oracle environment provisioning (managed directly by Oracle), Plennegy resource availability, and scope confirmation.</w:t>
      </w:r>
    </w:p>
    <w:p>
      <w:pPr>
        <w:spacing w:before="0" w:after="0"/>
      </w:pPr>
      <w:r>
        <w:br w:type="page"/>
      </w:r>
    </w:p>
    <w:p>
      <w:pPr>
        <w:pStyle w:val="Heading2"/>
        <w:keepNext/>
      </w:pPr>
      <w:r>
        <w:rPr>
          <w:rFonts w:ascii="Calibri" w:hAnsi="Calibri"/>
          <w:b w:val="0"/>
          <w:sz w:val="32"/>
        </w:rPr>
        <w:t>8. Key Assumptions ✎</w:t>
      </w:r>
    </w:p>
    <w:tbl>
      <w:tblPr>
        <w:tblStyle w:val="TableGrid"/>
        <w:tblW w:type="auto" w:w="0"/>
        <w:tblLook w:firstColumn="1" w:firstRow="1" w:lastColumn="0" w:lastRow="0" w:noHBand="0" w:noVBand="1" w:val="04A0"/>
      </w:tblPr>
      <w:tblGrid>
        <w:gridCol w:w="9026"/>
      </w:tblGrid>
      <w:tr>
        <w:tc>
          <w:tcPr>
            <w:tcW w:type="dxa" w:w="9026"/>
            <w:shd w:val="clear" w:color="auto" w:fill="EAF4FF"/>
            <w:tcBorders>
              <w:top w:val="single" w:sz="6" w:space="0" w:color="0070C0"/>
              <w:left w:val="single" w:sz="6" w:space="0" w:color="0070C0"/>
              <w:bottom w:val="single" w:sz="6" w:space="0" w:color="0070C0"/>
              <w:right w:val="single" w:sz="6" w:space="0" w:color="0070C0"/>
            </w:tcBorders>
          </w:tcPr>
          <w:p>
            <w:pPr>
              <w:spacing w:before="60" w:after="60"/>
            </w:pPr>
            <w:r>
              <w:rPr>
                <w:rFonts w:ascii="Calibri" w:hAnsi="Calibri"/>
                <w:i/>
                <w:color w:val="707070"/>
                <w:sz w:val="19"/>
              </w:rPr>
              <w:t>Authored content. Review for accuracy before submission.</w:t>
            </w:r>
          </w:p>
        </w:tc>
      </w:tr>
    </w:tbl>
    <w:p>
      <w:pPr>
        <w:spacing w:after="80"/>
      </w:pPr>
    </w:p>
    <w:p>
      <w:pPr/>
      <w:r>
        <w:rPr>
          <w:rFonts w:ascii="Calibri" w:hAnsi="Calibri"/>
          <w:b w:val="0"/>
          <w:sz w:val="22"/>
        </w:rPr>
        <w:t>APPSolve's proposal is governed by a comprehensive assumptions register comprising 341 approved assumptions across five packs. These assumptions define the contractual basis for scope, cost, and timeline and are referenced in all APPSolve Statements of Work.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Pack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Environment, organisation structure, data migration, security, payroll data, integration foundations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Recruiting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Vacancy management, candidate sourcing, offer management, pre-employment checks, onboarding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catalogue, certifications, learning paths, instructor-led training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goals, succession planning,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third-party integration, middleware, data exchange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**Total**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**341**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 HCM Cloud implementation scope**</w:t>
            </w:r>
          </w:p>
        </w:tc>
      </w:tr>
    </w:tbl>
    <w:p>
      <w:pPr>
        <w:spacing w:before="0" w:after="120"/>
      </w:pPr>
    </w:p>
    <w:p>
      <w:pPr>
        <w:pStyle w:val="Heading3"/>
        <w:keepNext/>
      </w:pPr>
      <w:r>
        <w:rPr>
          <w:rFonts w:ascii="Calibri" w:hAnsi="Calibri"/>
          <w:b w:val="0"/>
          <w:sz w:val="26"/>
        </w:rPr>
        <w:t>Key Commercial Assumptions</w:t>
      </w:r>
    </w:p>
    <w:p>
      <w:pPr/>
      <w:r>
        <w:rPr>
          <w:rFonts w:ascii="Calibri" w:hAnsi="Calibri"/>
          <w:b w:val="0"/>
          <w:sz w:val="22"/>
        </w:rPr>
        <w:t>The following high-level assumptions are most material to scope, cost, and timeline:</w:t>
      </w:r>
    </w:p>
    <w:p>
      <w:pPr/>
      <w:r>
        <w:rPr>
          <w:rFonts w:ascii="Calibri" w:hAnsi="Calibri"/>
          <w:b w:val="0"/>
          <w:sz w:val="22"/>
        </w:rPr>
        <w:t xml:space="preserve">The complete assumptions register is provided in </w:t>
      </w:r>
      <w:r>
        <w:rPr>
          <w:rFonts w:ascii="Calibri" w:hAnsi="Calibri"/>
          <w:sz w:val="22"/>
        </w:rPr>
        <w:t>**Appendix B**</w:t>
      </w:r>
      <w:r>
        <w:rPr>
          <w:rFonts w:ascii="Calibri" w:hAnsi="Calibri"/>
          <w:b w:val="0"/>
          <w:sz w:val="22"/>
        </w:rPr>
        <w:t>. Key assumptions from the HCM Core, Recruiting, Learning, Talent, and OIC packs apply in full to this engagement unless explicitly excluded in the Statement of Work.</w:t>
      </w:r>
    </w:p>
    <w:p>
      <w:pPr>
        <w:spacing w:before="0" w:after="0"/>
      </w:pPr>
      <w:r>
        <w:br w:type="page"/>
      </w:r>
    </w:p>
    <w:p>
      <w:pPr>
        <w:pStyle w:val="Heading2"/>
        <w:keepNext/>
      </w:pPr>
      <w:r>
        <w:rPr>
          <w:rFonts w:ascii="Calibri" w:hAnsi="Calibri"/>
          <w:b w:val="0"/>
          <w:sz w:val="32"/>
        </w:rPr>
        <w:t>9. Key Project Risks and Mitigations ✎</w:t>
      </w:r>
    </w:p>
    <w:tbl>
      <w:tblPr>
        <w:tblStyle w:val="TableGrid"/>
        <w:tblW w:type="auto" w:w="0"/>
        <w:tblLook w:firstColumn="1" w:firstRow="1" w:lastColumn="0" w:lastRow="0" w:noHBand="0" w:noVBand="1" w:val="04A0"/>
      </w:tblPr>
      <w:tblGrid>
        <w:gridCol w:w="9026"/>
      </w:tblGrid>
      <w:tr>
        <w:tc>
          <w:tcPr>
            <w:tcW w:type="dxa" w:w="9026"/>
            <w:shd w:val="clear" w:color="auto" w:fill="EAF4FF"/>
            <w:tcBorders>
              <w:top w:val="single" w:sz="6" w:space="0" w:color="0070C0"/>
              <w:left w:val="single" w:sz="6" w:space="0" w:color="0070C0"/>
              <w:bottom w:val="single" w:sz="6" w:space="0" w:color="0070C0"/>
              <w:right w:val="single" w:sz="6" w:space="0" w:color="0070C0"/>
            </w:tcBorders>
          </w:tcPr>
          <w:p>
            <w:pPr>
              <w:spacing w:before="60" w:after="60"/>
            </w:pPr>
            <w:r>
              <w:rPr>
                <w:rFonts w:ascii="Calibri" w:hAnsi="Calibri"/>
                <w:i/>
                <w:color w:val="707070"/>
                <w:sz w:val="19"/>
              </w:rPr>
              <w:t>Authored content. Review for accuracy before submission.</w:t>
            </w:r>
          </w:p>
        </w:tc>
      </w:tr>
    </w:tbl>
    <w:p>
      <w:pPr>
        <w:spacing w:after="80"/>
      </w:pPr>
    </w:p>
    <w:p>
      <w:pPr/>
      <w:r>
        <w:rPr>
          <w:rFonts w:ascii="Calibri" w:hAnsi="Calibri"/>
          <w:b w:val="0"/>
          <w:sz w:val="22"/>
        </w:rPr>
        <w:t>The following project risks are considered most material to the Plennegy Oracle HCM Cloud engagement. APPSolve maintains a full RAID Register throughout the project, reviewed at each Project Management meeting and monthly Steering Committee.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changes due to undocumented or evolving requirements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Change Control Board — all scope changes assessed for commercial and timeline impact before approval</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quality and completeness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migration templates; three-cycle migration (pilot + dress rehearsal + production); Plennegy data custodian required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resource availability for workshops, design approvals, and UAT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Workshop schedule locked during Mobilise; escalation path defined; delays may trigger Change Request</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environment provisioning delays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Provisioning tracked from kick-off; Oracle account manager escalation path identified in project plan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change management and user adoption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management activities included in scope; user training scheduled for Validate phase; executive sponsor engagement required</w:t>
            </w:r>
          </w:p>
        </w:tc>
      </w:tr>
    </w:tbl>
    <w:p>
      <w:pPr>
        <w:spacing w:before="0" w:after="120"/>
      </w:pPr>
    </w:p>
    <w:p>
      <w:pPr/>
      <w:r>
        <w:rPr>
          <w:rFonts w:ascii="Calibri" w:hAnsi="Calibri"/>
          <w:b w:val="0"/>
          <w:sz w:val="22"/>
        </w:rPr>
        <w:t>APPSolve's RAID Framework is a live project management document updated weekly and presented at each Project Management and Steering Committee meeting. The full risk register is maintained separately from the proposal.</w:t>
      </w:r>
    </w:p>
    <w:p>
      <w:pPr>
        <w:spacing w:before="0" w:after="0"/>
      </w:pPr>
      <w:r>
        <w:br w:type="page"/>
      </w:r>
    </w:p>
    <w:p>
      <w:pPr>
        <w:pStyle w:val="Heading2"/>
        <w:keepNext/>
      </w:pPr>
      <w:r>
        <w:rPr>
          <w:rFonts w:ascii="Calibri" w:hAnsi="Calibri"/>
          <w:b w:val="0"/>
          <w:sz w:val="32"/>
        </w:rPr>
        <w:t>10. Commercial Inputs ✎</w:t>
      </w:r>
    </w:p>
    <w:tbl>
      <w:tblPr>
        <w:tblStyle w:val="TableGrid"/>
        <w:tblW w:type="auto" w:w="0"/>
        <w:tblLook w:firstColumn="1" w:firstRow="1" w:lastColumn="0" w:lastRow="0" w:noHBand="0" w:noVBand="1" w:val="04A0"/>
      </w:tblPr>
      <w:tblGrid>
        <w:gridCol w:w="9026"/>
      </w:tblGrid>
      <w:tr>
        <w:tc>
          <w:tcPr>
            <w:tcW w:type="dxa" w:w="9026"/>
            <w:shd w:val="clear" w:color="auto" w:fill="EAF4FF"/>
            <w:tcBorders>
              <w:top w:val="single" w:sz="6" w:space="0" w:color="0070C0"/>
              <w:left w:val="single" w:sz="6" w:space="0" w:color="0070C0"/>
              <w:bottom w:val="single" w:sz="6" w:space="0" w:color="0070C0"/>
              <w:right w:val="single" w:sz="6" w:space="0" w:color="0070C0"/>
            </w:tcBorders>
          </w:tcPr>
          <w:p>
            <w:pPr>
              <w:spacing w:before="60" w:after="60"/>
            </w:pPr>
            <w:r>
              <w:rPr>
                <w:rFonts w:ascii="Calibri" w:hAnsi="Calibri"/>
                <w:i/>
                <w:color w:val="707070"/>
                <w:sz w:val="19"/>
              </w:rPr>
              <w:t>Authored content. Review for accuracy before submission.</w:t>
            </w:r>
          </w:p>
        </w:tc>
      </w:tr>
    </w:tbl>
    <w:p>
      <w:pPr>
        <w:spacing w:after="80"/>
      </w:pPr>
    </w:p>
    <w:p>
      <w:pPr/>
      <w:r>
        <w:rPr>
          <w:rFonts w:ascii="Calibri" w:hAnsi="Calibri"/>
          <w:b w:val="0"/>
          <w:sz w:val="22"/>
        </w:rPr>
        <w:t>APPSolve's commercial proposal for the Oracle HCM Cloud implementation will be formalised under the Commercial Director's authority once the scope inputs below are confirmed. All commercial documents are subject to BU Lead sign-off before submission.</w:t>
      </w:r>
    </w:p>
    <w:p>
      <w:pPr>
        <w:pStyle w:val="Heading3"/>
        <w:keepNext/>
      </w:pPr>
      <w:r>
        <w:rPr>
          <w:rFonts w:ascii="Calibri" w:hAnsi="Calibri"/>
          <w:b w:val="0"/>
          <w:sz w:val="26"/>
        </w:rPr>
        <w:t>Commercial Inputs Required</w:t>
      </w:r>
    </w:p>
    <w:p>
      <w:pPr>
        <w:pStyle w:val="Heading3"/>
        <w:keepNext/>
      </w:pPr>
      <w:r>
        <w:rPr>
          <w:rFonts w:ascii="Calibri" w:hAnsi="Calibri"/>
          <w:b w:val="0"/>
          <w:sz w:val="26"/>
        </w:rPr>
        <w:t>APPSolve Commercial Models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Recommendation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 change requests priced separately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Recommended for defined HCM Cloud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by time at agreed rates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Appropriate where scope evolves during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monthly cost; capacity transfers between months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distinctive model — predictable cost; aligned incentives</w:t>
            </w:r>
          </w:p>
        </w:tc>
      </w:tr>
    </w:tbl>
    <w:p>
      <w:pPr>
        <w:spacing w:before="0" w:after="120"/>
      </w:pPr>
    </w:p>
    <w:p>
      <w:pPr/>
      <w:r>
        <w:rPr>
          <w:rFonts w:ascii="Calibri" w:hAnsi="Calibri"/>
          <w:b w:val="0"/>
          <w:sz w:val="22"/>
        </w:rPr>
        <w:t>_Pricing table to be provided by APPSolve Commercial Director following scope confirmation. No rates or commercial terms are binding until the formal Commercial Proposal is issued and counter-signed by both parties._</w:t>
      </w:r>
    </w:p>
    <w:p>
      <w:pPr>
        <w:spacing w:before="0" w:after="0"/>
      </w:pPr>
      <w:r>
        <w:br w:type="page"/>
      </w:r>
    </w:p>
    <w:p>
      <w:pPr>
        <w:pStyle w:val="Heading2"/>
        <w:keepNext/>
      </w:pPr>
      <w:r>
        <w:rPr>
          <w:rFonts w:ascii="Calibri" w:hAnsi="Calibri"/>
          <w:b w:val="0"/>
          <w:sz w:val="32"/>
        </w:rPr>
        <w:t>11. Next Steps (Customer Actions) ✎</w:t>
      </w:r>
    </w:p>
    <w:tbl>
      <w:tblPr>
        <w:tblStyle w:val="TableGrid"/>
        <w:tblW w:type="auto" w:w="0"/>
        <w:tblLook w:firstColumn="1" w:firstRow="1" w:lastColumn="0" w:lastRow="0" w:noHBand="0" w:noVBand="1" w:val="04A0"/>
      </w:tblPr>
      <w:tblGrid>
        <w:gridCol w:w="9026"/>
      </w:tblGrid>
      <w:tr>
        <w:tc>
          <w:tcPr>
            <w:tcW w:type="dxa" w:w="9026"/>
            <w:shd w:val="clear" w:color="auto" w:fill="EAF4FF"/>
            <w:tcBorders>
              <w:top w:val="single" w:sz="6" w:space="0" w:color="0070C0"/>
              <w:left w:val="single" w:sz="6" w:space="0" w:color="0070C0"/>
              <w:bottom w:val="single" w:sz="6" w:space="0" w:color="0070C0"/>
              <w:right w:val="single" w:sz="6" w:space="0" w:color="0070C0"/>
            </w:tcBorders>
          </w:tcPr>
          <w:p>
            <w:pPr>
              <w:spacing w:before="60" w:after="60"/>
            </w:pPr>
            <w:r>
              <w:rPr>
                <w:rFonts w:ascii="Calibri" w:hAnsi="Calibri"/>
                <w:i/>
                <w:color w:val="707070"/>
                <w:sz w:val="19"/>
              </w:rPr>
              <w:t>Authored content. Review for accuracy before submission.</w:t>
            </w:r>
          </w:p>
        </w:tc>
      </w:tr>
    </w:tbl>
    <w:p>
      <w:pPr>
        <w:spacing w:after="80"/>
      </w:pPr>
    </w:p>
    <w:p>
      <w:pPr/>
      <w:r>
        <w:rPr>
          <w:rFonts w:ascii="Calibri" w:hAnsi="Calibri"/>
          <w:b w:val="0"/>
          <w:sz w:val="22"/>
        </w:rPr>
        <w:t>APPSolve is ready to progress this engagement. The following actions are required in priority order to advance from this draft to a final submission-ready proposal:</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Priority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Owner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Target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**P0 — URGENT**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 B-BBEE Level 3 certificate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Director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2026-07-31</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Draft Executive Summary with Plennegy win themes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 AM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internal review</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Draft Understanding of Requirements from Plennegy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internal review</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scope: modules, entities, headcount, go-live 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(OAR-C04)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pricing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 pricing structure and commercial proposal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Commercial Director (OAR-C02)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Obtain Hollywood Bets reference approval for this tender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(OAR-C01)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 proposed team structure and CVs (from APPTime)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Manager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 Risk Register; BU Lead review and approval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all compliance document expiry dates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Operations + Finance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Attach current Oracle OPN Certificate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bl>
    <w:p>
      <w:pPr>
        <w:spacing w:before="0" w:after="120"/>
      </w:pPr>
    </w:p>
    <w:p>
      <w:pPr/>
      <w:r>
        <w:rPr>
          <w:rFonts w:ascii="Calibri" w:hAnsi="Calibri"/>
          <w:b w:val="0"/>
          <w:sz w:val="22"/>
        </w:rPr>
        <w:t>On completion of the above actions, APPSolve will produce the final CLIENT proposal (V4) for BU Lead sign-off and submission to Plennegy Group.</w:t>
      </w:r>
    </w:p>
    <w:p>
      <w:pPr>
        <w:spacing w:before="0" w:after="0"/>
      </w:pPr>
      <w:r>
        <w:br w:type="page"/>
      </w:r>
    </w:p>
    <w:p>
      <w:pPr>
        <w:pStyle w:val="Heading2"/>
        <w:keepNext/>
      </w:pPr>
      <w:r>
        <w:rPr>
          <w:rFonts w:ascii="Calibri" w:hAnsi="Calibri"/>
          <w:b w:val="0"/>
          <w:sz w:val="32"/>
        </w:rPr>
        <w:t>Appendix A — Oracle HCM Capability Summary ✎</w:t>
      </w:r>
    </w:p>
    <w:tbl>
      <w:tblPr>
        <w:tblStyle w:val="TableGrid"/>
        <w:tblW w:type="auto" w:w="0"/>
        <w:tblLook w:firstColumn="1" w:firstRow="1" w:lastColumn="0" w:lastRow="0" w:noHBand="0" w:noVBand="1" w:val="04A0"/>
      </w:tblPr>
      <w:tblGrid>
        <w:gridCol w:w="9026"/>
      </w:tblGrid>
      <w:tr>
        <w:tc>
          <w:tcPr>
            <w:tcW w:type="dxa" w:w="9026"/>
            <w:shd w:val="clear" w:color="auto" w:fill="EAF4FF"/>
            <w:tcBorders>
              <w:top w:val="single" w:sz="6" w:space="0" w:color="0070C0"/>
              <w:left w:val="single" w:sz="6" w:space="0" w:color="0070C0"/>
              <w:bottom w:val="single" w:sz="6" w:space="0" w:color="0070C0"/>
              <w:right w:val="single" w:sz="6" w:space="0" w:color="0070C0"/>
            </w:tcBorders>
          </w:tcPr>
          <w:p>
            <w:pPr>
              <w:spacing w:before="60" w:after="60"/>
            </w:pPr>
            <w:r>
              <w:rPr>
                <w:rFonts w:ascii="Calibri" w:hAnsi="Calibri"/>
                <w:i/>
                <w:color w:val="707070"/>
                <w:sz w:val="19"/>
              </w:rPr>
              <w:t>Authored content. Review for accuracy before submission.</w:t>
            </w:r>
          </w:p>
        </w:tc>
      </w:tr>
    </w:tbl>
    <w:p>
      <w:pPr>
        <w:spacing w:after="80"/>
      </w:pPr>
    </w:p>
    <w:p>
      <w:pPr/>
      <w:r>
        <w:rPr>
          <w:rFonts w:ascii="Calibri" w:hAnsi="Calibri"/>
          <w:b w:val="0"/>
          <w:sz w:val="22"/>
        </w:rPr>
        <w:t>APPSolve has delivered Oracle HCM Cloud implementations for organisations across gaming, retail, financial services, and agribusiness sectors in South Africa and internationally. The following summarises our core delivery capability.</w:t>
      </w:r>
    </w:p>
    <w:p>
      <w:pPr>
        <w:pStyle w:val="Heading3"/>
        <w:keepNext/>
      </w:pPr>
      <w:r>
        <w:rPr>
          <w:rFonts w:ascii="Calibri" w:hAnsi="Calibri"/>
          <w:b w:val="0"/>
          <w:sz w:val="26"/>
        </w:rPr>
        <w:t>Oracle HCM Cloud Delivery Capability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Functional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Oracle Modules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 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Human Capital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Position Management, Absence Management, Compensation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Multiple production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Acquisition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(ORC)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Large-scale South African production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Goals, Succession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Active and completed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&amp;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Active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Service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HR Help Desk, Employee Relations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Full production go-live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BI Publisher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Standard delivery on all HCM engagements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Services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Production payroll and third-party integrations</w:t>
            </w:r>
          </w:p>
        </w:tc>
      </w:tr>
    </w:tbl>
    <w:p>
      <w:pPr>
        <w:spacing w:before="0" w:after="120"/>
      </w:pPr>
    </w:p>
    <w:p>
      <w:pPr>
        <w:pStyle w:val="Heading3"/>
        <w:keepNext/>
      </w:pPr>
      <w:r>
        <w:rPr>
          <w:rFonts w:ascii="Calibri" w:hAnsi="Calibri"/>
          <w:b w:val="0"/>
          <w:sz w:val="26"/>
        </w:rPr>
        <w:t>Delivery Commitments</w:t>
      </w:r>
    </w:p>
    <w:p>
      <w:pPr/>
      <w:r>
        <w:rPr>
          <w:rFonts w:ascii="Calibri" w:hAnsi="Calibri"/>
          <w:b w:val="0"/>
          <w:sz w:val="22"/>
        </w:rPr>
        <w:t xml:space="preserve">Full module-level capability descriptions, feature lists, and delivery evidence are provided in </w:t>
      </w:r>
      <w:r>
        <w:rPr>
          <w:rFonts w:ascii="Calibri" w:hAnsi="Calibri"/>
          <w:sz w:val="22"/>
        </w:rPr>
        <w:t>**Appendix B — Detailed Capability Catalogue**</w:t>
      </w:r>
      <w:r>
        <w:rPr>
          <w:rFonts w:ascii="Calibri" w:hAnsi="Calibri"/>
          <w:b w:val="0"/>
          <w:sz w:val="22"/>
        </w:rPr>
        <w:t>.</w:t>
      </w:r>
    </w:p>
    <w:p>
      <w:pPr>
        <w:spacing w:before="0" w:after="0"/>
      </w:pPr>
      <w:r>
        <w:br w:type="page"/>
      </w:r>
    </w:p>
    <w:p>
      <w:pPr>
        <w:pStyle w:val="Heading2"/>
        <w:keepNext/>
      </w:pPr>
      <w:r>
        <w:rPr>
          <w:rFonts w:ascii="Calibri" w:hAnsi="Calibri"/>
          <w:b w:val="0"/>
          <w:sz w:val="32"/>
        </w:rPr>
        <w:t>Appendix B — Detailed Capability Catalogue ✓</w:t>
      </w:r>
    </w:p>
    <w:tbl>
      <w:tblPr>
        <w:tblStyle w:val="TableGrid"/>
        <w:tblW w:type="auto" w:w="0"/>
        <w:tblLook w:firstColumn="1" w:firstRow="1" w:lastColumn="0" w:lastRow="0" w:noHBand="0" w:noVBand="1" w:val="04A0"/>
      </w:tblPr>
      <w:tblGrid>
        <w:gridCol w:w="9026"/>
      </w:tblGrid>
      <w:tr>
        <w:tc>
          <w:tcPr>
            <w:tcW w:type="dxa" w:w="9026"/>
            <w:shd w:val="clear" w:color="auto" w:fill="FFF8E8"/>
            <w:tcBorders>
              <w:top w:val="single" w:sz="6" w:space="0" w:color="CC8800"/>
              <w:left w:val="single" w:sz="6" w:space="0" w:color="CC8800"/>
              <w:bottom w:val="single" w:sz="6" w:space="0" w:color="CC8800"/>
              <w:right w:val="single" w:sz="6" w:space="0" w:color="CC8800"/>
            </w:tcBorders>
          </w:tcPr>
          <w:p>
            <w:pPr>
              <w:spacing w:before="60" w:after="60"/>
            </w:pPr>
            <w:r>
              <w:rPr>
                <w:rFonts w:ascii="Calibri" w:hAnsi="Calibri"/>
                <w:i/>
                <w:color w:val="707070"/>
                <w:sz w:val="19"/>
              </w:rPr>
              <w:t>Editorial: Truncated: 681 segs over budget (96 max) | Deduped: 11 segs removed</w:t>
            </w:r>
          </w:p>
        </w:tc>
      </w:tr>
    </w:tbl>
    <w:p>
      <w:pPr>
        <w:spacing w:after="80"/>
      </w:pPr>
    </w:p>
    <w:p>
      <w:pPr>
        <w:pStyle w:val="Heading3"/>
        <w:keepNext/>
      </w:pPr>
      <w:r>
        <w:rPr>
          <w:rFonts w:ascii="Calibri" w:hAnsi="Calibri"/>
          <w:b w:val="0"/>
          <w:sz w:val="26"/>
        </w:rPr>
        <w:t>Oracle HCM Core — Global HR and Employee Lifecycle</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OUM (Oracle Unified Methodology)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r>
        <w:rPr>
          <w:rFonts w:ascii="Calibri" w:hAnsi="Calibri"/>
          <w:b w:val="0"/>
          <w:sz w:val="22"/>
        </w:rPr>
        <w:t>APPSolve's HCM delivery approach is based on the Oracle Unified Methodology (OUM) and Oracle's Customer Success Navigator framework. The approach is tailored per engagement but follows a consistent phase structure (detailed in Section 10) that has been proven across multiple enterprise HCM implementations.</w:t>
      </w:r>
    </w:p>
    <w:p>
      <w:pPr/>
      <w:r>
        <w:rPr>
          <w:rFonts w:ascii="Calibri" w:hAnsi="Calibri"/>
          <w:sz w:val="22"/>
        </w:rPr>
        <w:t>**Delivery principles:**</w:t>
      </w:r>
    </w:p>
    <w:p>
      <w:pPr>
        <w:pStyle w:val="ListBullet"/>
        <w:spacing w:before="20" w:after="20"/>
      </w:pPr>
      <w:r>
        <w:rPr>
          <w:rFonts w:ascii="Calibri" w:hAnsi="Calibri"/>
          <w:sz w:val="22"/>
        </w:rPr>
        <w:t>**Standard functionality first**</w:t>
      </w:r>
      <w:r>
        <w:rPr>
          <w:rFonts w:ascii="Calibri" w:hAnsi="Calibri"/>
          <w:b w:val="0"/>
          <w:sz w:val="22"/>
        </w:rPr>
        <w:t xml:space="preserve"> — APPSolve's default position is to use Oracle standard functionality. Customisation and development are out of scope unless a specific business requirement cannot be met any other way.</w:t>
      </w:r>
    </w:p>
    <w:p>
      <w:pPr>
        <w:pStyle w:val="ListBullet"/>
        <w:spacing w:before="20" w:after="20"/>
      </w:pPr>
      <w:r>
        <w:rPr>
          <w:rFonts w:ascii="Calibri" w:hAnsi="Calibri"/>
          <w:sz w:val="22"/>
        </w:rPr>
        <w:t>**South Africa first**</w:t>
      </w:r>
      <w:r>
        <w:rPr>
          <w:rFonts w:ascii="Calibri" w:hAnsi="Calibri"/>
          <w:b w:val="0"/>
          <w:sz w:val="22"/>
        </w:rPr>
        <w:t xml:space="preserve"> — for multi-country engagements, APPSolve implements the South African instance as the blueprint. The SA configuration establishes standards, templates, and approval hierarchies that are subsequently adapted for additional countries, reducing duplication and accelerating multi-country rollout.</w:t>
      </w:r>
    </w:p>
    <w:p>
      <w:pPr>
        <w:pStyle w:val="ListBullet"/>
        <w:spacing w:before="20" w:after="20"/>
      </w:pPr>
      <w:r>
        <w:rPr>
          <w:rFonts w:ascii="Calibri" w:hAnsi="Calibri"/>
          <w:sz w:val="22"/>
        </w:rPr>
        <w:t>**Shared services model**</w:t>
      </w:r>
      <w:r>
        <w:rPr>
          <w:rFonts w:ascii="Calibri" w:hAnsi="Calibri"/>
          <w:b w:val="0"/>
          <w:sz w:val="22"/>
        </w:rPr>
        <w:t xml:space="preserve"> — APPSolve designs HCM implementations around a shared services HR operating model, enabling centralised HR administration to serve multiple business units efficiently.</w:t>
      </w:r>
    </w:p>
    <w:p>
      <w:pPr>
        <w:pStyle w:val="ListBullet"/>
        <w:spacing w:before="20" w:after="20"/>
      </w:pPr>
      <w:r>
        <w:rPr>
          <w:rFonts w:ascii="Calibri" w:hAnsi="Calibri"/>
          <w:sz w:val="22"/>
        </w:rPr>
        <w:t>**Iterative configuration**</w:t>
      </w:r>
      <w:r>
        <w:rPr>
          <w:rFonts w:ascii="Calibri" w:hAnsi="Calibri"/>
          <w:b w:val="0"/>
          <w:sz w:val="22"/>
        </w:rPr>
        <w:t xml:space="preserve"> — the Solution Reflection (CRP) process delivers rapid iterative builds, allowing business stakeholders to see and shape the system before configuration is locked.</w:t>
      </w:r>
    </w:p>
    <w:p>
      <w:pPr>
        <w:pStyle w:val="Heading5"/>
        <w:keepNext/>
      </w:pPr>
      <w:r>
        <w:rPr>
          <w:rFonts w:ascii="Calibri" w:hAnsi="Calibri"/>
          <w:b w:val="0"/>
          <w:sz w:val="22"/>
        </w:rPr>
        <w:t>7.3 Configuration Capability</w:t>
      </w:r>
    </w:p>
    <w:p>
      <w:pPr/>
      <w:r>
        <w:rPr>
          <w:rFonts w:ascii="Calibri" w:hAnsi="Calibri"/>
          <w:b w:val="0"/>
          <w:sz w:val="22"/>
        </w:rPr>
        <w:t>APPSolve's configuration capability covers the full scope of Oracle Fusion HCM Core configuration:</w:t>
      </w:r>
    </w:p>
    <w:p>
      <w:pPr>
        <w:pStyle w:val="ListBullet"/>
        <w:spacing w:before="20" w:after="20"/>
      </w:pPr>
      <w:r>
        <w:rPr>
          <w:rFonts w:ascii="Calibri" w:hAnsi="Calibri"/>
          <w:b w:val="0"/>
          <w:sz w:val="22"/>
        </w:rPr>
        <w:t>Enterprise structure: Legal entities, business units, departments, locations, cost centres</w:t>
      </w:r>
    </w:p>
    <w:p>
      <w:pPr>
        <w:pStyle w:val="ListBullet"/>
        <w:spacing w:before="20" w:after="20"/>
      </w:pPr>
      <w:r>
        <w:rPr>
          <w:rFonts w:ascii="Calibri" w:hAnsi="Calibri"/>
          <w:b w:val="0"/>
          <w:sz w:val="22"/>
        </w:rPr>
        <w:t>HR configuration: Worker types, employment categories, grades, grade steps, FTE rules</w:t>
      </w:r>
    </w:p>
    <w:p>
      <w:pPr>
        <w:pStyle w:val="ListBullet"/>
        <w:spacing w:before="20" w:after="20"/>
      </w:pPr>
      <w:r>
        <w:rPr>
          <w:rFonts w:ascii="Calibri" w:hAnsi="Calibri"/>
          <w:b w:val="0"/>
          <w:sz w:val="22"/>
        </w:rPr>
        <w:t>Person configuration: Person types, person extra information (PEI) types, document records</w:t>
      </w:r>
    </w:p>
    <w:p>
      <w:pPr>
        <w:pStyle w:val="ListBullet"/>
        <w:spacing w:before="20" w:after="20"/>
      </w:pPr>
      <w:r>
        <w:rPr>
          <w:rFonts w:ascii="Calibri" w:hAnsi="Calibri"/>
          <w:b w:val="0"/>
          <w:sz w:val="22"/>
        </w:rPr>
        <w:t>Absence configuration: Plan types, accrual formulas, absence reasons, approval workflows</w:t>
      </w:r>
    </w:p>
    <w:p>
      <w:pPr>
        <w:pStyle w:val="ListBullet"/>
        <w:spacing w:before="20" w:after="20"/>
      </w:pPr>
      <w:r>
        <w:rPr>
          <w:rFonts w:ascii="Calibri" w:hAnsi="Calibri"/>
          <w:b w:val="0"/>
          <w:sz w:val="22"/>
        </w:rPr>
        <w:t>Self-service configuration: Menu structures, page personalisation, notification templates</w:t>
      </w:r>
    </w:p>
    <w:p>
      <w:pPr>
        <w:pStyle w:val="ListBullet"/>
        <w:spacing w:before="20" w:after="20"/>
      </w:pPr>
      <w:r>
        <w:rPr>
          <w:rFonts w:ascii="Calibri" w:hAnsi="Calibri"/>
          <w:b w:val="0"/>
          <w:sz w:val="22"/>
        </w:rPr>
        <w:t>Journeys: Journey design, checklist tasks, triggers, notifications, integrations</w:t>
      </w:r>
    </w:p>
    <w:p>
      <w:pPr>
        <w:pStyle w:val="ListBullet"/>
        <w:spacing w:before="20" w:after="20"/>
      </w:pPr>
      <w:r>
        <w:rPr>
          <w:rFonts w:ascii="Calibri" w:hAnsi="Calibri"/>
          <w:b w:val="0"/>
          <w:sz w:val="22"/>
        </w:rPr>
        <w:t>Security: Role-based access control (RBAC); HCM data roles; row-level security; segregation of duties</w:t>
      </w:r>
    </w:p>
    <w:p>
      <w:pPr>
        <w:pStyle w:val="Heading5"/>
        <w:keepNext/>
      </w:pPr>
      <w:r>
        <w:rPr>
          <w:rFonts w:ascii="Calibri" w:hAnsi="Calibri"/>
          <w:b w:val="0"/>
          <w:sz w:val="22"/>
        </w:rPr>
        <w:t>7.4 Integration Capability</w:t>
      </w:r>
    </w:p>
    <w:p>
      <w:pPr/>
      <w:r>
        <w:rPr>
          <w:rFonts w:ascii="Calibri" w:hAnsi="Calibri"/>
          <w:b w:val="0"/>
          <w:sz w:val="22"/>
        </w:rPr>
        <w:t>APPSolve's Oracle Integration Cloud (OIC) certification enables the team to design and build production-grade integrations connecting Oracle Fusion HCM to the client's wider enterprise ecosystem. Confirmed integration types delivered by APPSolve:</w:t>
      </w:r>
    </w:p>
    <w:p>
      <w:pPr>
        <w:pStyle w:val="ListBullet"/>
        <w:spacing w:before="20" w:after="20"/>
      </w:pPr>
      <w:r>
        <w:rPr>
          <w:rFonts w:ascii="Calibri" w:hAnsi="Calibri"/>
          <w:b w:val="0"/>
          <w:sz w:val="22"/>
        </w:rPr>
        <w:t>Oracle HCM to SAP Payroll — APPSolve has the technical integration capability to connect Oracle HCM to SAP Payroll via OIC</w:t>
      </w:r>
    </w:p>
    <w:p>
      <w:pPr>
        <w:pStyle w:val="ListBullet"/>
        <w:spacing w:before="20" w:after="20"/>
      </w:pPr>
      <w:r>
        <w:rPr>
          <w:rFonts w:ascii="Calibri" w:hAnsi="Calibri"/>
          <w:b w:val="0"/>
          <w:sz w:val="22"/>
        </w:rPr>
        <w:t>Oracle HCM to third-party payroll systems (PaySpace and others) — via OIC or HCM Extracts</w:t>
      </w:r>
    </w:p>
    <w:p>
      <w:pPr>
        <w:pStyle w:val="ListBullet"/>
        <w:spacing w:before="20" w:after="20"/>
      </w:pPr>
      <w:r>
        <w:rPr>
          <w:rFonts w:ascii="Calibri" w:hAnsi="Calibri"/>
          <w:b w:val="0"/>
          <w:sz w:val="22"/>
        </w:rPr>
        <w:t>Oracle HCM to biometric and time-capture systems</w:t>
      </w:r>
    </w:p>
    <w:p>
      <w:pPr>
        <w:pStyle w:val="ListBullet"/>
        <w:spacing w:before="20" w:after="20"/>
      </w:pPr>
      <w:r>
        <w:rPr>
          <w:rFonts w:ascii="Calibri" w:hAnsi="Calibri"/>
          <w:b w:val="0"/>
          <w:sz w:val="22"/>
        </w:rPr>
        <w:t xml:space="preserve">Oracle HCM to Learning Management Systems (Moodle and others) — for SETA reporting and learning record synchronisation </w:t>
      </w:r>
      <w:r>
        <w:rPr>
          <w:rFonts w:ascii="Calibri" w:hAnsi="Calibri"/>
          <w:sz w:val="22"/>
        </w:rPr>
        <w:t>*(HIST-007 Annexure 1)*</w:t>
      </w:r>
    </w:p>
    <w:p>
      <w:pPr>
        <w:pStyle w:val="ListBullet"/>
        <w:spacing w:before="20" w:after="20"/>
      </w:pPr>
      <w:r>
        <w:rPr>
          <w:rFonts w:ascii="Calibri" w:hAnsi="Calibri"/>
          <w:b w:val="0"/>
          <w:sz w:val="22"/>
        </w:rPr>
        <w:t>Oracle HCM to Active Directory and identity providers — for user provisioning and SSO</w:t>
      </w:r>
    </w:p>
    <w:p>
      <w:pPr>
        <w:pStyle w:val="Heading5"/>
        <w:keepNext/>
      </w:pPr>
      <w:r>
        <w:rPr>
          <w:rFonts w:ascii="Calibri" w:hAnsi="Calibri"/>
          <w:b w:val="0"/>
          <w:sz w:val="22"/>
        </w:rPr>
        <w:t>7.5 Managed Services Capability</w:t>
      </w:r>
    </w:p>
    <w:p>
      <w:pPr/>
      <w:r>
        <w:rPr>
          <w:rFonts w:ascii="Calibri" w:hAnsi="Calibri"/>
          <w:b w:val="0"/>
          <w:sz w:val="22"/>
        </w:rPr>
        <w:t>APPSolve provides post-implementation Oracle HCM managed services to clients requiring ongoing functional and technical support. The managed services model covers:</w:t>
      </w:r>
    </w:p>
    <w:p>
      <w:pPr>
        <w:pStyle w:val="ListBullet"/>
        <w:spacing w:before="20" w:after="20"/>
      </w:pPr>
      <w:r>
        <w:rPr>
          <w:rFonts w:ascii="Calibri" w:hAnsi="Calibri"/>
          <w:b w:val="0"/>
          <w:sz w:val="22"/>
        </w:rPr>
        <w:t>HCM system administration: user management, security role maintenance, configuration changes</w:t>
      </w:r>
    </w:p>
    <w:p>
      <w:pPr>
        <w:pStyle w:val="ListBullet"/>
        <w:spacing w:before="20" w:after="20"/>
      </w:pPr>
      <w:r>
        <w:rPr>
          <w:rFonts w:ascii="Calibri" w:hAnsi="Calibri"/>
          <w:b w:val="0"/>
          <w:sz w:val="22"/>
        </w:rPr>
        <w:t>Quarterly release management: release impact assessment, feature activation advisory, regression testing</w:t>
      </w:r>
    </w:p>
    <w:p>
      <w:pPr>
        <w:pStyle w:val="ListBullet"/>
        <w:spacing w:before="20" w:after="20"/>
      </w:pPr>
      <w:r>
        <w:rPr>
          <w:rFonts w:ascii="Calibri" w:hAnsi="Calibri"/>
          <w:b w:val="0"/>
          <w:sz w:val="22"/>
        </w:rPr>
        <w:t>Ongoing integration support: OIC monitoring, interface error resolution, data quality management</w:t>
      </w:r>
    </w:p>
    <w:p>
      <w:pPr>
        <w:pStyle w:val="ListBullet"/>
        <w:spacing w:before="20" w:after="20"/>
      </w:pPr>
      <w:r>
        <w:rPr>
          <w:rFonts w:ascii="Calibri" w:hAnsi="Calibri"/>
          <w:b w:val="0"/>
          <w:sz w:val="22"/>
        </w:rPr>
        <w:t>Functional advisory: process improvement recommendations, optimisation of underutilised functionality</w:t>
      </w:r>
    </w:p>
    <w:p>
      <w:pPr>
        <w:pStyle w:val="ListBullet"/>
        <w:spacing w:before="20" w:after="20"/>
      </w:pPr>
      <w:r>
        <w:rPr>
          <w:rFonts w:ascii="Calibri" w:hAnsi="Calibri"/>
          <w:b w:val="0"/>
          <w:sz w:val="22"/>
        </w:rPr>
        <w:t>Reporting and analytics support: OTBI report maintenance, dashboard enhancement</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Core HCM, Absence Management, Recruiting, Talent Management, Performance Management, Career Development, Succession Planning, Help Desk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This engagement represents the full scope of APPSolve's Oracle HCM delivery capability: a complex, multi-module implementation for a large South African employer with over 7,000 active system users, delivered to production and successfully transitioned to a live operating environment in July 2025.</w:t>
      </w:r>
    </w:p>
    <w:p>
      <w:pPr/>
      <w:r>
        <w:rPr>
          <w:rFonts w:ascii="Calibri" w:hAnsi="Calibri"/>
          <w:sz w:val="22"/>
        </w:rPr>
        <w:t>**Implementation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system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reporting extract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 (Annexure 1)</w:t>
            </w:r>
          </w:p>
        </w:tc>
      </w:tr>
    </w:tbl>
    <w:p>
      <w:pPr>
        <w:spacing w:before="0" w:after="120"/>
      </w:pPr>
    </w:p>
    <w:p>
      <w:pPr/>
      <w:r>
        <w:rPr>
          <w:rFonts w:ascii="Calibri" w:hAnsi="Calibri"/>
          <w:sz w:val="22"/>
        </w:rPr>
        <w:t>**Integration architecture:**</w:t>
      </w:r>
      <w:r>
        <w:rPr>
          <w:rFonts w:ascii="Calibri" w:hAnsi="Calibri"/>
          <w:b w:val="0"/>
          <w:sz w:val="22"/>
        </w:rPr>
        <w:t xml:space="preserve"> APPSolve implemented Oracle Integration Cloud (OIC) as the standard integration layer, connecting Oracle Fusion HCM to the client's third-party payroll system and biometric infrastructure. Payroll data flows from Oracle HCM to the payroll system via OIC-managed interfaces on a defined payroll cycle. Biometric attendance data flows into Time and Labor for payroll-relevant time capture.</w:t>
      </w:r>
    </w:p>
    <w:p>
      <w:pPr/>
      <w:r>
        <w:rPr>
          <w:rFonts w:ascii="Calibri" w:hAnsi="Calibri"/>
          <w:sz w:val="22"/>
        </w:rPr>
        <w:t>**SETA compliance:**</w:t>
      </w:r>
      <w:r>
        <w:rPr>
          <w:rFonts w:ascii="Calibri" w:hAnsi="Calibri"/>
          <w:b w:val="0"/>
          <w:sz w:val="22"/>
        </w:rPr>
        <w:t xml:space="preserve"> APPSolve implemented a SETA reporting extract — integrating Oracle HCM with the client's learning platform to produce Workplace Skills Plan (WSP) and Annual Training Report (ATR) data in the format required for Skills Development Act compliance.</w:t>
      </w:r>
    </w:p>
    <w:p>
      <w:pPr/>
      <w:r>
        <w:rPr>
          <w:rFonts w:ascii="Calibri" w:hAnsi="Calibri"/>
          <w:sz w:val="22"/>
        </w:rPr>
        <w:t>**HR Help Desk:**</w:t>
      </w:r>
      <w:r>
        <w:rPr>
          <w:rFonts w:ascii="Calibri" w:hAnsi="Calibri"/>
          <w:b w:val="0"/>
          <w:sz w:val="22"/>
        </w:rPr>
        <w:t xml:space="preserve"> Hollywood Bets extended the scope to include Oracle HCM Help Desk — enabling employees to submit HR inquiries via chatbot and SMS channels, with routing to HR representatives and an HR knowledge base for self-service resolution.</w:t>
      </w: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8.2 Additional Oracle HCM Implementations</w:t>
      </w:r>
    </w:p>
    <w:p>
      <w:pPr/>
      <w:r>
        <w:rPr>
          <w:rFonts w:ascii="Calibri" w:hAnsi="Calibri"/>
          <w:b w:val="0"/>
          <w:sz w:val="22"/>
        </w:rPr>
        <w:t>APPSolve has delivered Oracle Fusion HCM implementations across enterprise clients in retail, mining, and professional services sectors, establishing a track record of multi-industry HCM delivery across South African and international organisations. These implementations span the full HCM module suite, including Core HR, Absence Management, Recruiting, Talent Management, Learning Cloud, Workforce Compensation, Time and Labor, Help Desk, and HCM Analytics.</w:t>
      </w:r>
    </w:p>
    <w:p>
      <w:pPr/>
      <w:r>
        <w:rPr>
          <w:rFonts w:ascii="Calibri" w:hAnsi="Calibri"/>
          <w:b w:val="0"/>
          <w:sz w:val="22"/>
        </w:rPr>
        <w:t>Additionally, APPSolve has delivered Oracle HCM implementations that include multi-country organisational models, multi-legal-entity configurations, and integration to diverse payroll systems — including SAP Payroll, PaySpace, and Oracle Payroll Cloud.</w:t>
      </w:r>
    </w:p>
    <w:p>
      <w:pPr/>
      <w:r>
        <w:rPr>
          <w:rFonts w:ascii="Calibri" w:hAnsi="Calibri"/>
          <w:sz w:val="22"/>
        </w:rPr>
        <w:t>*Specific reference details for additional implementations are available on request, subject to client consent and reference letter availability.*</w:t>
      </w:r>
    </w:p>
    <w:p>
      <w:pPr>
        <w:pStyle w:val="Heading5"/>
        <w:keepNext/>
      </w:pPr>
      <w:r>
        <w:rPr>
          <w:rFonts w:ascii="Calibri" w:hAnsi="Calibri"/>
          <w:b w:val="0"/>
          <w:sz w:val="22"/>
        </w:rPr>
        <w:t>8.3 Mr Price Group — Oracle HCM Learning Cloud and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**Implementation scope:**</w:t>
      </w:r>
      <w:r>
        <w:rPr>
          <w:rFonts w:ascii="Calibri" w:hAnsi="Calibri"/>
          <w:b w:val="0"/>
          <w:sz w:val="22"/>
        </w:rPr>
        <w:t xml:space="preserve"> Oracle HCM Learning Cloud (implemented by APPSolve)   </w:t>
      </w:r>
      <w:r>
        <w:rPr>
          <w:rFonts w:ascii="Calibri" w:hAnsi="Calibri"/>
          <w:sz w:val="22"/>
        </w:rPr>
        <w:t>**Support scope:**</w:t>
      </w:r>
      <w:r>
        <w:rPr>
          <w:rFonts w:ascii="Calibri" w:hAnsi="Calibri"/>
          <w:b w:val="0"/>
          <w:sz w:val="22"/>
        </w:rPr>
        <w:t xml:space="preserve"> Broader Oracle HCM estate (ongoing support provided by APPSolve)   </w:t>
      </w:r>
      <w:r>
        <w:rPr>
          <w:rFonts w:ascii="Calibri" w:hAnsi="Calibri"/>
          <w:sz w:val="22"/>
        </w:rPr>
        <w:t>**Status:**</w:t>
      </w:r>
      <w:r>
        <w:rPr>
          <w:rFonts w:ascii="Calibri" w:hAnsi="Calibri"/>
          <w:b w:val="0"/>
          <w:sz w:val="22"/>
        </w:rPr>
        <w:t xml:space="preserve"> Live</w:t>
      </w:r>
    </w:p>
    <w:p>
      <w:pPr/>
      <w:r>
        <w:rPr>
          <w:rFonts w:ascii="Calibri" w:hAnsi="Calibri"/>
          <w:b w:val="0"/>
          <w:sz w:val="22"/>
        </w:rPr>
        <w:t>APPSolve implemented Oracle Learning Cloud for Mr Price Group and provides ongoing support services across the client's broader Oracle HCM landscape.</w:t>
      </w:r>
    </w:p>
    <w:p>
      <w:pPr/>
      <w:r>
        <w:rPr>
          <w:rFonts w:ascii="Calibri" w:hAnsi="Calibri"/>
          <w:sz w:val="22"/>
        </w:rPr>
        <w:t>**Scope governance note:**</w:t>
      </w:r>
      <w:r>
        <w:rPr>
          <w:rFonts w:ascii="Calibri" w:hAnsi="Calibri"/>
          <w:b w:val="0"/>
          <w:sz w:val="22"/>
        </w:rPr>
        <w:t xml:space="preserve"> Mr Price Group is an implementation reference for Oracle HCM Learning Cloud only. APPSolve's role across the broader Mr Price Oracle HCM environment is ongoing application support — APPSolve did not implement those modules. When citing Mr Price as a reference, distinguish clearly between implementation responsibility (Learning Cloud) and support responsibility (broader HCM estate). Do not imply APPSolve originally implemented every Oracle HCM module in use at Mr Price.</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r>
        <w:rPr>
          <w:rFonts w:ascii="Calibri" w:hAnsi="Calibri"/>
          <w:b w:val="0"/>
          <w:sz w:val="22"/>
        </w:rPr>
        <w:t>Oracle Integration Cloud (OIC) is the mandatory, standard integration layer in every APPSolve Oracle Fusion HCM implementation. APPSolve does not deliver Oracle Fusion HCM without OIC — it is the integration fabric that connects HCM to the client's payroll system, identity provider, biometric infrastructure, and enterprise systems.</w:t>
      </w:r>
    </w:p>
    <w:p>
      <w:pPr/>
      <w:r>
        <w:rPr>
          <w:rFonts w:ascii="Calibri" w:hAnsi="Calibri"/>
          <w:b w:val="0"/>
          <w:sz w:val="22"/>
        </w:rPr>
        <w:t>OIC provides:</w:t>
      </w:r>
    </w:p>
    <w:p>
      <w:pPr>
        <w:pStyle w:val="ListBullet"/>
        <w:spacing w:before="20" w:after="20"/>
      </w:pPr>
      <w:r>
        <w:rPr>
          <w:rFonts w:ascii="Calibri" w:hAnsi="Calibri"/>
          <w:b w:val="0"/>
          <w:sz w:val="22"/>
        </w:rPr>
        <w:t>Pre-built Oracle adapters for Oracle HCM, ERP, and cloud services</w:t>
      </w:r>
    </w:p>
    <w:p>
      <w:pPr>
        <w:pStyle w:val="ListBullet"/>
        <w:spacing w:before="20" w:after="20"/>
      </w:pPr>
      <w:r>
        <w:rPr>
          <w:rFonts w:ascii="Calibri" w:hAnsi="Calibri"/>
          <w:b w:val="0"/>
          <w:sz w:val="22"/>
        </w:rPr>
        <w:t>Custom REST and SOAP adapter configurations for third-party systems</w:t>
      </w:r>
    </w:p>
    <w:p>
      <w:pPr>
        <w:pStyle w:val="ListBullet"/>
        <w:spacing w:before="20" w:after="20"/>
      </w:pPr>
      <w:r>
        <w:rPr>
          <w:rFonts w:ascii="Calibri" w:hAnsi="Calibri"/>
          <w:b w:val="0"/>
          <w:sz w:val="22"/>
        </w:rPr>
        <w:t>Orchestration and transformation of HCM data in transit</w:t>
      </w:r>
    </w:p>
    <w:p>
      <w:pPr>
        <w:pStyle w:val="ListBullet"/>
        <w:spacing w:before="20" w:after="20"/>
      </w:pPr>
      <w:r>
        <w:rPr>
          <w:rFonts w:ascii="Calibri" w:hAnsi="Calibri"/>
          <w:b w:val="0"/>
          <w:sz w:val="22"/>
        </w:rPr>
        <w:t>Error handling, retry, and alerting for all interfaces</w:t>
      </w:r>
    </w:p>
    <w:p>
      <w:pPr>
        <w:pStyle w:val="ListBullet"/>
        <w:spacing w:before="20" w:after="20"/>
      </w:pPr>
      <w:r>
        <w:rPr>
          <w:rFonts w:ascii="Calibri" w:hAnsi="Calibri"/>
          <w:b w:val="0"/>
          <w:sz w:val="22"/>
        </w:rPr>
        <w:t>An audit trail of every data movement across the integration landscape</w:t>
      </w:r>
    </w:p>
    <w:p>
      <w:pPr>
        <w:pStyle w:val="Heading5"/>
        <w:keepNext/>
      </w:pPr>
      <w:r>
        <w:rPr>
          <w:rFonts w:ascii="Calibri" w:hAnsi="Calibri"/>
          <w:b w:val="0"/>
          <w:sz w:val="22"/>
        </w:rPr>
        <w:t>9.2 Payroll System Integrations</w:t>
      </w:r>
    </w:p>
    <w:p>
      <w:pPr/>
      <w:r>
        <w:rPr>
          <w:rFonts w:ascii="Calibri" w:hAnsi="Calibri"/>
          <w:b w:val="0"/>
          <w:sz w:val="22"/>
        </w:rPr>
        <w:t>APPSolve configures the Oracle HCM payroll interface (Payroll Interface module) and implements the corresponding OIC integration to the client's nominated payroll system. Payroll integration patterns confirmed as delivered by APPSolve: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OIC-managed interface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the technical integration capability to connect Oracle HCM to SAP Payroll via OIC</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(generic)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interface or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Hollywood Bets implementation </w:t>
            </w:r>
            <w:r>
              <w:rPr>
                <w:rFonts w:ascii="Calibri" w:hAnsi="Calibri"/>
                <w:sz w:val="20"/>
              </w:rPr>
              <w:t>*(HIST-007)*</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or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*(ORACLE_FACT_BASELINE 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Payroll Cloud (native)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payroll in same instance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where Oracle Payroll Cloud is licensed</w:t>
            </w:r>
          </w:p>
        </w:tc>
      </w:tr>
    </w:tbl>
    <w:p>
      <w:pPr>
        <w:spacing w:before="0" w:after="120"/>
      </w:pPr>
    </w:p>
    <w:p>
      <w:pPr/>
      <w:r>
        <w:rPr>
          <w:rFonts w:ascii="Calibri" w:hAnsi="Calibri"/>
          <w:sz w:val="22"/>
        </w:rPr>
        <w:t>**Integration data flows**</w:t>
      </w:r>
      <w:r>
        <w:rPr>
          <w:rFonts w:ascii="Calibri" w:hAnsi="Calibri"/>
          <w:b w:val="0"/>
          <w:sz w:val="22"/>
        </w:rPr>
        <w:t xml:space="preserve"> (standard payroll integration):</w:t>
      </w:r>
    </w:p>
    <w:p>
      <w:pPr>
        <w:pStyle w:val="ListNumber"/>
        <w:spacing w:before="20" w:after="20"/>
      </w:pPr>
      <w:r>
        <w:rPr>
          <w:rFonts w:ascii="Calibri" w:hAnsi="Calibri"/>
          <w:b w:val="0"/>
          <w:sz w:val="22"/>
        </w:rPr>
        <w:t>HCM Extracts or OIC extracts payroll-relevant worker and assignment data at defined frequency</w:t>
      </w:r>
    </w:p>
    <w:p>
      <w:pPr>
        <w:pStyle w:val="ListNumber"/>
        <w:spacing w:before="20" w:after="20"/>
      </w:pPr>
      <w:r>
        <w:rPr>
          <w:rFonts w:ascii="Calibri" w:hAnsi="Calibri"/>
          <w:b w:val="0"/>
          <w:sz w:val="22"/>
        </w:rPr>
        <w:t>Absence balances and approved leave are included in the extract</w:t>
      </w:r>
    </w:p>
    <w:p>
      <w:pPr>
        <w:pStyle w:val="ListNumber"/>
        <w:spacing w:before="20" w:after="20"/>
      </w:pPr>
      <w:r>
        <w:rPr>
          <w:rFonts w:ascii="Calibri" w:hAnsi="Calibri"/>
          <w:b w:val="0"/>
          <w:sz w:val="22"/>
        </w:rPr>
        <w:t>Overtime and time-capture data (where Time and Labor is in scope) is appended</w:t>
      </w:r>
    </w:p>
    <w:p>
      <w:pPr>
        <w:pStyle w:val="ListNumber"/>
        <w:spacing w:before="20" w:after="20"/>
      </w:pPr>
      <w:r>
        <w:rPr>
          <w:rFonts w:ascii="Calibri" w:hAnsi="Calibri"/>
          <w:b w:val="0"/>
          <w:sz w:val="22"/>
        </w:rPr>
        <w:t>The extract is transformed by OIC into the target payroll system's input format</w:t>
      </w:r>
    </w:p>
    <w:p>
      <w:pPr>
        <w:pStyle w:val="ListNumber"/>
        <w:spacing w:before="20" w:after="20"/>
      </w:pPr>
      <w:r>
        <w:rPr>
          <w:rFonts w:ascii="Calibri" w:hAnsi="Calibri"/>
          <w:b w:val="0"/>
          <w:sz w:val="22"/>
        </w:rPr>
        <w:t>The payroll system processes the data and returns a payroll results file</w:t>
      </w:r>
    </w:p>
    <w:p>
      <w:pPr>
        <w:pStyle w:val="ListNumber"/>
        <w:spacing w:before="20" w:after="20"/>
      </w:pPr>
      <w:r>
        <w:rPr>
          <w:rFonts w:ascii="Calibri" w:hAnsi="Calibri"/>
          <w:b w:val="0"/>
          <w:sz w:val="22"/>
        </w:rPr>
        <w:t>Payroll results are loaded back into Oracle HCM for record-keeping and reporting</w:t>
      </w:r>
    </w:p>
    <w:p>
      <w:pPr>
        <w:pStyle w:val="Heading5"/>
        <w:keepNext/>
      </w:pPr>
      <w:r>
        <w:rPr>
          <w:rFonts w:ascii="Calibri" w:hAnsi="Calibri"/>
          <w:b w:val="0"/>
          <w:sz w:val="22"/>
        </w:rPr>
        <w:t>9.3 Identity and Access Integrations</w:t>
      </w:r>
    </w:p>
    <w:p>
      <w:pPr/>
      <w:r>
        <w:rPr>
          <w:rFonts w:ascii="Calibri" w:hAnsi="Calibri"/>
          <w:b w:val="0"/>
          <w:sz w:val="22"/>
        </w:rPr>
        <w:t>APPSolve configures Oracle Fusion HCM user provisioning as part of the implementation, integrating with the client's identity management environment:</w:t>
      </w:r>
    </w:p>
    <w:p>
      <w:pPr>
        <w:pStyle w:val="ListBullet"/>
        <w:spacing w:before="20" w:after="20"/>
      </w:pPr>
      <w:r>
        <w:rPr>
          <w:rFonts w:ascii="Calibri" w:hAnsi="Calibri"/>
          <w:sz w:val="22"/>
        </w:rPr>
        <w:t>**Active Directory / Azure AD**</w:t>
      </w:r>
      <w:r>
        <w:rPr>
          <w:rFonts w:ascii="Calibri" w:hAnsi="Calibri"/>
          <w:b w:val="0"/>
          <w:sz w:val="22"/>
        </w:rPr>
        <w:t xml:space="preserve"> — worker creation in Oracle HCM triggers user account provisioning in AD/Azure AD via OIC</w:t>
      </w:r>
    </w:p>
    <w:p>
      <w:pPr>
        <w:pStyle w:val="ListBullet"/>
        <w:spacing w:before="20" w:after="20"/>
      </w:pPr>
      <w:r>
        <w:rPr>
          <w:rFonts w:ascii="Calibri" w:hAnsi="Calibri"/>
          <w:sz w:val="22"/>
        </w:rPr>
        <w:t>**Single Sign-On (SSO)**</w:t>
      </w:r>
      <w:r>
        <w:rPr>
          <w:rFonts w:ascii="Calibri" w:hAnsi="Calibri"/>
          <w:b w:val="0"/>
          <w:sz w:val="22"/>
        </w:rPr>
        <w:t xml:space="preserve"> — Oracle Fusion HCM is configured to authenticate against the client's identity provider (SAML 2.0 or OAuth 2.0 standard)</w:t>
      </w:r>
    </w:p>
    <w:p>
      <w:pPr>
        <w:pStyle w:val="ListBullet"/>
        <w:spacing w:before="20" w:after="20"/>
      </w:pPr>
      <w:r>
        <w:rPr>
          <w:rFonts w:ascii="Calibri" w:hAnsi="Calibri"/>
          <w:sz w:val="22"/>
        </w:rPr>
        <w:t>**Role provisioning**</w:t>
      </w:r>
      <w:r>
        <w:rPr>
          <w:rFonts w:ascii="Calibri" w:hAnsi="Calibri"/>
          <w:b w:val="0"/>
          <w:sz w:val="22"/>
        </w:rPr>
        <w:t xml:space="preserve"> — HCM security roles are provisioned based on position and employment assignment, automatically updating as workers change roles</w:t>
      </w:r>
    </w:p>
    <w:p>
      <w:pPr>
        <w:pStyle w:val="Heading5"/>
        <w:keepNext/>
      </w:pPr>
      <w:r>
        <w:rPr>
          <w:rFonts w:ascii="Calibri" w:hAnsi="Calibri"/>
          <w:b w:val="0"/>
          <w:sz w:val="22"/>
        </w:rPr>
        <w:t>9.4 Third-Party Enterprise System Integrations</w:t>
      </w:r>
    </w:p>
    <w:p>
      <w:pPr/>
      <w:r>
        <w:rPr>
          <w:rFonts w:ascii="Calibri" w:hAnsi="Calibri"/>
          <w:b w:val="0"/>
          <w:sz w:val="22"/>
        </w:rPr>
        <w:t>APPSolve designs and delivers integrations between Oracle Fusion HCM and the client's third-party systems based on confirmed business requirements. Typical integrations in scope for HCM Core engagements: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 time capture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Attendance data to Oracle 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Data Loader (HDL)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Management System (Moodle, others)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record sync; SETA extract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and costing data to GL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FBDI</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administration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enrolment data to benefits provider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screening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screening results to 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REST integration</w:t>
            </w:r>
          </w:p>
        </w:tc>
      </w:tr>
    </w:tbl>
    <w:p>
      <w:pPr>
        <w:spacing w:before="0" w:after="120"/>
      </w:pPr>
    </w:p>
    <w:p>
      <w:pPr>
        <w:pStyle w:val="Heading5"/>
        <w:keepNext/>
      </w:pPr>
      <w:r>
        <w:rPr>
          <w:rFonts w:ascii="Calibri" w:hAnsi="Calibri"/>
          <w:b w:val="0"/>
          <w:sz w:val="22"/>
        </w:rPr>
        <w:t>9.5 Reporting and Analytics Ecosystem</w:t>
      </w:r>
    </w:p>
    <w:p>
      <w:pPr/>
      <w:r>
        <w:rPr>
          <w:rFonts w:ascii="Calibri" w:hAnsi="Calibri"/>
          <w:b w:val="0"/>
          <w:sz w:val="22"/>
        </w:rPr>
        <w:t>APPSolve configures Oracle Fusion HCM's embedded reporting and analytics tools as part of the Core HR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Configured by APPSolve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(Oracle Transactional Business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 hoc and scheduled reporting against live HCM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standard subject areas and custom reports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TDE (Transactional Data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extracts for downstream reporting or audit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extract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HCM dashboards for HR managers and executives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activated and personalised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analytics (where licensed)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where in subscription scope</w:t>
            </w:r>
          </w:p>
        </w:tc>
      </w:tr>
    </w:tbl>
    <w:p>
      <w:pPr>
        <w:spacing w:before="0" w:after="120"/>
      </w:pPr>
    </w:p>
    <w:p>
      <w:pPr>
        <w:pStyle w:val="Heading5"/>
        <w:keepNext/>
      </w:pPr>
      <w:r>
        <w:rPr>
          <w:rFonts w:ascii="Calibri" w:hAnsi="Calibri"/>
          <w:b w:val="0"/>
          <w:sz w:val="22"/>
        </w:rPr>
        <w:t>9.6 Integration Patterns</w:t>
      </w:r>
    </w:p>
    <w:p>
      <w:pPr/>
      <w:r>
        <w:rPr>
          <w:rFonts w:ascii="Calibri" w:hAnsi="Calibri"/>
          <w:b w:val="0"/>
          <w:sz w:val="22"/>
        </w:rPr>
        <w:t>APPSolve designs integrations using one of three standard patterns, selected based on data volume, frequency, and the capabilities of the target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When 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real-time**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Low-latency, event-driven integration (e.g., new hire triggers AD provisioning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scheduled batch**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synchronisation on defined schedule (e.g., payroll extract nightly)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Extracts**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export; used where OIC is not in scope or where the target system accepts flat file input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Loader (HDL)**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loading into Oracle HCM (used for data migration and mass updates)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OUM Methodology</w:t>
      </w:r>
    </w:p>
    <w:p>
      <w:pPr/>
      <w:r>
        <w:rPr>
          <w:rFonts w:ascii="Calibri" w:hAnsi="Calibri"/>
          <w:b w:val="0"/>
          <w:sz w:val="22"/>
        </w:rPr>
        <w:t xml:space="preserve">APPSolve implements Oracle Fusion HCM using the </w:t>
      </w:r>
      <w:r>
        <w:rPr>
          <w:rFonts w:ascii="Calibri" w:hAnsi="Calibri"/>
          <w:sz w:val="22"/>
        </w:rPr>
        <w:t>**Oracle Unified Methodology (OUM)**</w:t>
      </w:r>
      <w:r>
        <w:rPr>
          <w:rFonts w:ascii="Calibri" w:hAnsi="Calibri"/>
          <w:b w:val="0"/>
          <w:sz w:val="22"/>
        </w:rPr>
        <w:t>, Oracle's standard implementation framework for Oracle Applications. OUM is structured to align Oracle's product capability with the client's business requirements through a structured sequence of discovery, design, build, and validation activities.</w:t>
      </w:r>
    </w:p>
    <w:p>
      <w:pPr/>
      <w:r>
        <w:rPr>
          <w:rFonts w:ascii="Calibri" w:hAnsi="Calibri"/>
          <w:b w:val="0"/>
          <w:sz w:val="22"/>
        </w:rPr>
        <w:t>The OUM framework ensures:</w:t>
      </w:r>
    </w:p>
    <w:p>
      <w:pPr>
        <w:pStyle w:val="ListBullet"/>
        <w:spacing w:before="20" w:after="20"/>
      </w:pPr>
      <w:r>
        <w:rPr>
          <w:rFonts w:ascii="Calibri" w:hAnsi="Calibri"/>
          <w:b w:val="0"/>
          <w:sz w:val="22"/>
        </w:rPr>
        <w:t>Clear deliverables and sign-off points at each phase gate</w:t>
      </w:r>
    </w:p>
    <w:p>
      <w:pPr>
        <w:pStyle w:val="ListBullet"/>
        <w:spacing w:before="20" w:after="20"/>
      </w:pPr>
      <w:r>
        <w:rPr>
          <w:rFonts w:ascii="Calibri" w:hAnsi="Calibri"/>
          <w:b w:val="0"/>
          <w:sz w:val="22"/>
        </w:rPr>
        <w:t>Consistent documentation standards across all engagements</w:t>
      </w:r>
    </w:p>
    <w:p>
      <w:pPr>
        <w:pStyle w:val="ListBullet"/>
        <w:spacing w:before="20" w:after="20"/>
      </w:pPr>
      <w:r>
        <w:rPr>
          <w:rFonts w:ascii="Calibri" w:hAnsi="Calibri"/>
          <w:b w:val="0"/>
          <w:sz w:val="22"/>
        </w:rPr>
        <w:t>A change-controlled approach that protects scope integrity</w:t>
      </w:r>
    </w:p>
    <w:p>
      <w:pPr>
        <w:pStyle w:val="ListBullet"/>
        <w:spacing w:before="20" w:after="20"/>
      </w:pPr>
      <w:r>
        <w:rPr>
          <w:rFonts w:ascii="Calibri" w:hAnsi="Calibri"/>
          <w:b w:val="0"/>
          <w:sz w:val="22"/>
        </w:rPr>
        <w:t>Traceability between business requirements, configuration decisions, and test outcomes</w:t>
      </w:r>
    </w:p>
    <w:p>
      <w:pPr>
        <w:pStyle w:val="Heading5"/>
        <w:keepNext/>
      </w:pPr>
      <w:r>
        <w:rPr>
          <w:rFonts w:ascii="Calibri" w:hAnsi="Calibri"/>
          <w:b w:val="0"/>
          <w:sz w:val="22"/>
        </w:rPr>
        <w:t>10.2 Delivery Phases</w:t>
      </w:r>
    </w:p>
    <w:p>
      <w:pPr>
        <w:pStyle w:val="Heading5"/>
        <w:keepNext/>
      </w:pPr>
      <w:r>
        <w:rPr>
          <w:rFonts w:ascii="Calibri" w:hAnsi="Calibri"/>
          <w:b w:val="0"/>
          <w:sz w:val="22"/>
        </w:rPr>
        <w:t>10.3 Hypercare and Post-Go-Live Support</w:t>
      </w:r>
    </w:p>
    <w:p>
      <w:pPr>
        <w:pStyle w:val="Heading5"/>
        <w:keepNext/>
      </w:pPr>
      <w:r>
        <w:rPr>
          <w:rFonts w:ascii="Calibri" w:hAnsi="Calibri"/>
          <w:b w:val="0"/>
          <w:sz w:val="22"/>
        </w:rPr>
        <w:t>10.4 Governance</w:t>
      </w:r>
    </w:p>
    <w:p>
      <w:pPr>
        <w:pStyle w:val="Heading5"/>
        <w:keepNext/>
      </w:pPr>
      <w:r>
        <w:rPr>
          <w:rFonts w:ascii="Calibri" w:hAnsi="Calibri"/>
          <w:b w:val="0"/>
          <w:sz w:val="22"/>
        </w:rPr>
        <w:t>10.5 Testing</w:t>
      </w:r>
    </w:p>
    <w:p>
      <w:pPr>
        <w:pStyle w:val="Heading5"/>
        <w:keepNext/>
      </w:pPr>
      <w:r>
        <w:rPr>
          <w:rFonts w:ascii="Calibri" w:hAnsi="Calibri"/>
          <w:b w:val="0"/>
          <w:sz w:val="22"/>
        </w:rPr>
        <w:t>10.6 Change Management</w:t>
      </w:r>
    </w:p>
    <w:p>
      <w:pPr>
        <w:pBdr>
          <w:bottom w:val="single" w:sz="4" w:space="1" w:color="CCCCCC"/>
        </w:pBdr>
        <w:spacing w:before="80" w:after="80"/>
      </w:pPr>
    </w:p>
    <w:p>
      <w:pPr>
        <w:pStyle w:val="Heading4"/>
        <w:keepNext/>
      </w:pPr>
      <w:r>
        <w:rPr>
          <w:rFonts w:ascii="Calibri" w:hAnsi="Calibri"/>
          <w:b w:val="0"/>
          <w:sz w:val="22"/>
        </w:rPr>
        <w:t>Section 11 — Risk Register</w:t>
      </w:r>
    </w:p>
    <w:p>
      <w:pPr>
        <w:pBdr>
          <w:bottom w:val="single" w:sz="4" w:space="1" w:color="CCCCCC"/>
        </w:pBdr>
        <w:spacing w:before="80" w:after="80"/>
      </w:pPr>
    </w:p>
    <w:p>
      <w:pPr>
        <w:pStyle w:val="Heading4"/>
        <w:keepNext/>
      </w:pPr>
      <w:r>
        <w:rPr>
          <w:rFonts w:ascii="Calibri" w:hAnsi="Calibri"/>
          <w:b w:val="0"/>
          <w:sz w:val="22"/>
        </w:rPr>
        <w:t>Section 12 — Assumptions Register</w:t>
      </w:r>
    </w:p>
    <w:p>
      <w:pPr>
        <w:pBdr>
          <w:bottom w:val="single" w:sz="4" w:space="1" w:color="CCCCCC"/>
        </w:pBdr>
        <w:spacing w:before="80" w:after="80"/>
      </w:pPr>
    </w:p>
    <w:p>
      <w:pPr>
        <w:pStyle w:val="Heading4"/>
        <w:keepNext/>
      </w:pPr>
      <w:r>
        <w:rPr>
          <w:rFonts w:ascii="Calibri" w:hAnsi="Calibri"/>
          <w:b w:val="0"/>
          <w:sz w:val="22"/>
        </w:rPr>
        <w:t>Section 13 — Source Mapping Table</w:t>
      </w: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p>
      <w:pPr>
        <w:pStyle w:val="Heading5"/>
        <w:keepNext/>
      </w:pPr>
      <w:r>
        <w:rPr>
          <w:rFonts w:ascii="Calibri" w:hAnsi="Calibri"/>
          <w:b w:val="0"/>
          <w:sz w:val="22"/>
        </w:rPr>
        <w:t>14.2 Framing Check</w:t>
      </w:r>
    </w:p>
    <w:p>
      <w:pPr>
        <w:pStyle w:val="Heading5"/>
        <w:keepNext/>
      </w:pPr>
      <w:r>
        <w:rPr>
          <w:rFonts w:ascii="Calibri" w:hAnsi="Calibri"/>
          <w:b w:val="0"/>
          <w:sz w:val="22"/>
        </w:rPr>
        <w:t>14.3 Source Traceability Check</w:t>
      </w:r>
    </w:p>
    <w:p>
      <w:pPr>
        <w:pStyle w:val="Heading5"/>
        <w:keepNext/>
      </w:pPr>
      <w:r>
        <w:rPr>
          <w:rFonts w:ascii="Calibri" w:hAnsi="Calibri"/>
          <w:b w:val="0"/>
          <w:sz w:val="22"/>
        </w:rPr>
        <w:t>14.4 Open Items — ALL CLOSED</w:t>
      </w:r>
    </w:p>
    <w:p>
      <w:pPr>
        <w:pStyle w:val="Heading5"/>
        <w:keepNext/>
      </w:pPr>
      <w:r>
        <w:rPr>
          <w:rFonts w:ascii="Calibri" w:hAnsi="Calibri"/>
          <w:b w:val="0"/>
          <w:sz w:val="22"/>
        </w:rPr>
        <w:t>14.5 BU Lead Corrections Applied</w:t>
      </w:r>
    </w:p>
    <w:p>
      <w:pPr>
        <w:pStyle w:val="Heading5"/>
        <w:keepNext/>
      </w:pPr>
      <w:r>
        <w:rPr>
          <w:rFonts w:ascii="Calibri" w:hAnsi="Calibri"/>
          <w:b w:val="0"/>
          <w:sz w:val="22"/>
        </w:rPr>
        <w:t>14.6 Implementation vs Support Governance Rule (Permanent)</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pStyle w:val="Heading5"/>
        <w:keepNext/>
      </w:pPr>
      <w:r>
        <w:rPr>
          <w:rFonts w:ascii="Calibri" w:hAnsi="Calibri"/>
          <w:b w:val="0"/>
          <w:sz w:val="22"/>
        </w:rPr>
        <w:t>Deliverables Produced</w:t>
      </w:r>
    </w:p>
    <w:p>
      <w:pPr>
        <w:pStyle w:val="Heading5"/>
        <w:keepNext/>
      </w:pPr>
      <w:r>
        <w:rPr>
          <w:rFonts w:ascii="Calibri" w:hAnsi="Calibri"/>
          <w:b w:val="0"/>
          <w:sz w:val="22"/>
        </w:rPr>
        <w:t>Source Usage Summary</w:t>
      </w:r>
    </w:p>
    <w:p>
      <w:pPr>
        <w:pStyle w:val="Heading5"/>
        <w:keepNext/>
      </w:pPr>
      <w:r>
        <w:rPr>
          <w:rFonts w:ascii="Calibri" w:hAnsi="Calibri"/>
          <w:b w:val="0"/>
          <w:sz w:val="22"/>
        </w:rPr>
        <w:t>Changes from v1.0 to v1.1</w:t>
      </w:r>
    </w:p>
    <w:p>
      <w:pPr>
        <w:pStyle w:val="Heading5"/>
        <w:keepNext/>
      </w:pPr>
      <w:r>
        <w:rPr>
          <w:rFonts w:ascii="Calibri" w:hAnsi="Calibri"/>
          <w:b w:val="0"/>
          <w:sz w:val="22"/>
        </w:rPr>
        <w:t>Changes from v1.1 to v1.2</w:t>
      </w:r>
    </w:p>
    <w:p>
      <w:pPr>
        <w:pStyle w:val="Heading5"/>
        <w:keepNext/>
      </w:pPr>
      <w:r>
        <w:rPr>
          <w:rFonts w:ascii="Calibri" w:hAnsi="Calibri"/>
          <w:b w:val="0"/>
          <w:sz w:val="22"/>
        </w:rPr>
        <w:t>Changes from v1.2 to v1.3</w:t>
      </w:r>
    </w:p>
    <w:p>
      <w:pPr>
        <w:pStyle w:val="Heading5"/>
        <w:keepNext/>
      </w:pPr>
      <w:r>
        <w:rPr>
          <w:rFonts w:ascii="Calibri" w:hAnsi="Calibri"/>
          <w:b w:val="0"/>
          <w:sz w:val="22"/>
        </w:rPr>
        <w:t>Recommended Next Action</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p>
      <w:pPr>
        <w:pStyle w:val="Heading5"/>
        <w:keepNext/>
      </w:pPr>
      <w:r>
        <w:rPr>
          <w:rFonts w:ascii="Calibri" w:hAnsi="Calibri"/>
          <w:b w:val="0"/>
          <w:sz w:val="22"/>
        </w:rPr>
        <w:t>17.2 Pre-Tender Checks</w:t>
      </w:r>
    </w:p>
    <w:p>
      <w:pPr>
        <w:pBdr>
          <w:bottom w:val="single" w:sz="4" w:space="1" w:color="CCCCCC"/>
        </w:pBdr>
        <w:spacing w:before="80" w:after="80"/>
      </w:pPr>
    </w:p>
    <w:p>
      <w:pPr>
        <w:pStyle w:val="Heading3"/>
        <w:keepNext/>
      </w:pPr>
      <w:r>
        <w:rPr>
          <w:rFonts w:ascii="Calibri" w:hAnsi="Calibri"/>
          <w:b w:val="0"/>
          <w:sz w:val="26"/>
        </w:rPr>
        <w:t>Oracle Fusion Talent Management Suite</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pStyle w:val="Heading5"/>
        <w:keepNext/>
      </w:pPr>
      <w:r>
        <w:rPr>
          <w:rFonts w:ascii="Calibri" w:hAnsi="Calibri"/>
          <w:b w:val="0"/>
          <w:sz w:val="22"/>
        </w:rPr>
        <w:t>2.2 Platform Foundation</w:t>
      </w:r>
    </w:p>
    <w:p>
      <w:pPr>
        <w:pStyle w:val="Heading5"/>
        <w:keepNext/>
      </w:pPr>
      <w:r>
        <w:rPr>
          <w:rFonts w:ascii="Calibri" w:hAnsi="Calibri"/>
          <w:b w:val="0"/>
          <w:sz w:val="22"/>
        </w:rPr>
        <w:t>2.3 AI-Assisted Talent Capabilities</w:t>
      </w:r>
    </w:p>
    <w:p>
      <w:pPr>
        <w:pStyle w:val="Heading5"/>
        <w:keepNext/>
      </w:pPr>
      <w:r>
        <w:rPr>
          <w:rFonts w:ascii="Calibri" w:hAnsi="Calibri"/>
          <w:b w:val="0"/>
          <w:sz w:val="22"/>
        </w:rPr>
        <w:t>2.4 HCM Core Dependency</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pStyle w:val="Heading5"/>
        <w:keepNext/>
      </w:pPr>
      <w:r>
        <w:rPr>
          <w:rFonts w:ascii="Calibri" w:hAnsi="Calibri"/>
          <w:b w:val="0"/>
          <w:sz w:val="22"/>
        </w:rPr>
        <w:t>3.2 Person Profiles</w:t>
      </w:r>
    </w:p>
    <w:p>
      <w:pPr>
        <w:pStyle w:val="Heading5"/>
        <w:keepNext/>
      </w:pPr>
      <w:r>
        <w:rPr>
          <w:rFonts w:ascii="Calibri" w:hAnsi="Calibri"/>
          <w:b w:val="0"/>
          <w:sz w:val="22"/>
        </w:rPr>
        <w:t>3.3 Job Profiles</w:t>
      </w:r>
    </w:p>
    <w:p>
      <w:pPr>
        <w:pStyle w:val="Heading5"/>
        <w:keepNext/>
      </w:pPr>
      <w:r>
        <w:rPr>
          <w:rFonts w:ascii="Calibri" w:hAnsi="Calibri"/>
          <w:b w:val="0"/>
          <w:sz w:val="22"/>
        </w:rPr>
        <w:t>3.4 Profile Matching and Talent Search</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pStyle w:val="Heading5"/>
        <w:keepNext/>
      </w:pPr>
      <w:r>
        <w:rPr>
          <w:rFonts w:ascii="Calibri" w:hAnsi="Calibri"/>
          <w:b w:val="0"/>
          <w:sz w:val="22"/>
        </w:rPr>
        <w:t>4.2 Progress Tracking and Check-ins</w:t>
      </w:r>
    </w:p>
    <w:p>
      <w:pPr>
        <w:pStyle w:val="Heading5"/>
        <w:keepNext/>
      </w:pPr>
      <w:r>
        <w:rPr>
          <w:rFonts w:ascii="Calibri" w:hAnsi="Calibri"/>
          <w:b w:val="0"/>
          <w:sz w:val="22"/>
        </w:rPr>
        <w:t>4.3 Goal Sharing and Cross-Team Alignment</w:t>
      </w:r>
    </w:p>
    <w:p>
      <w:pPr>
        <w:pStyle w:val="Heading5"/>
        <w:keepNext/>
      </w:pPr>
      <w:r>
        <w:rPr>
          <w:rFonts w:ascii="Calibri" w:hAnsi="Calibri"/>
          <w:b w:val="0"/>
          <w:sz w:val="22"/>
        </w:rPr>
        <w:t>4.4 Goal and Performance Integration</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pStyle w:val="Heading5"/>
        <w:keepNext/>
      </w:pPr>
      <w:r>
        <w:rPr>
          <w:rFonts w:ascii="Calibri" w:hAnsi="Calibri"/>
          <w:b w:val="0"/>
          <w:sz w:val="22"/>
        </w:rPr>
        <w:t>5.2 Competency Assessment</w:t>
      </w:r>
    </w:p>
    <w:p>
      <w:pPr>
        <w:pStyle w:val="Heading5"/>
        <w:keepNext/>
      </w:pPr>
      <w:r>
        <w:rPr>
          <w:rFonts w:ascii="Calibri" w:hAnsi="Calibri"/>
          <w:b w:val="0"/>
          <w:sz w:val="22"/>
        </w:rPr>
        <w:t>5.3 360-Degree Feedback</w:t>
      </w:r>
    </w:p>
    <w:p>
      <w:pPr>
        <w:pStyle w:val="Heading5"/>
        <w:keepNext/>
      </w:pPr>
      <w:r>
        <w:rPr>
          <w:rFonts w:ascii="Calibri" w:hAnsi="Calibri"/>
          <w:b w:val="0"/>
          <w:sz w:val="22"/>
        </w:rPr>
        <w:t>5.4 Performance Calibration</w:t>
      </w:r>
    </w:p>
    <w:p>
      <w:pPr>
        <w:pStyle w:val="Heading5"/>
        <w:keepNext/>
      </w:pPr>
      <w:r>
        <w:rPr>
          <w:rFonts w:ascii="Calibri" w:hAnsi="Calibri"/>
          <w:b w:val="0"/>
          <w:sz w:val="22"/>
        </w:rPr>
        <w:t>5.5 Performance and Compensation Integration</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pStyle w:val="Heading5"/>
        <w:keepNext/>
      </w:pPr>
      <w:r>
        <w:rPr>
          <w:rFonts w:ascii="Calibri" w:hAnsi="Calibri"/>
          <w:b w:val="0"/>
          <w:sz w:val="22"/>
        </w:rPr>
        <w:t>6.2 Succession Planning</w:t>
      </w:r>
    </w:p>
    <w:p>
      <w:pPr>
        <w:pStyle w:val="Heading5"/>
        <w:keepNext/>
      </w:pPr>
      <w:r>
        <w:rPr>
          <w:rFonts w:ascii="Calibri" w:hAnsi="Calibri"/>
          <w:b w:val="0"/>
          <w:sz w:val="22"/>
        </w:rPr>
        <w:t>6.3 Succession and Talent Review Integration</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pStyle w:val="Heading5"/>
        <w:keepNext/>
      </w:pPr>
      <w:r>
        <w:rPr>
          <w:rFonts w:ascii="Calibri" w:hAnsi="Calibri"/>
          <w:b w:val="0"/>
          <w:sz w:val="22"/>
        </w:rPr>
        <w:t>7.2 Development Plans</w:t>
      </w:r>
    </w:p>
    <w:p>
      <w:pPr>
        <w:pStyle w:val="Heading5"/>
        <w:keepNext/>
      </w:pPr>
      <w:r>
        <w:rPr>
          <w:rFonts w:ascii="Calibri" w:hAnsi="Calibri"/>
          <w:b w:val="0"/>
          <w:sz w:val="22"/>
        </w:rPr>
        <w:t>7.3 Internal Opportunity Marketplace</w:t>
      </w:r>
    </w:p>
    <w:p>
      <w:pPr>
        <w:pStyle w:val="Heading5"/>
        <w:keepNext/>
      </w:pPr>
      <w:r>
        <w:rPr>
          <w:rFonts w:ascii="Calibri" w:hAnsi="Calibri"/>
          <w:b w:val="0"/>
          <w:sz w:val="22"/>
        </w:rPr>
        <w:t>7.4 Mentoring</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pStyle w:val="Heading5"/>
        <w:keepNext/>
      </w:pPr>
      <w:r>
        <w:rPr>
          <w:rFonts w:ascii="Calibri" w:hAnsi="Calibri"/>
          <w:b w:val="0"/>
          <w:sz w:val="22"/>
        </w:rPr>
        <w:t>8.2 Configuration Capability</w:t>
      </w:r>
    </w:p>
    <w:p>
      <w:pPr>
        <w:pStyle w:val="Heading5"/>
        <w:keepNext/>
      </w:pPr>
      <w:r>
        <w:rPr>
          <w:rFonts w:ascii="Calibri" w:hAnsi="Calibri"/>
          <w:b w:val="0"/>
          <w:sz w:val="22"/>
        </w:rPr>
        <w:t>8.3 Delivery Sequencing</w:t>
      </w:r>
    </w:p>
    <w:p>
      <w:pPr>
        <w:pStyle w:val="Heading5"/>
        <w:keepNext/>
      </w:pPr>
      <w:r>
        <w:rPr>
          <w:rFonts w:ascii="Calibri" w:hAnsi="Calibri"/>
          <w:b w:val="0"/>
          <w:sz w:val="22"/>
        </w:rPr>
        <w:t>8.4 Talent Design Workshops</w:t>
      </w:r>
    </w:p>
    <w:p>
      <w:pPr>
        <w:pStyle w:val="Heading5"/>
        <w:keepNext/>
      </w:pPr>
      <w:r>
        <w:rPr>
          <w:rFonts w:ascii="Calibri" w:hAnsi="Calibri"/>
          <w:b w:val="0"/>
          <w:sz w:val="22"/>
        </w:rPr>
        <w:t>8.5 Post-Go-Live and Managed Services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pStyle w:val="Heading5"/>
        <w:keepNext/>
      </w:pPr>
      <w:r>
        <w:rPr>
          <w:rFonts w:ascii="Calibri" w:hAnsi="Calibri"/>
          <w:b w:val="0"/>
          <w:sz w:val="22"/>
        </w:rPr>
        <w:t>9.2 Additional Oracle HCM Implementations</w:t>
      </w:r>
    </w:p>
    <w:p>
      <w:pPr>
        <w:pStyle w:val="Heading5"/>
        <w:keepNext/>
      </w:pPr>
      <w:r>
        <w:rPr>
          <w:rFonts w:ascii="Calibri" w:hAnsi="Calibri"/>
          <w:b w:val="0"/>
          <w:sz w:val="22"/>
        </w:rPr>
        <w:t>9.3 Mr Price Group — Oracle HCM Support</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pStyle w:val="Heading5"/>
        <w:keepNext/>
      </w:pPr>
      <w:r>
        <w:rPr>
          <w:rFonts w:ascii="Calibri" w:hAnsi="Calibri"/>
          <w:b w:val="0"/>
          <w:sz w:val="22"/>
        </w:rPr>
        <w:t>10.2 HCM Core Integration (Mandatory)</w:t>
      </w:r>
    </w:p>
    <w:p>
      <w:pPr>
        <w:pStyle w:val="Heading5"/>
        <w:keepNext/>
      </w:pPr>
      <w:r>
        <w:rPr>
          <w:rFonts w:ascii="Calibri" w:hAnsi="Calibri"/>
          <w:b w:val="0"/>
          <w:sz w:val="22"/>
        </w:rPr>
        <w:t>10.3 Performance to Compensation Integration</w:t>
      </w:r>
    </w:p>
    <w:p>
      <w:pPr>
        <w:pStyle w:val="Heading5"/>
        <w:keepNext/>
      </w:pPr>
      <w:r>
        <w:rPr>
          <w:rFonts w:ascii="Calibri" w:hAnsi="Calibri"/>
          <w:b w:val="0"/>
          <w:sz w:val="22"/>
        </w:rPr>
        <w:t>10.4 Talent to Learning Integration</w:t>
      </w:r>
    </w:p>
    <w:p>
      <w:pPr>
        <w:pStyle w:val="Heading5"/>
        <w:keepNext/>
      </w:pPr>
      <w:r>
        <w:rPr>
          <w:rFonts w:ascii="Calibri" w:hAnsi="Calibri"/>
          <w:b w:val="0"/>
          <w:sz w:val="22"/>
        </w:rPr>
        <w:t>10.5 Reporting and Analytics</w:t>
      </w: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pStyle w:val="Heading5"/>
        <w:keepNext/>
      </w:pPr>
      <w:r>
        <w:rPr>
          <w:rFonts w:ascii="Calibri" w:hAnsi="Calibri"/>
          <w:b w:val="0"/>
          <w:sz w:val="22"/>
        </w:rPr>
        <w:t>11.2 Performance Cycle Timing</w:t>
      </w:r>
    </w:p>
    <w:p>
      <w:pPr>
        <w:pStyle w:val="Heading5"/>
        <w:keepNext/>
      </w:pPr>
      <w:r>
        <w:rPr>
          <w:rFonts w:ascii="Calibri" w:hAnsi="Calibri"/>
          <w:b w:val="0"/>
          <w:sz w:val="22"/>
        </w:rPr>
        <w:t>11.3 Change Management for Talent Adoption</w:t>
      </w:r>
    </w:p>
    <w:p>
      <w:pPr>
        <w:pStyle w:val="Heading5"/>
        <w:keepNext/>
      </w:pPr>
      <w:r>
        <w:rPr>
          <w:rFonts w:ascii="Calibri" w:hAnsi="Calibri"/>
          <w:b w:val="0"/>
          <w:sz w:val="22"/>
        </w:rPr>
        <w:t>11.4 Testing</w:t>
      </w:r>
    </w:p>
    <w:p>
      <w:pPr>
        <w:pBdr>
          <w:bottom w:val="single" w:sz="4" w:space="1" w:color="CCCCCC"/>
        </w:pBdr>
        <w:spacing w:before="80" w:after="80"/>
      </w:pPr>
    </w:p>
    <w:p>
      <w:pPr>
        <w:pStyle w:val="Heading4"/>
        <w:keepNext/>
      </w:pPr>
      <w:r>
        <w:rPr>
          <w:rFonts w:ascii="Calibri" w:hAnsi="Calibri"/>
          <w:b w:val="0"/>
          <w:sz w:val="22"/>
        </w:rPr>
        <w:t>Section 12 — Risk Register</w:t>
      </w:r>
    </w:p>
    <w:p>
      <w:pPr>
        <w:pBdr>
          <w:bottom w:val="single" w:sz="4" w:space="1" w:color="CCCCCC"/>
        </w:pBdr>
        <w:spacing w:before="80" w:after="80"/>
      </w:pPr>
    </w:p>
    <w:p>
      <w:pPr>
        <w:pStyle w:val="Heading4"/>
        <w:keepNext/>
      </w:pPr>
      <w:r>
        <w:rPr>
          <w:rFonts w:ascii="Calibri" w:hAnsi="Calibri"/>
          <w:b w:val="0"/>
          <w:sz w:val="22"/>
        </w:rPr>
        <w:t>Section 13 — Assumptions Register</w:t>
      </w:r>
    </w:p>
    <w:p>
      <w:pPr>
        <w:pBdr>
          <w:bottom w:val="single" w:sz="4" w:space="1" w:color="CCCCCC"/>
        </w:pBdr>
        <w:spacing w:before="80" w:after="80"/>
      </w:pPr>
    </w:p>
    <w:p>
      <w:pPr>
        <w:pStyle w:val="Heading4"/>
        <w:keepNext/>
      </w:pPr>
      <w:r>
        <w:rPr>
          <w:rFonts w:ascii="Calibri" w:hAnsi="Calibri"/>
          <w:b w:val="0"/>
          <w:sz w:val="22"/>
        </w:rPr>
        <w:t>Section A — Source Mapping Table</w:t>
      </w: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p>
      <w:pPr>
        <w:pStyle w:val="Heading5"/>
        <w:keepNext/>
      </w:pPr>
      <w:r>
        <w:rPr>
          <w:rFonts w:ascii="Calibri" w:hAnsi="Calibri"/>
          <w:b w:val="0"/>
          <w:sz w:val="22"/>
        </w:rPr>
        <w:t>B.2 Framing Check</w:t>
      </w:r>
    </w:p>
    <w:p>
      <w:pPr>
        <w:pStyle w:val="Heading5"/>
        <w:keepNext/>
      </w:pPr>
      <w:r>
        <w:rPr>
          <w:rFonts w:ascii="Calibri" w:hAnsi="Calibri"/>
          <w:b w:val="0"/>
          <w:sz w:val="22"/>
        </w:rPr>
        <w:t>B.3 Source Traceability Check</w:t>
      </w:r>
    </w:p>
    <w:p>
      <w:pPr>
        <w:pStyle w:val="Heading5"/>
        <w:keepNext/>
      </w:pPr>
      <w:r>
        <w:rPr>
          <w:rFonts w:ascii="Calibri" w:hAnsi="Calibri"/>
          <w:b w:val="0"/>
          <w:sz w:val="22"/>
        </w:rPr>
        <w:t>B.4 Open Items — ALL CLOSED</w:t>
      </w: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pStyle w:val="Heading5"/>
        <w:keepNext/>
      </w:pPr>
      <w:r>
        <w:rPr>
          <w:rFonts w:ascii="Calibri" w:hAnsi="Calibri"/>
          <w:b w:val="0"/>
          <w:sz w:val="22"/>
        </w:rPr>
        <w:t>Deliverables Produced</w:t>
      </w:r>
    </w:p>
    <w:p>
      <w:pPr>
        <w:pStyle w:val="Heading5"/>
        <w:keepNext/>
      </w:pPr>
      <w:r>
        <w:rPr>
          <w:rFonts w:ascii="Calibri" w:hAnsi="Calibri"/>
          <w:b w:val="0"/>
          <w:sz w:val="22"/>
        </w:rPr>
        <w:t>Source Usage Summary</w:t>
      </w:r>
    </w:p>
    <w:p>
      <w:pPr>
        <w:pStyle w:val="Heading5"/>
        <w:keepNext/>
      </w:pPr>
      <w:r>
        <w:rPr>
          <w:rFonts w:ascii="Calibri" w:hAnsi="Calibri"/>
          <w:b w:val="0"/>
          <w:sz w:val="22"/>
        </w:rPr>
        <w:t>Changes from v1.0 to v1.1</w:t>
      </w:r>
    </w:p>
    <w:p>
      <w:pPr>
        <w:pStyle w:val="Heading5"/>
        <w:keepNext/>
      </w:pPr>
      <w:r>
        <w:rPr>
          <w:rFonts w:ascii="Calibri" w:hAnsi="Calibri"/>
          <w:b w:val="0"/>
          <w:sz w:val="22"/>
        </w:rPr>
        <w:t>Changes from v1.1 to v1.2</w:t>
      </w:r>
    </w:p>
    <w:p>
      <w:pPr>
        <w:pStyle w:val="Heading5"/>
        <w:keepNext/>
      </w:pPr>
      <w:r>
        <w:rPr>
          <w:rFonts w:ascii="Calibri" w:hAnsi="Calibri"/>
          <w:b w:val="0"/>
          <w:sz w:val="22"/>
        </w:rPr>
        <w:t>Recommended Next Action</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p>
      <w:pPr>
        <w:pStyle w:val="Heading5"/>
        <w:keepNext/>
      </w:pPr>
      <w:r>
        <w:rPr>
          <w:rFonts w:ascii="Calibri" w:hAnsi="Calibri"/>
          <w:b w:val="0"/>
          <w:sz w:val="22"/>
        </w:rPr>
        <w:t>17.2 Pre-Tender Checks</w:t>
      </w:r>
    </w:p>
    <w:p>
      <w:pPr>
        <w:pBdr>
          <w:bottom w:val="single" w:sz="4" w:space="1" w:color="CCCCCC"/>
        </w:pBdr>
        <w:spacing w:before="80" w:after="80"/>
      </w:pPr>
    </w:p>
    <w:p>
      <w:pPr>
        <w:pStyle w:val="Heading3"/>
        <w:keepNext/>
      </w:pPr>
      <w:r>
        <w:rPr>
          <w:rFonts w:ascii="Calibri" w:hAnsi="Calibri"/>
          <w:b w:val="0"/>
          <w:sz w:val="26"/>
        </w:rPr>
        <w:t>Oracle Fusion Recruiting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pStyle w:val="Heading5"/>
        <w:keepNext/>
      </w:pPr>
      <w:r>
        <w:rPr>
          <w:rFonts w:ascii="Calibri" w:hAnsi="Calibri"/>
          <w:b w:val="0"/>
          <w:sz w:val="22"/>
        </w:rPr>
        <w:t>3.2 Taleo Recruiting — Legacy Platform Experience</w:t>
      </w:r>
    </w:p>
    <w:p>
      <w:pPr>
        <w:pStyle w:val="Heading5"/>
        <w:keepNext/>
      </w:pPr>
      <w:r>
        <w:rPr>
          <w:rFonts w:ascii="Calibri" w:hAnsi="Calibri"/>
          <w:b w:val="0"/>
          <w:sz w:val="22"/>
        </w:rPr>
        <w:t>3.3 Internal Mobility</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pStyle w:val="Heading5"/>
        <w:keepNext/>
      </w:pPr>
      <w:r>
        <w:rPr>
          <w:rFonts w:ascii="Calibri" w:hAnsi="Calibri"/>
          <w:b w:val="0"/>
          <w:sz w:val="22"/>
        </w:rPr>
        <w:t>4.1 Job Requisition Configuration</w:t>
      </w:r>
    </w:p>
    <w:p>
      <w:pPr>
        <w:pStyle w:val="Heading5"/>
        <w:keepNext/>
      </w:pPr>
      <w:r>
        <w:rPr>
          <w:rFonts w:ascii="Calibri" w:hAnsi="Calibri"/>
          <w:b w:val="0"/>
          <w:sz w:val="22"/>
        </w:rPr>
        <w:t>4.2 Vacancy Management and Hiring Workflows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pStyle w:val="Heading5"/>
        <w:keepNext/>
      </w:pPr>
      <w:r>
        <w:rPr>
          <w:rFonts w:ascii="Calibri" w:hAnsi="Calibri"/>
          <w:b w:val="0"/>
          <w:sz w:val="22"/>
        </w:rPr>
        <w:t>5.1 Branded Career Sites and Candidate Portals</w:t>
      </w:r>
    </w:p>
    <w:p>
      <w:pPr>
        <w:pStyle w:val="Heading5"/>
        <w:keepNext/>
      </w:pPr>
      <w:r>
        <w:rPr>
          <w:rFonts w:ascii="Calibri" w:hAnsi="Calibri"/>
          <w:b w:val="0"/>
          <w:sz w:val="22"/>
        </w:rPr>
        <w:t>5.2 Multi-Channel Job Posting and Candidate Sourcing</w:t>
      </w:r>
    </w:p>
    <w:p>
      <w:pPr>
        <w:pStyle w:val="Heading5"/>
        <w:keepNext/>
      </w:pPr>
      <w:r>
        <w:rPr>
          <w:rFonts w:ascii="Calibri" w:hAnsi="Calibri"/>
          <w:b w:val="0"/>
          <w:sz w:val="22"/>
        </w:rPr>
        <w:t>5.3 Employee Referral Programme</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pStyle w:val="Heading5"/>
        <w:keepNext/>
      </w:pPr>
      <w:r>
        <w:rPr>
          <w:rFonts w:ascii="Calibri" w:hAnsi="Calibri"/>
          <w:b w:val="0"/>
          <w:sz w:val="22"/>
        </w:rPr>
        <w:t>6.2 Interview Management</w:t>
      </w:r>
    </w:p>
    <w:p>
      <w:pPr>
        <w:pBdr>
          <w:bottom w:val="single" w:sz="4" w:space="1" w:color="CCCCCC"/>
        </w:pBdr>
        <w:spacing w:before="80" w:after="80"/>
      </w:pPr>
    </w:p>
    <w:p>
      <w:pPr>
        <w:pStyle w:val="Heading4"/>
        <w:keepNext/>
      </w:pPr>
      <w:r>
        <w:rPr>
          <w:rFonts w:ascii="Calibri" w:hAnsi="Calibri"/>
          <w:b w:val="0"/>
          <w:sz w:val="22"/>
        </w:rPr>
        <w:t>Section 7: Offer Management</w:t>
      </w:r>
    </w:p>
    <w:p>
      <w:pPr>
        <w:pStyle w:val="Heading5"/>
        <w:keepNext/>
      </w:pPr>
      <w:r>
        <w:rPr>
          <w:rFonts w:ascii="Calibri" w:hAnsi="Calibri"/>
          <w:b w:val="0"/>
          <w:sz w:val="22"/>
        </w:rPr>
        <w:t>7.1 Offer Letter Generation and Approval</w:t>
      </w:r>
    </w:p>
    <w:p>
      <w:pPr>
        <w:pStyle w:val="Heading5"/>
        <w:keepNext/>
      </w:pPr>
      <w:r>
        <w:rPr>
          <w:rFonts w:ascii="Calibri" w:hAnsi="Calibri"/>
          <w:b w:val="0"/>
          <w:sz w:val="22"/>
        </w:rPr>
        <w:t>7.2 Transition from Offer to Onboarding</w:t>
      </w:r>
    </w:p>
    <w:p>
      <w:pPr>
        <w:pBdr>
          <w:bottom w:val="single" w:sz="4" w:space="1" w:color="CCCCCC"/>
        </w:pBdr>
        <w:spacing w:before="80" w:after="80"/>
      </w:pPr>
    </w:p>
    <w:p>
      <w:pPr>
        <w:pStyle w:val="Heading4"/>
        <w:keepNext/>
      </w:pPr>
      <w:r>
        <w:rPr>
          <w:rFonts w:ascii="Calibri" w:hAnsi="Calibri"/>
          <w:b w:val="0"/>
          <w:sz w:val="22"/>
        </w:rPr>
        <w:t>Section 8: Onboarding and Preboarding</w:t>
      </w:r>
    </w:p>
    <w:p>
      <w:pPr>
        <w:pStyle w:val="Heading5"/>
        <w:keepNext/>
      </w:pPr>
      <w:r>
        <w:rPr>
          <w:rFonts w:ascii="Calibri" w:hAnsi="Calibri"/>
          <w:b w:val="0"/>
          <w:sz w:val="22"/>
        </w:rPr>
        <w:t>8.1 Preboarding — From Offer Acceptance to Start Date</w:t>
      </w:r>
    </w:p>
    <w:p>
      <w:pPr>
        <w:pStyle w:val="Heading5"/>
        <w:keepNext/>
      </w:pPr>
      <w:r>
        <w:rPr>
          <w:rFonts w:ascii="Calibri" w:hAnsi="Calibri"/>
          <w:b w:val="0"/>
          <w:sz w:val="22"/>
        </w:rPr>
        <w:t>8.2 Structured Onboarding Workflows</w:t>
      </w:r>
    </w:p>
    <w:p>
      <w:pPr>
        <w:pStyle w:val="Heading5"/>
        <w:keepNext/>
      </w:pPr>
      <w:r>
        <w:rPr>
          <w:rFonts w:ascii="Calibri" w:hAnsi="Calibri"/>
          <w:b w:val="0"/>
          <w:sz w:val="22"/>
        </w:rPr>
        <w:t>8.3 Onboarding Reporting</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pStyle w:val="Heading5"/>
        <w:keepNext/>
      </w:pPr>
      <w:r>
        <w:rPr>
          <w:rFonts w:ascii="Calibri" w:hAnsi="Calibri"/>
          <w:b w:val="0"/>
          <w:sz w:val="22"/>
        </w:rPr>
        <w:t>9.2 Recruiting Cloud Delivery Methodology</w:t>
      </w:r>
    </w:p>
    <w:p>
      <w:pPr>
        <w:pStyle w:val="Heading5"/>
        <w:keepNext/>
      </w:pPr>
      <w:r>
        <w:rPr>
          <w:rFonts w:ascii="Calibri" w:hAnsi="Calibri"/>
          <w:b w:val="0"/>
          <w:sz w:val="22"/>
        </w:rPr>
        <w:t>9.3 Resource and Delivery Model</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p>
      <w:pPr>
        <w:pStyle w:val="Heading5"/>
        <w:keepNext/>
      </w:pPr>
      <w:r>
        <w:rPr>
          <w:rFonts w:ascii="Calibri" w:hAnsi="Calibri"/>
          <w:b w:val="0"/>
          <w:sz w:val="22"/>
        </w:rPr>
        <w:t>10.2 Mining Sector — Active Oracle Recruiting Cloud Implementation (Pipeline Evidence)</w:t>
      </w:r>
    </w:p>
    <w:p>
      <w:pPr>
        <w:pStyle w:val="Heading5"/>
        <w:keepNext/>
      </w:pPr>
      <w:r>
        <w:rPr>
          <w:rFonts w:ascii="Calibri" w:hAnsi="Calibri"/>
          <w:b w:val="0"/>
          <w:sz w:val="22"/>
        </w:rPr>
        <w:t>10.3 Oracle Taleo Recruiting — Historical Platform Experience</w:t>
      </w:r>
    </w:p>
    <w:p>
      <w:pPr>
        <w:pBdr>
          <w:bottom w:val="single" w:sz="4" w:space="1" w:color="CCCCCC"/>
        </w:pBdr>
        <w:spacing w:before="80" w:after="80"/>
      </w:pPr>
    </w:p>
    <w:p>
      <w:pPr>
        <w:pStyle w:val="Heading4"/>
        <w:keepNext/>
      </w:pPr>
      <w:r>
        <w:rPr>
          <w:rFonts w:ascii="Calibri" w:hAnsi="Calibri"/>
          <w:b w:val="0"/>
          <w:sz w:val="22"/>
        </w:rPr>
        <w:t>Section 11: Integration Architecture</w:t>
      </w:r>
    </w:p>
    <w:p>
      <w:pPr>
        <w:pStyle w:val="Heading5"/>
        <w:keepNext/>
      </w:pPr>
      <w:r>
        <w:rPr>
          <w:rFonts w:ascii="Calibri" w:hAnsi="Calibri"/>
          <w:b w:val="0"/>
          <w:sz w:val="22"/>
        </w:rPr>
        <w:t>11.1 Standard Recruiting Cloud Integration Points</w:t>
      </w:r>
    </w:p>
    <w:p>
      <w:pPr>
        <w:pStyle w:val="Heading5"/>
        <w:keepNext/>
      </w:pPr>
      <w:r>
        <w:rPr>
          <w:rFonts w:ascii="Calibri" w:hAnsi="Calibri"/>
          <w:b w:val="0"/>
          <w:sz w:val="22"/>
        </w:rPr>
        <w:t>11.2 REST API Availability</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pStyle w:val="Heading5"/>
        <w:keepNext/>
      </w:pPr>
      <w:r>
        <w:rPr>
          <w:rFonts w:ascii="Calibri" w:hAnsi="Calibri"/>
          <w:b w:val="0"/>
          <w:sz w:val="22"/>
        </w:rPr>
        <w:t>12.2 OUM Delivery Phases — Recruiting Cloud</w:t>
      </w:r>
    </w:p>
    <w:p>
      <w:pPr>
        <w:pStyle w:val="Heading5"/>
        <w:keepNext/>
      </w:pPr>
      <w:r>
        <w:rPr>
          <w:rFonts w:ascii="Calibri" w:hAnsi="Calibri"/>
          <w:b w:val="0"/>
          <w:sz w:val="22"/>
        </w:rPr>
        <w:t>12.3 Standard Implementation Assumptions</w:t>
      </w:r>
    </w:p>
    <w:p>
      <w:pPr>
        <w:pBdr>
          <w:bottom w:val="single" w:sz="4" w:space="1" w:color="CCCCCC"/>
        </w:pBdr>
        <w:spacing w:before="80" w:after="80"/>
      </w:pPr>
    </w:p>
    <w:p>
      <w:pPr>
        <w:pStyle w:val="Heading4"/>
        <w:keepNext/>
      </w:pPr>
      <w:r>
        <w:rPr>
          <w:rFonts w:ascii="Calibri" w:hAnsi="Calibri"/>
          <w:b w:val="0"/>
          <w:sz w:val="22"/>
        </w:rPr>
        <w:t>Section 13: Risk Register</w:t>
      </w:r>
    </w:p>
    <w:p>
      <w:pPr>
        <w:pBdr>
          <w:bottom w:val="single" w:sz="4" w:space="1" w:color="CCCCCC"/>
        </w:pBdr>
        <w:spacing w:before="80" w:after="80"/>
      </w:pPr>
    </w:p>
    <w:p>
      <w:pPr>
        <w:pStyle w:val="Heading4"/>
        <w:keepNext/>
      </w:pPr>
      <w:r>
        <w:rPr>
          <w:rFonts w:ascii="Calibri" w:hAnsi="Calibri"/>
          <w:b w:val="0"/>
          <w:sz w:val="22"/>
        </w:rPr>
        <w:t>Section 14: Assumptions Register</w:t>
      </w:r>
    </w:p>
    <w:p>
      <w:pPr>
        <w:pBdr>
          <w:bottom w:val="single" w:sz="4" w:space="1" w:color="CCCCCC"/>
        </w:pBdr>
        <w:spacing w:before="80" w:after="80"/>
      </w:pPr>
    </w:p>
    <w:p>
      <w:pPr>
        <w:pStyle w:val="Heading4"/>
        <w:keepNext/>
      </w:pPr>
      <w:r>
        <w:rPr>
          <w:rFonts w:ascii="Calibri" w:hAnsi="Calibri"/>
          <w:b w:val="0"/>
          <w:sz w:val="22"/>
        </w:rPr>
        <w:t>Section 17: Approval Record</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pStyle w:val="Heading3"/>
        <w:keepNext/>
      </w:pPr>
      <w:r>
        <w:rPr>
          <w:rFonts w:ascii="Calibri" w:hAnsi="Calibri"/>
          <w:b w:val="0"/>
          <w:sz w:val="26"/>
        </w:rPr>
        <w:t>Oracle Fusion Learning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pStyle w:val="Heading5"/>
        <w:keepNext/>
      </w:pPr>
      <w:r>
        <w:rPr>
          <w:rFonts w:ascii="Calibri" w:hAnsi="Calibri"/>
          <w:b w:val="0"/>
          <w:sz w:val="22"/>
        </w:rPr>
        <w:t>3.2 Course Catalog and Content Management</w:t>
      </w: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pStyle w:val="Heading5"/>
        <w:keepNext/>
      </w:pPr>
      <w:r>
        <w:rPr>
          <w:rFonts w:ascii="Calibri" w:hAnsi="Calibri"/>
          <w:b w:val="0"/>
          <w:sz w:val="22"/>
        </w:rPr>
        <w:t>4.2 Compliance Training</w:t>
      </w: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pStyle w:val="Heading5"/>
        <w:keepNext/>
      </w:pPr>
      <w:r>
        <w:rPr>
          <w:rFonts w:ascii="Calibri" w:hAnsi="Calibri"/>
          <w:b w:val="0"/>
          <w:sz w:val="22"/>
        </w:rPr>
        <w:t>5.2 Certification Management</w:t>
      </w: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pStyle w:val="Heading5"/>
        <w:keepNext/>
      </w:pPr>
      <w:r>
        <w:rPr>
          <w:rFonts w:ascii="Calibri" w:hAnsi="Calibri"/>
          <w:b w:val="0"/>
          <w:sz w:val="22"/>
        </w:rPr>
        <w:t>6.2 Mobile Learning and Offline Access</w:t>
      </w: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pStyle w:val="Heading5"/>
        <w:keepNext/>
      </w:pPr>
      <w:r>
        <w:rPr>
          <w:rFonts w:ascii="Calibri" w:hAnsi="Calibri"/>
          <w:b w:val="0"/>
          <w:sz w:val="22"/>
        </w:rPr>
        <w:t>8.2 AI-Enabled Skills Development</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pStyle w:val="Heading5"/>
        <w:keepNext/>
      </w:pPr>
      <w:r>
        <w:rPr>
          <w:rFonts w:ascii="Calibri" w:hAnsi="Calibri"/>
          <w:b w:val="0"/>
          <w:sz w:val="22"/>
        </w:rPr>
        <w:t>9.1 Oracle Fusion Learning Cloud — Built-In Tracking</w:t>
      </w:r>
    </w:p>
    <w:p>
      <w:pPr>
        <w:pStyle w:val="Heading5"/>
        <w:keepNext/>
      </w:pPr>
      <w:r>
        <w:rPr>
          <w:rFonts w:ascii="Calibri" w:hAnsi="Calibri"/>
          <w:b w:val="0"/>
          <w:sz w:val="22"/>
        </w:rPr>
        <w:t>9.2 Oracle HCM Analytics — Advanced Learning Analytics</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pStyle w:val="Heading5"/>
        <w:keepNext/>
      </w:pPr>
      <w:r>
        <w:rPr>
          <w:rFonts w:ascii="Calibri" w:hAnsi="Calibri"/>
          <w:b w:val="0"/>
          <w:sz w:val="22"/>
        </w:rPr>
        <w:t>10.2 Learning Cloud Delivery Approach</w:t>
      </w:r>
    </w:p>
    <w:p>
      <w:pPr>
        <w:pStyle w:val="Heading5"/>
        <w:keepNext/>
      </w:pPr>
      <w:r>
        <w:rPr>
          <w:rFonts w:ascii="Calibri" w:hAnsi="Calibri"/>
          <w:b w:val="0"/>
          <w:sz w:val="22"/>
        </w:rPr>
        <w:t>10.3 Resource and Delivery Model</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p>
      <w:pPr>
        <w:pStyle w:val="Heading5"/>
        <w:keepNext/>
      </w:pPr>
      <w:r>
        <w:rPr>
          <w:rFonts w:ascii="Calibri" w:hAnsi="Calibri"/>
          <w:b w:val="0"/>
          <w:sz w:val="22"/>
        </w:rPr>
        <w:t>11.2 Additional Oracle Learning Cloud Implementation Evidence (Internal)</w:t>
      </w:r>
    </w:p>
    <w:p>
      <w:pPr>
        <w:pBdr>
          <w:bottom w:val="single" w:sz="4" w:space="1" w:color="CCCCCC"/>
        </w:pBdr>
        <w:spacing w:before="80" w:after="80"/>
      </w:pPr>
    </w:p>
    <w:p>
      <w:pPr>
        <w:pStyle w:val="Heading4"/>
        <w:keepNext/>
      </w:pPr>
      <w:r>
        <w:rPr>
          <w:rFonts w:ascii="Calibri" w:hAnsi="Calibri"/>
          <w:b w:val="0"/>
          <w:sz w:val="22"/>
        </w:rPr>
        <w:t>Section 12: Integration Architecture</w:t>
      </w:r>
    </w:p>
    <w:p>
      <w:pPr>
        <w:pStyle w:val="Heading5"/>
        <w:keepNext/>
      </w:pPr>
      <w:r>
        <w:rPr>
          <w:rFonts w:ascii="Calibri" w:hAnsi="Calibri"/>
          <w:b w:val="0"/>
          <w:sz w:val="22"/>
        </w:rPr>
        <w:t>12.1 Standard Learning Cloud Integration Points</w:t>
      </w:r>
    </w:p>
    <w:p>
      <w:pPr>
        <w:pStyle w:val="Heading5"/>
        <w:keepNext/>
      </w:pPr>
      <w:r>
        <w:rPr>
          <w:rFonts w:ascii="Calibri" w:hAnsi="Calibri"/>
          <w:b w:val="0"/>
          <w:sz w:val="22"/>
        </w:rPr>
        <w:t>12.2 REST API and Data Loader Support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pStyle w:val="Heading5"/>
        <w:keepNext/>
      </w:pPr>
      <w:r>
        <w:rPr>
          <w:rFonts w:ascii="Calibri" w:hAnsi="Calibri"/>
          <w:b w:val="0"/>
          <w:sz w:val="22"/>
        </w:rPr>
        <w:t>13.2 OUM Delivery Phases — Learning Cloud</w:t>
      </w:r>
    </w:p>
    <w:p>
      <w:pPr>
        <w:pBdr>
          <w:bottom w:val="single" w:sz="4" w:space="1" w:color="CCCCCC"/>
        </w:pBdr>
        <w:spacing w:before="80" w:after="80"/>
      </w:pPr>
    </w:p>
    <w:p>
      <w:pPr>
        <w:pStyle w:val="Heading4"/>
        <w:keepNext/>
      </w:pPr>
      <w:r>
        <w:rPr>
          <w:rFonts w:ascii="Calibri" w:hAnsi="Calibri"/>
          <w:b w:val="0"/>
          <w:sz w:val="22"/>
        </w:rPr>
        <w:t>Section 14: Risk Register</w:t>
      </w:r>
    </w:p>
    <w:p>
      <w:pPr>
        <w:pBdr>
          <w:bottom w:val="single" w:sz="4" w:space="1" w:color="CCCCCC"/>
        </w:pBdr>
        <w:spacing w:before="80" w:after="80"/>
      </w:pPr>
    </w:p>
    <w:p>
      <w:pPr>
        <w:pStyle w:val="Heading4"/>
        <w:keepNext/>
      </w:pPr>
      <w:r>
        <w:rPr>
          <w:rFonts w:ascii="Calibri" w:hAnsi="Calibri"/>
          <w:b w:val="0"/>
          <w:sz w:val="22"/>
        </w:rPr>
        <w:t>Section 15: Assumptions Register</w:t>
      </w:r>
    </w:p>
    <w:p>
      <w:pPr>
        <w:pBdr>
          <w:bottom w:val="single" w:sz="4" w:space="1" w:color="CCCCCC"/>
        </w:pBdr>
        <w:spacing w:before="80" w:after="80"/>
      </w:pPr>
    </w:p>
    <w:p>
      <w:pPr>
        <w:pStyle w:val="Heading4"/>
        <w:keepNext/>
      </w:pPr>
      <w:r>
        <w:rPr>
          <w:rFonts w:ascii="Calibri" w:hAnsi="Calibri"/>
          <w:b w:val="0"/>
          <w:sz w:val="22"/>
        </w:rPr>
        <w:t>Section 17: Approval Record</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pStyle w:val="Heading3"/>
        <w:keepNext/>
      </w:pPr>
      <w:r>
        <w:rPr>
          <w:rFonts w:ascii="Calibri" w:hAnsi="Calibri"/>
          <w:b w:val="0"/>
          <w:sz w:val="26"/>
        </w:rPr>
        <w:t>Oracle HCM Analytics &amp; Workforce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pStyle w:val="Heading5"/>
        <w:keepNext/>
      </w:pPr>
      <w:r>
        <w:rPr>
          <w:rFonts w:ascii="Calibri" w:hAnsi="Calibri"/>
          <w:b w:val="0"/>
          <w:sz w:val="22"/>
        </w:rPr>
        <w:t>2.2 Critical Licensing Boundary</w:t>
      </w:r>
    </w:p>
    <w:p>
      <w:pPr>
        <w:pStyle w:val="Heading5"/>
        <w:keepNext/>
      </w:pPr>
      <w:r>
        <w:rPr>
          <w:rFonts w:ascii="Calibri" w:hAnsi="Calibri"/>
          <w:b w:val="0"/>
          <w:sz w:val="22"/>
        </w:rPr>
        <w:t>2.3 Fusion Analytics Warehouse (FAW)</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p>
      <w:pPr>
        <w:pStyle w:val="Heading5"/>
        <w:keepNext/>
      </w:pPr>
      <w:r>
        <w:rPr>
          <w:rFonts w:ascii="Calibri" w:hAnsi="Calibri"/>
          <w:b w:val="0"/>
          <w:sz w:val="22"/>
        </w:rPr>
        <w:t>3.3 OTBI in APPSolve Implementations</w:t>
      </w:r>
    </w:p>
    <w:p>
      <w:pPr>
        <w:pStyle w:val="Heading5"/>
        <w:keepNext/>
      </w:pPr>
      <w:r>
        <w:rPr>
          <w:rFonts w:ascii="Calibri" w:hAnsi="Calibri"/>
          <w:b w:val="0"/>
          <w:sz w:val="22"/>
        </w:rPr>
        <w:t>3.4 Module-Level OTBI Reporting Coverage</w:t>
      </w: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p>
      <w:pPr>
        <w:pStyle w:val="Heading5"/>
        <w:keepNext/>
      </w:pPr>
      <w:r>
        <w:rPr>
          <w:rFonts w:ascii="Calibri" w:hAnsi="Calibri"/>
          <w:b w:val="0"/>
          <w:sz w:val="22"/>
        </w:rPr>
        <w:t>4.3 BI Publisher in APPSolve Implementations</w:t>
      </w: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pStyle w:val="Heading5"/>
        <w:keepNext/>
      </w:pPr>
      <w:r>
        <w:rPr>
          <w:rFonts w:ascii="Calibri" w:hAnsi="Calibri"/>
          <w:b w:val="0"/>
          <w:sz w:val="22"/>
        </w:rPr>
        <w:t>5.2 Oracle HCM Analytics Value Proposition</w:t>
      </w: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pStyle w:val="Heading5"/>
        <w:keepNext/>
      </w:pPr>
      <w:r>
        <w:rPr>
          <w:rFonts w:ascii="Calibri" w:hAnsi="Calibri"/>
          <w:b w:val="0"/>
          <w:sz w:val="22"/>
        </w:rPr>
        <w:t>6.2 Self-Service Data Exploration</w:t>
      </w: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pStyle w:val="Heading5"/>
        <w:keepNext/>
      </w:pPr>
      <w:r>
        <w:rPr>
          <w:rFonts w:ascii="Calibri" w:hAnsi="Calibri"/>
          <w:b w:val="0"/>
          <w:sz w:val="22"/>
        </w:rPr>
        <w:t>7.1 Machine Learning and Predictive Analytics</w:t>
      </w:r>
    </w:p>
    <w:p>
      <w:pPr>
        <w:pStyle w:val="Heading5"/>
        <w:keepNext/>
      </w:pPr>
      <w:r>
        <w:rPr>
          <w:rFonts w:ascii="Calibri" w:hAnsi="Calibri"/>
          <w:b w:val="0"/>
          <w:sz w:val="22"/>
        </w:rPr>
        <w:t>7.2 Workforce Intelligence — Strategic Insights</w:t>
      </w:r>
    </w:p>
    <w:p>
      <w:pPr>
        <w:pStyle w:val="Heading5"/>
        <w:keepNext/>
      </w:pPr>
      <w:r>
        <w:rPr>
          <w:rFonts w:ascii="Calibri" w:hAnsi="Calibri"/>
          <w:b w:val="0"/>
          <w:sz w:val="22"/>
        </w:rPr>
        <w:t>7.3 Approved Positioning for Predictive Analytics</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pStyle w:val="Heading5"/>
        <w:keepNext/>
      </w:pPr>
      <w:r>
        <w:rPr>
          <w:rFonts w:ascii="Calibri" w:hAnsi="Calibri"/>
          <w:b w:val="0"/>
          <w:sz w:val="22"/>
        </w:rPr>
        <w:t>11.2 Delivery Approach — OTBI and BI Publisher</w:t>
      </w:r>
    </w:p>
    <w:p>
      <w:pPr>
        <w:pStyle w:val="Heading5"/>
        <w:keepNext/>
      </w:pPr>
      <w:r>
        <w:rPr>
          <w:rFonts w:ascii="Calibri" w:hAnsi="Calibri"/>
          <w:b w:val="0"/>
          <w:sz w:val="22"/>
        </w:rPr>
        <w:t>11.3 Delivery Approach — Oracle HCM Analytics (OAX)</w:t>
      </w:r>
    </w:p>
    <w:p>
      <w:pPr>
        <w:pStyle w:val="Heading5"/>
        <w:keepNext/>
      </w:pPr>
      <w:r>
        <w:rPr>
          <w:rFonts w:ascii="Calibri" w:hAnsi="Calibri"/>
          <w:b w:val="0"/>
          <w:sz w:val="22"/>
        </w:rPr>
        <w:t>11.4 Resource and Delivery Model</w:t>
      </w: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p>
      <w:pPr>
        <w:pStyle w:val="Heading5"/>
        <w:keepNext/>
      </w:pPr>
      <w:r>
        <w:rPr>
          <w:rFonts w:ascii="Calibri" w:hAnsi="Calibri"/>
          <w:b w:val="0"/>
          <w:sz w:val="22"/>
        </w:rPr>
        <w:t>12.2 OTBI and BI Publisher Developer Capability (RedPath Mining — active pipeline)</w:t>
      </w:r>
    </w:p>
    <w:p>
      <w:pPr>
        <w:pStyle w:val="Heading5"/>
        <w:keepNext/>
      </w:pPr>
      <w:r>
        <w:rPr>
          <w:rFonts w:ascii="Calibri" w:hAnsi="Calibri"/>
          <w:b w:val="0"/>
          <w:sz w:val="22"/>
        </w:rPr>
        <w:t>12.3 Oracle HCM Analytics (OAX) — Reference Position</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pStyle w:val="Heading5"/>
        <w:keepNext/>
      </w:pPr>
      <w:r>
        <w:rPr>
          <w:rFonts w:ascii="Calibri" w:hAnsi="Calibri"/>
          <w:b w:val="0"/>
          <w:sz w:val="22"/>
        </w:rPr>
        <w:t>13.2 OUM Alignment</w:t>
      </w:r>
    </w:p>
    <w:p>
      <w:pPr>
        <w:pBdr>
          <w:bottom w:val="single" w:sz="4" w:space="1" w:color="CCCCCC"/>
        </w:pBdr>
        <w:spacing w:before="80" w:after="80"/>
      </w:pPr>
    </w:p>
    <w:p>
      <w:pPr>
        <w:pStyle w:val="Heading4"/>
        <w:keepNext/>
      </w:pPr>
      <w:r>
        <w:rPr>
          <w:rFonts w:ascii="Calibri" w:hAnsi="Calibri"/>
          <w:b w:val="0"/>
          <w:sz w:val="22"/>
        </w:rPr>
        <w:t>Section 14: Risk Register</w:t>
      </w:r>
    </w:p>
    <w:p>
      <w:pPr>
        <w:pBdr>
          <w:bottom w:val="single" w:sz="4" w:space="1" w:color="CCCCCC"/>
        </w:pBdr>
        <w:spacing w:before="80" w:after="80"/>
      </w:pPr>
    </w:p>
    <w:p>
      <w:pPr>
        <w:pStyle w:val="Heading4"/>
        <w:keepNext/>
      </w:pPr>
      <w:r>
        <w:rPr>
          <w:rFonts w:ascii="Calibri" w:hAnsi="Calibri"/>
          <w:b w:val="0"/>
          <w:sz w:val="22"/>
        </w:rPr>
        <w:t>Section 15: Assumptions Register</w:t>
      </w:r>
    </w:p>
    <w:p>
      <w:pPr>
        <w:pBdr>
          <w:bottom w:val="single" w:sz="4" w:space="1" w:color="CCCCCC"/>
        </w:pBdr>
        <w:spacing w:before="80" w:after="80"/>
      </w:pPr>
    </w:p>
    <w:p>
      <w:pPr>
        <w:pStyle w:val="Heading4"/>
        <w:keepNext/>
      </w:pPr>
      <w:r>
        <w:rPr>
          <w:rFonts w:ascii="Calibri" w:hAnsi="Calibri"/>
          <w:b w:val="0"/>
          <w:sz w:val="22"/>
        </w:rPr>
        <w:t>Section 17: Approval Record</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pStyle w:val="Heading3"/>
        <w:keepNext/>
      </w:pPr>
      <w:r>
        <w:rPr>
          <w:rFonts w:ascii="Calibri" w:hAnsi="Calibri"/>
          <w:b w:val="0"/>
          <w:sz w:val="26"/>
        </w:rPr>
        <w:t>Oracle Workforce Management</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pStyle w:val="Heading5"/>
        <w:keepNext/>
      </w:pPr>
      <w:r>
        <w:rPr>
          <w:rFonts w:ascii="Calibri" w:hAnsi="Calibri"/>
          <w:b w:val="0"/>
          <w:sz w:val="22"/>
        </w:rPr>
        <w:t>2.2 Absence Management within Workforce Management</w:t>
      </w:r>
    </w:p>
    <w:p>
      <w:pPr>
        <w:pStyle w:val="Heading5"/>
        <w:keepNext/>
      </w:pPr>
      <w:r>
        <w:rPr>
          <w:rFonts w:ascii="Calibri" w:hAnsi="Calibri"/>
          <w:b w:val="0"/>
          <w:sz w:val="22"/>
        </w:rPr>
        <w:t>2.3 Integration Architecture</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p>
      <w:pPr>
        <w:pStyle w:val="Heading5"/>
        <w:keepNext/>
      </w:pPr>
      <w:r>
        <w:rPr>
          <w:rFonts w:ascii="Calibri" w:hAnsi="Calibri"/>
          <w:b w:val="0"/>
          <w:sz w:val="22"/>
        </w:rPr>
        <w:t>3.3 South African Legislative Absence Requirements</w:t>
      </w:r>
    </w:p>
    <w:p>
      <w:pPr>
        <w:pStyle w:val="Heading5"/>
        <w:keepNext/>
      </w:pPr>
      <w:r>
        <w:rPr>
          <w:rFonts w:ascii="Calibri" w:hAnsi="Calibri"/>
          <w:b w:val="0"/>
          <w:sz w:val="22"/>
        </w:rPr>
        <w:t>3.4 Employee and Manager Self-Service</w:t>
      </w:r>
    </w:p>
    <w:p>
      <w:pPr>
        <w:pStyle w:val="Heading5"/>
        <w:keepNext/>
      </w:pPr>
      <w:r>
        <w:rPr>
          <w:rFonts w:ascii="Calibri" w:hAnsi="Calibri"/>
          <w:b w:val="0"/>
          <w:sz w:val="22"/>
        </w:rPr>
        <w:t>3.5 APPSolve Absence Management Delivery</w:t>
      </w: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pStyle w:val="Heading5"/>
        <w:keepNext/>
      </w:pPr>
      <w:r>
        <w:rPr>
          <w:rFonts w:ascii="Calibri" w:hAnsi="Calibri"/>
          <w:b w:val="0"/>
          <w:sz w:val="22"/>
        </w:rPr>
        <w:t>4.2 Oracle Time and Labor Capabilities</w:t>
      </w:r>
    </w:p>
    <w:p>
      <w:pPr>
        <w:pStyle w:val="Heading5"/>
        <w:keepNext/>
      </w:pPr>
      <w:r>
        <w:rPr>
          <w:rFonts w:ascii="Calibri" w:hAnsi="Calibri"/>
          <w:b w:val="0"/>
          <w:sz w:val="22"/>
        </w:rPr>
        <w:t>4.3 Time and Labor Rules Engine</w:t>
      </w:r>
    </w:p>
    <w:p>
      <w:pPr>
        <w:pStyle w:val="Heading5"/>
        <w:keepNext/>
      </w:pPr>
      <w:r>
        <w:rPr>
          <w:rFonts w:ascii="Calibri" w:hAnsi="Calibri"/>
          <w:b w:val="0"/>
          <w:sz w:val="22"/>
        </w:rPr>
        <w:t>4.4 Time and Labor in APPSolve Implementations</w:t>
      </w: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pStyle w:val="Heading5"/>
        <w:keepNext/>
      </w:pPr>
      <w:r>
        <w:rPr>
          <w:rFonts w:ascii="Calibri" w:hAnsi="Calibri"/>
          <w:b w:val="0"/>
          <w:sz w:val="22"/>
        </w:rPr>
        <w:t>5.2 Oracle Workforce Scheduling Capabilities</w:t>
      </w:r>
    </w:p>
    <w:p>
      <w:pPr>
        <w:pStyle w:val="Heading5"/>
        <w:keepNext/>
      </w:pPr>
      <w:r>
        <w:rPr>
          <w:rFonts w:ascii="Calibri" w:hAnsi="Calibri"/>
          <w:b w:val="0"/>
          <w:sz w:val="22"/>
        </w:rPr>
        <w:t>5.3 Oracle Workforce Scheduling — APPSolve Positioning</w:t>
      </w:r>
    </w:p>
    <w:p>
      <w:pPr>
        <w:pStyle w:val="Heading3"/>
        <w:keepNext/>
      </w:pPr>
      <w:r>
        <w:rPr>
          <w:rFonts w:ascii="Calibri" w:hAnsi="Calibri"/>
          <w:b w:val="0"/>
          <w:sz w:val="26"/>
        </w:rPr>
        <w:t>Oracle AI-Based Skills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pStyle w:val="Heading5"/>
        <w:keepNext/>
      </w:pPr>
      <w:r>
        <w:rPr>
          <w:rFonts w:ascii="Calibri" w:hAnsi="Calibri"/>
          <w:b w:val="0"/>
          <w:sz w:val="22"/>
        </w:rPr>
        <w:t>2.2 Relationship to Oracle Talent Management Suite (W3S1-002)</w:t>
      </w:r>
    </w:p>
    <w:p>
      <w:pPr>
        <w:pBdr>
          <w:bottom w:val="single" w:sz="4" w:space="1" w:color="CCCCCC"/>
        </w:pBdr>
        <w:spacing w:before="80" w:after="80"/>
      </w:pPr>
    </w:p>
    <w:p>
      <w:pPr>
        <w:pStyle w:val="Heading4"/>
        <w:keepNext/>
      </w:pPr>
      <w:r>
        <w:rPr>
          <w:rFonts w:ascii="Calibri" w:hAnsi="Calibri"/>
          <w:b w:val="0"/>
          <w:sz w:val="22"/>
        </w:rPr>
        <w:t>Section 3: Source Mapping</w:t>
      </w:r>
    </w:p>
    <w:p>
      <w:pPr>
        <w:pBdr>
          <w:bottom w:val="single" w:sz="4" w:space="1" w:color="CCCCCC"/>
        </w:pBdr>
        <w:spacing w:before="80" w:after="80"/>
      </w:pPr>
    </w:p>
    <w:p>
      <w:pPr>
        <w:pStyle w:val="Heading4"/>
        <w:keepNext/>
      </w:pPr>
      <w:r>
        <w:rPr>
          <w:rFonts w:ascii="Calibri" w:hAnsi="Calibri"/>
          <w:b w:val="0"/>
          <w:sz w:val="22"/>
        </w:rPr>
        <w:t>Section 4: Evidence Classification</w:t>
      </w: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pBdr>
          <w:bottom w:val="single" w:sz="4" w:space="1" w:color="CCCCCC"/>
        </w:pBdr>
        <w:spacing w:before="80" w:after="80"/>
      </w:pPr>
    </w:p>
    <w:p>
      <w:pPr>
        <w:pStyle w:val="Heading4"/>
        <w:keepNext/>
      </w:pPr>
      <w:r>
        <w:rPr>
          <w:rFonts w:ascii="Calibri" w:hAnsi="Calibri"/>
          <w:b w:val="0"/>
          <w:sz w:val="22"/>
        </w:rPr>
        <w:t>Section 7: Named Reference Controls</w:t>
      </w:r>
    </w:p>
    <w:p>
      <w:pPr>
        <w:pBdr>
          <w:bottom w:val="single" w:sz="4" w:space="1" w:color="CCCCCC"/>
        </w:pBdr>
        <w:spacing w:before="80" w:after="80"/>
      </w:pPr>
    </w:p>
    <w:p>
      <w:pPr>
        <w:pStyle w:val="Heading4"/>
        <w:keepNext/>
      </w:pPr>
      <w:r>
        <w:rPr>
          <w:rFonts w:ascii="Calibri" w:hAnsi="Calibri"/>
          <w:b w:val="0"/>
          <w:sz w:val="22"/>
        </w:rPr>
        <w:t>Section 8: Product Boundary Controls</w:t>
      </w:r>
    </w:p>
    <w:p>
      <w:pPr>
        <w:pBdr>
          <w:bottom w:val="single" w:sz="4" w:space="1" w:color="CCCCCC"/>
        </w:pBdr>
        <w:spacing w:before="80" w:after="80"/>
      </w:pPr>
    </w:p>
    <w:p>
      <w:pPr>
        <w:pStyle w:val="Heading4"/>
        <w:keepNext/>
      </w:pPr>
      <w:r>
        <w:rPr>
          <w:rFonts w:ascii="Calibri" w:hAnsi="Calibri"/>
          <w:b w:val="0"/>
          <w:sz w:val="22"/>
        </w:rPr>
        <w:t>Section 9: Extraction Log</w:t>
      </w:r>
    </w:p>
    <w:p>
      <w:pPr>
        <w:pBdr>
          <w:bottom w:val="single" w:sz="4" w:space="1" w:color="CCCCCC"/>
        </w:pBdr>
        <w:spacing w:before="80" w:after="80"/>
      </w:pPr>
    </w:p>
    <w:p>
      <w:pPr>
        <w:pStyle w:val="Heading3"/>
        <w:keepNext/>
      </w:pPr>
      <w:r>
        <w:rPr>
          <w:rFonts w:ascii="Calibri" w:hAnsi="Calibri"/>
          <w:b w:val="0"/>
          <w:sz w:val="26"/>
        </w:rPr>
        <w:t>Oracle Journeys — Employee Self-Service &amp; Guided Workflows</w:t>
      </w:r>
    </w:p>
    <w:p>
      <w:pPr>
        <w:pBdr>
          <w:bottom w:val="single" w:sz="4" w:space="1" w:color="CCCCCC"/>
        </w:pBdr>
        <w:spacing w:before="80" w:after="80"/>
      </w:pPr>
    </w:p>
    <w:p>
      <w:pPr>
        <w:pStyle w:val="Heading4"/>
        <w:keepNext/>
      </w:pPr>
      <w:r>
        <w:rPr>
          <w:rFonts w:ascii="Calibri" w:hAnsi="Calibri"/>
          <w:b w:val="0"/>
          <w:sz w:val="22"/>
        </w:rPr>
        <w:t>Section 1: Statement of Capability</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pStyle w:val="Heading5"/>
        <w:keepNext/>
      </w:pPr>
      <w:r>
        <w:rPr>
          <w:rFonts w:ascii="Calibri" w:hAnsi="Calibri"/>
          <w:b w:val="0"/>
          <w:sz w:val="22"/>
        </w:rPr>
        <w:t>2.2 Integration with Oracle HCM Core</w:t>
      </w:r>
    </w:p>
    <w:p>
      <w:pPr>
        <w:pBdr>
          <w:bottom w:val="single" w:sz="4" w:space="1" w:color="CCCCCC"/>
        </w:pBdr>
        <w:spacing w:before="80" w:after="80"/>
      </w:pPr>
    </w:p>
    <w:p>
      <w:pPr>
        <w:pStyle w:val="Heading4"/>
        <w:keepNext/>
      </w:pPr>
      <w:r>
        <w:rPr>
          <w:rFonts w:ascii="Calibri" w:hAnsi="Calibri"/>
          <w:b w:val="0"/>
          <w:sz w:val="22"/>
        </w:rPr>
        <w:t>Section 3: Source Mapping</w:t>
      </w:r>
    </w:p>
    <w:p>
      <w:pPr>
        <w:pBdr>
          <w:bottom w:val="single" w:sz="4" w:space="1" w:color="CCCCCC"/>
        </w:pBdr>
        <w:spacing w:before="80" w:after="80"/>
      </w:pPr>
    </w:p>
    <w:p>
      <w:pPr>
        <w:pStyle w:val="Heading4"/>
        <w:keepNext/>
      </w:pPr>
      <w:r>
        <w:rPr>
          <w:rFonts w:ascii="Calibri" w:hAnsi="Calibri"/>
          <w:b w:val="0"/>
          <w:sz w:val="22"/>
        </w:rPr>
        <w:t>Section 4: Evidence Classification</w:t>
      </w: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pBdr>
          <w:bottom w:val="single" w:sz="4" w:space="1" w:color="CCCCCC"/>
        </w:pBdr>
        <w:spacing w:before="80" w:after="80"/>
      </w:pPr>
    </w:p>
    <w:p>
      <w:pPr>
        <w:pStyle w:val="Heading4"/>
        <w:keepNext/>
      </w:pPr>
      <w:r>
        <w:rPr>
          <w:rFonts w:ascii="Calibri" w:hAnsi="Calibri"/>
          <w:b w:val="0"/>
          <w:sz w:val="22"/>
        </w:rPr>
        <w:t>Section 7: Named Reference Controls</w:t>
      </w:r>
    </w:p>
    <w:p>
      <w:pPr>
        <w:pBdr>
          <w:bottom w:val="single" w:sz="4" w:space="1" w:color="CCCCCC"/>
        </w:pBdr>
        <w:spacing w:before="80" w:after="80"/>
      </w:pPr>
    </w:p>
    <w:p>
      <w:pPr>
        <w:pStyle w:val="Heading4"/>
        <w:keepNext/>
      </w:pPr>
      <w:r>
        <w:rPr>
          <w:rFonts w:ascii="Calibri" w:hAnsi="Calibri"/>
          <w:b w:val="0"/>
          <w:sz w:val="22"/>
        </w:rPr>
        <w:t>Section 8: Product Boundary Controls</w:t>
      </w:r>
    </w:p>
    <w:p>
      <w:pPr>
        <w:pBdr>
          <w:bottom w:val="single" w:sz="4" w:space="1" w:color="CCCCCC"/>
        </w:pBdr>
        <w:spacing w:before="80" w:after="80"/>
      </w:pPr>
    </w:p>
    <w:p>
      <w:pPr>
        <w:pStyle w:val="Heading4"/>
        <w:keepNext/>
      </w:pPr>
      <w:r>
        <w:rPr>
          <w:rFonts w:ascii="Calibri" w:hAnsi="Calibri"/>
          <w:b w:val="0"/>
          <w:sz w:val="22"/>
        </w:rPr>
        <w:t>Section 9: Extraction Log</w:t>
      </w:r>
    </w:p>
    <w:p>
      <w:pPr>
        <w:pBdr>
          <w:bottom w:val="single" w:sz="4" w:space="1" w:color="CCCCCC"/>
        </w:pBdr>
        <w:spacing w:before="80" w:after="80"/>
      </w:pP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pStyle w:val="Heading5"/>
        <w:keepNext/>
      </w:pPr>
      <w:r>
        <w:rPr>
          <w:rFonts w:ascii="Calibri" w:hAnsi="Calibri"/>
          <w:b w:val="0"/>
          <w:sz w:val="22"/>
        </w:rPr>
        <w:t>Oracle Awards</w:t>
      </w:r>
    </w:p>
    <w:p>
      <w:pPr>
        <w:pStyle w:val="Heading5"/>
        <w:keepNext/>
      </w:pPr>
      <w:r>
        <w:rPr>
          <w:rFonts w:ascii="Calibri" w:hAnsi="Calibri"/>
          <w:b w:val="0"/>
          <w:sz w:val="22"/>
        </w:rPr>
        <w:t>Oracle Integration Cloud as Standard</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pStyle w:val="Heading5"/>
        <w:keepNext/>
      </w:pPr>
      <w:r>
        <w:rPr>
          <w:rFonts w:ascii="Calibri" w:hAnsi="Calibri"/>
          <w:b w:val="0"/>
          <w:sz w:val="22"/>
        </w:rPr>
        <w:t>Consulting Team</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 Oracle Fusion HCM</w:t>
      </w:r>
    </w:p>
    <w:p>
      <w:pPr>
        <w:pStyle w:val="Heading5"/>
        <w:keepNext/>
      </w:pPr>
      <w:r>
        <w:rPr>
          <w:rFonts w:ascii="Calibri" w:hAnsi="Calibri"/>
          <w:b w:val="0"/>
          <w:sz w:val="22"/>
        </w:rPr>
        <w:t>3.1 Global Human Resources (Core HR)</w:t>
      </w:r>
    </w:p>
    <w:p>
      <w:pPr>
        <w:pStyle w:val="Heading5"/>
        <w:keepNext/>
      </w:pPr>
      <w:r>
        <w:rPr>
          <w:rFonts w:ascii="Calibri" w:hAnsi="Calibri"/>
          <w:b w:val="0"/>
          <w:sz w:val="22"/>
        </w:rPr>
        <w:t>3.2 AI-Based Dynamic Skills</w:t>
      </w:r>
    </w:p>
    <w:p>
      <w:pPr>
        <w:pStyle w:val="Heading5"/>
        <w:keepNext/>
      </w:pPr>
      <w:r>
        <w:rPr>
          <w:rFonts w:ascii="Calibri" w:hAnsi="Calibri"/>
          <w:b w:val="0"/>
          <w:sz w:val="22"/>
        </w:rPr>
        <w:t>3.3 Absence Management</w:t>
      </w:r>
    </w:p>
    <w:p>
      <w:pPr>
        <w:pStyle w:val="Heading5"/>
        <w:keepNext/>
      </w:pPr>
      <w:r>
        <w:rPr>
          <w:rFonts w:ascii="Calibri" w:hAnsi="Calibri"/>
          <w:b w:val="0"/>
          <w:sz w:val="22"/>
        </w:rPr>
        <w:t>3.4 Benefits Administration</w:t>
      </w:r>
    </w:p>
    <w:p>
      <w:pPr>
        <w:pStyle w:val="Heading5"/>
        <w:keepNext/>
      </w:pPr>
      <w:r>
        <w:rPr>
          <w:rFonts w:ascii="Calibri" w:hAnsi="Calibri"/>
          <w:b w:val="0"/>
          <w:sz w:val="22"/>
        </w:rPr>
        <w:t>3.5 Oracle Journeys</w:t>
      </w:r>
    </w:p>
    <w:p>
      <w:pPr>
        <w:pStyle w:val="Heading5"/>
        <w:keepNext/>
      </w:pPr>
      <w:r>
        <w:rPr>
          <w:rFonts w:ascii="Calibri" w:hAnsi="Calibri"/>
          <w:b w:val="0"/>
          <w:sz w:val="22"/>
        </w:rPr>
        <w:t>3.6 Payroll Interface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pStyle w:val="Heading5"/>
        <w:keepNext/>
      </w:pPr>
      <w:r>
        <w:rPr>
          <w:rFonts w:ascii="Calibri" w:hAnsi="Calibri"/>
          <w:b w:val="0"/>
          <w:sz w:val="22"/>
        </w:rPr>
        <w:t>3.7 Workforce Directory Management</w:t>
      </w:r>
    </w:p>
    <w:p>
      <w:pPr>
        <w:pStyle w:val="Heading5"/>
        <w:keepNext/>
      </w:pPr>
      <w:r>
        <w:rPr>
          <w:rFonts w:ascii="Calibri" w:hAnsi="Calibri"/>
          <w:b w:val="0"/>
          <w:sz w:val="22"/>
        </w:rPr>
        <w:t>3.8 Workforce Modelling and Predictions</w:t>
      </w:r>
    </w:p>
    <w:p>
      <w:pPr>
        <w:pStyle w:val="Heading5"/>
        <w:keepNext/>
      </w:pPr>
      <w:r>
        <w:rPr>
          <w:rFonts w:ascii="Calibri" w:hAnsi="Calibri"/>
          <w:b w:val="0"/>
          <w:sz w:val="22"/>
        </w:rPr>
        <w:t>3.9 Work Life Solutions</w:t>
      </w:r>
    </w:p>
    <w:p>
      <w:pPr>
        <w:pStyle w:val="Heading5"/>
        <w:keepNext/>
      </w:pPr>
      <w:r>
        <w:rPr>
          <w:rFonts w:ascii="Calibri" w:hAnsi="Calibri"/>
          <w:b w:val="0"/>
          <w:sz w:val="22"/>
        </w:rPr>
        <w:t>3.10 Oracle Transactional Business Intelligence (OTBI)</w:t>
      </w:r>
    </w:p>
    <w:p>
      <w:pPr>
        <w:pStyle w:val="Heading5"/>
        <w:keepNext/>
      </w:pPr>
      <w:r>
        <w:rPr>
          <w:rFonts w:ascii="Calibri" w:hAnsi="Calibri"/>
          <w:b w:val="0"/>
          <w:sz w:val="22"/>
        </w:rPr>
        <w:t>3.11 Transparent Data Encryption (TDE)</w:t>
      </w:r>
    </w:p>
    <w:p>
      <w:pPr>
        <w:pStyle w:val="Heading5"/>
        <w:keepNext/>
      </w:pPr>
      <w:r>
        <w:rPr>
          <w:rFonts w:ascii="Calibri" w:hAnsi="Calibri"/>
          <w:b w:val="0"/>
          <w:sz w:val="22"/>
        </w:rPr>
        <w:t>3.12 Workforce Compensation</w:t>
      </w:r>
    </w:p>
    <w:p>
      <w:pPr>
        <w:pStyle w:val="Heading5"/>
        <w:keepNext/>
      </w:pPr>
      <w:r>
        <w:rPr>
          <w:rFonts w:ascii="Calibri" w:hAnsi="Calibri"/>
          <w:b w:val="0"/>
          <w:sz w:val="22"/>
        </w:rPr>
        <w:t>3.13 Oracle Recruiting Cloud</w:t>
      </w:r>
    </w:p>
    <w:p>
      <w:pPr>
        <w:pStyle w:val="Heading5"/>
        <w:keepNext/>
      </w:pPr>
      <w:r>
        <w:rPr>
          <w:rFonts w:ascii="Calibri" w:hAnsi="Calibri"/>
          <w:b w:val="0"/>
          <w:sz w:val="22"/>
        </w:rPr>
        <w:t>3.14 Talent Management</w:t>
      </w:r>
    </w:p>
    <w:p>
      <w:pPr>
        <w:pStyle w:val="Heading5"/>
        <w:keepNext/>
      </w:pPr>
      <w:r>
        <w:rPr>
          <w:rFonts w:ascii="Calibri" w:hAnsi="Calibri"/>
          <w:b w:val="0"/>
          <w:sz w:val="22"/>
        </w:rPr>
        <w:t>3.15 Oracle Learning Cloud</w:t>
      </w:r>
    </w:p>
    <w:p>
      <w:pPr>
        <w:pStyle w:val="Heading5"/>
        <w:keepNext/>
      </w:pPr>
      <w:r>
        <w:rPr>
          <w:rFonts w:ascii="Calibri" w:hAnsi="Calibri"/>
          <w:b w:val="0"/>
          <w:sz w:val="22"/>
        </w:rPr>
        <w:t>3.16 HCM Analytics</w:t>
      </w:r>
    </w:p>
    <w:p>
      <w:pPr>
        <w:pStyle w:val="Heading5"/>
        <w:keepNext/>
      </w:pPr>
      <w:r>
        <w:rPr>
          <w:rFonts w:ascii="Calibri" w:hAnsi="Calibri"/>
          <w:b w:val="0"/>
          <w:sz w:val="22"/>
        </w:rPr>
        <w:t>3.17 Time and Labor / Workforce Scheduling</w:t>
      </w:r>
    </w:p>
    <w:p>
      <w:pPr>
        <w:pStyle w:val="Heading5"/>
        <w:keepNext/>
      </w:pPr>
      <w:r>
        <w:rPr>
          <w:rFonts w:ascii="Calibri" w:hAnsi="Calibri"/>
          <w:b w:val="0"/>
          <w:sz w:val="22"/>
        </w:rPr>
        <w:t>3.18 HR Help Desk / Oracle Digital Assistant</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pStyle w:val="Heading5"/>
        <w:keepNext/>
      </w:pPr>
      <w:r>
        <w:rPr>
          <w:rFonts w:ascii="Calibri" w:hAnsi="Calibri"/>
          <w:b w:val="0"/>
          <w:sz w:val="22"/>
        </w:rPr>
        <w:t>4.1 Financial Management Modules</w:t>
      </w:r>
    </w:p>
    <w:p>
      <w:pPr>
        <w:pStyle w:val="Heading5"/>
        <w:keepNext/>
      </w:pPr>
      <w:r>
        <w:rPr>
          <w:rFonts w:ascii="Calibri" w:hAnsi="Calibri"/>
          <w:b w:val="0"/>
          <w:sz w:val="22"/>
        </w:rPr>
        <w:t>4.2 Financial Reporting</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 Oracle Fusion Procurement</w:t>
      </w:r>
    </w:p>
    <w:p>
      <w:pPr>
        <w:pStyle w:val="Heading5"/>
        <w:keepNext/>
      </w:pPr>
      <w:r>
        <w:rPr>
          <w:rFonts w:ascii="Calibri" w:hAnsi="Calibri"/>
          <w:b w:val="0"/>
          <w:sz w:val="22"/>
        </w:rPr>
        <w:t>5.1 Core Procurement Capabilities</w:t>
      </w:r>
    </w:p>
    <w:p>
      <w:pPr>
        <w:pStyle w:val="Heading5"/>
        <w:keepNext/>
      </w:pPr>
      <w:r>
        <w:rPr>
          <w:rFonts w:ascii="Calibri" w:hAnsi="Calibri"/>
          <w:b w:val="0"/>
          <w:sz w:val="22"/>
        </w:rPr>
        <w:t>5.2 Self-Service Procurement</w:t>
      </w:r>
    </w:p>
    <w:p>
      <w:pPr>
        <w:pStyle w:val="Heading5"/>
        <w:keepNext/>
      </w:pPr>
      <w:r>
        <w:rPr>
          <w:rFonts w:ascii="Calibri" w:hAnsi="Calibri"/>
          <w:b w:val="0"/>
          <w:sz w:val="22"/>
        </w:rPr>
        <w:t>5.3 Procurement Client Evidence</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pStyle w:val="Heading5"/>
        <w:keepNext/>
      </w:pPr>
      <w:r>
        <w:rPr>
          <w:rFonts w:ascii="Calibri" w:hAnsi="Calibri"/>
          <w:b w:val="0"/>
          <w:sz w:val="22"/>
        </w:rPr>
        <w:t>6.1 SCM Core Capabilities</w:t>
      </w:r>
    </w:p>
    <w:p>
      <w:pPr>
        <w:pStyle w:val="Heading5"/>
        <w:keepNext/>
      </w:pPr>
      <w:r>
        <w:rPr>
          <w:rFonts w:ascii="Calibri" w:hAnsi="Calibri"/>
          <w:b w:val="0"/>
          <w:sz w:val="22"/>
        </w:rPr>
        <w:t>6.2 Order Management</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 Oracle Fusion Projects / PPM</w:t>
      </w:r>
    </w:p>
    <w:p>
      <w:pPr>
        <w:pStyle w:val="Heading5"/>
        <w:keepNext/>
      </w:pPr>
      <w:r>
        <w:rPr>
          <w:rFonts w:ascii="Calibri" w:hAnsi="Calibri"/>
          <w:b w:val="0"/>
          <w:sz w:val="22"/>
        </w:rPr>
        <w:t>7.1 Project Financials</w:t>
      </w:r>
    </w:p>
    <w:p>
      <w:pPr>
        <w:pStyle w:val="Heading5"/>
        <w:keepNext/>
      </w:pPr>
      <w:r>
        <w:rPr>
          <w:rFonts w:ascii="Calibri" w:hAnsi="Calibri"/>
          <w:b w:val="0"/>
          <w:sz w:val="22"/>
        </w:rPr>
        <w:t>7.2 Project Contract Billing</w:t>
      </w:r>
    </w:p>
    <w:p>
      <w:pPr>
        <w:pStyle w:val="Heading5"/>
        <w:keepNext/>
      </w:pPr>
      <w:r>
        <w:rPr>
          <w:rFonts w:ascii="Calibri" w:hAnsi="Calibri"/>
          <w:b w:val="0"/>
          <w:sz w:val="22"/>
        </w:rPr>
        <w:t>7.3 Project Management</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 Oracle Analytics</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pStyle w:val="Heading5"/>
        <w:keepNext/>
      </w:pPr>
      <w:r>
        <w:rPr>
          <w:rFonts w:ascii="Calibri" w:hAnsi="Calibri"/>
          <w:b w:val="0"/>
          <w:sz w:val="22"/>
        </w:rPr>
        <w:t>OIC as APPSolve Standard</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pStyle w:val="Heading5"/>
        <w:keepNext/>
      </w:pPr>
      <w:r>
        <w:rPr>
          <w:rFonts w:ascii="Calibri" w:hAnsi="Calibri"/>
          <w:b w:val="0"/>
          <w:sz w:val="22"/>
        </w:rPr>
        <w:t>OIC Core Capabilities</w:t>
      </w:r>
    </w:p>
    <w:p>
      <w:pPr>
        <w:pStyle w:val="Heading5"/>
        <w:keepNext/>
      </w:pPr>
      <w:r>
        <w:rPr>
          <w:rFonts w:ascii="Calibri" w:hAnsi="Calibri"/>
          <w:b w:val="0"/>
          <w:sz w:val="22"/>
        </w:rPr>
        <w:t>Integration Patterns Delivered</w:t>
      </w:r>
    </w:p>
    <w:p>
      <w:pPr>
        <w:pBdr>
          <w:bottom w:val="single" w:sz="4" w:space="1" w:color="CCCCCC"/>
        </w:pBdr>
        <w:spacing w:before="80" w:after="80"/>
      </w:pPr>
    </w:p>
    <w:p>
      <w:pPr>
        <w:pStyle w:val="Heading4"/>
        <w:keepNext/>
      </w:pPr>
      <w:r>
        <w:rPr>
          <w:rFonts w:ascii="Calibri" w:hAnsi="Calibri"/>
          <w:b w:val="0"/>
          <w:sz w:val="22"/>
        </w:rPr>
        <w:t>Section 10 — Security and Compliance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p>
      <w:pPr>
        <w:pStyle w:val="Heading5"/>
        <w:keepNext/>
      </w:pPr>
      <w:r>
        <w:rPr>
          <w:rFonts w:ascii="Calibri" w:hAnsi="Calibri"/>
          <w:b w:val="0"/>
          <w:sz w:val="22"/>
        </w:rPr>
        <w:t>NOT Available for Reference</w:t>
      </w:r>
    </w:p>
    <w:p>
      <w:pPr>
        <w:pStyle w:val="Heading5"/>
        <w:keepNext/>
      </w:pPr>
      <w:r>
        <w:rPr>
          <w:rFonts w:ascii="Calibri" w:hAnsi="Calibri"/>
          <w:b w:val="0"/>
          <w:sz w:val="22"/>
        </w:rPr>
        <w:t>Additional EBS Sector Capability (Not Oracle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p>
      <w:pPr>
        <w:pBdr>
          <w:bottom w:val="single" w:sz="4" w:space="1" w:color="CCCCCC"/>
        </w:pBdr>
        <w:spacing w:before="80" w:after="80"/>
      </w:pPr>
    </w:p>
    <w:p>
      <w:pPr>
        <w:pStyle w:val="Heading4"/>
        <w:keepNext/>
      </w:pPr>
      <w:r>
        <w:rPr>
          <w:rFonts w:ascii="Calibri" w:hAnsi="Calibri"/>
          <w:b w:val="0"/>
          <w:sz w:val="22"/>
        </w:rPr>
        <w:t>Assumptions Register</w:t>
      </w:r>
    </w:p>
    <w:p>
      <w:pPr>
        <w:pBdr>
          <w:bottom w:val="single" w:sz="4" w:space="1" w:color="CCCCCC"/>
        </w:pBdr>
        <w:spacing w:before="80" w:after="80"/>
      </w:pPr>
    </w:p>
    <w:p>
      <w:pPr>
        <w:pStyle w:val="Heading4"/>
        <w:keepNext/>
      </w:pPr>
      <w:r>
        <w:rPr>
          <w:rFonts w:ascii="Calibri" w:hAnsi="Calibri"/>
          <w:b w:val="0"/>
          <w:sz w:val="22"/>
        </w:rPr>
        <w:t>Factual Risk Assessment</w:t>
      </w:r>
    </w:p>
    <w:p>
      <w:pPr>
        <w:pBdr>
          <w:bottom w:val="single" w:sz="4" w:space="1" w:color="CCCCCC"/>
        </w:pBdr>
        <w:spacing w:before="80" w:after="80"/>
      </w:pPr>
    </w:p>
    <w:p>
      <w:pPr>
        <w:pStyle w:val="Heading4"/>
        <w:keepNext/>
      </w:pPr>
      <w:r>
        <w:rPr>
          <w:rFonts w:ascii="Calibri" w:hAnsi="Calibri"/>
          <w:b w:val="0"/>
          <w:sz w:val="22"/>
        </w:rPr>
        <w:t>Extraction Quality Assessment</w:t>
      </w:r>
    </w:p>
    <w:p>
      <w:pPr>
        <w:pBdr>
          <w:bottom w:val="single" w:sz="4" w:space="1" w:color="CCCCCC"/>
        </w:pBdr>
        <w:spacing w:before="80" w:after="80"/>
      </w:pPr>
    </w:p>
    <w:p>
      <w:pPr>
        <w:pStyle w:val="Heading4"/>
        <w:keepNext/>
      </w:pPr>
      <w:r>
        <w:rPr>
          <w:rFonts w:ascii="Calibri" w:hAnsi="Calibri"/>
          <w:b w:val="0"/>
          <w:sz w:val="22"/>
        </w:rPr>
        <w:t>Review Record: Review_Required</w:t>
      </w:r>
    </w:p>
    <w:p>
      <w:pPr>
        <w:pStyle w:val="Heading3"/>
        <w:keepNext/>
      </w:pPr>
      <w:r>
        <w:rPr>
          <w:rFonts w:ascii="Calibri" w:hAnsi="Calibri"/>
          <w:b w:val="0"/>
          <w:sz w:val="26"/>
        </w:rPr>
        <w:t>Oracle HCM Payroll Interface &amp; Integration</w:t>
      </w:r>
    </w:p>
    <w:p>
      <w:pPr>
        <w:pBdr>
          <w:bottom w:val="single" w:sz="4" w:space="1" w:color="CCCCCC"/>
        </w:pBdr>
        <w:spacing w:before="80" w:after="80"/>
      </w:pPr>
    </w:p>
    <w:p>
      <w:pPr>
        <w:pStyle w:val="Heading4"/>
        <w:keepNext/>
      </w:pPr>
      <w:r>
        <w:rPr>
          <w:rFonts w:ascii="Calibri" w:hAnsi="Calibri"/>
          <w:b w:val="0"/>
          <w:sz w:val="22"/>
        </w:rPr>
        <w:t>Section 1: Statement of Capability</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pStyle w:val="Heading5"/>
        <w:keepNext/>
      </w:pPr>
      <w:r>
        <w:rPr>
          <w:rFonts w:ascii="Calibri" w:hAnsi="Calibri"/>
          <w:b w:val="0"/>
          <w:sz w:val="22"/>
        </w:rPr>
        <w:t>2.2 Product Boundary Table</w:t>
      </w:r>
    </w:p>
    <w:p>
      <w:pPr>
        <w:pStyle w:val="Heading5"/>
        <w:keepNext/>
      </w:pPr>
      <w:r>
        <w:rPr>
          <w:rFonts w:ascii="Calibri" w:hAnsi="Calibri"/>
          <w:b w:val="0"/>
          <w:sz w:val="22"/>
        </w:rPr>
        <w:t>2.3 What APPSolve Delivers</w:t>
      </w: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pStyle w:val="Heading5"/>
        <w:keepNext/>
      </w:pPr>
      <w:r>
        <w:rPr>
          <w:rFonts w:ascii="Calibri" w:hAnsi="Calibri"/>
          <w:b w:val="0"/>
          <w:sz w:val="22"/>
        </w:rPr>
        <w:t>3.2 Data Elements — HCM to PaySpace</w:t>
      </w:r>
    </w:p>
    <w:p>
      <w:pPr>
        <w:pStyle w:val="Heading5"/>
        <w:keepNext/>
      </w:pPr>
      <w:r>
        <w:rPr>
          <w:rFonts w:ascii="Calibri" w:hAnsi="Calibri"/>
          <w:b w:val="0"/>
          <w:sz w:val="22"/>
        </w:rPr>
        <w:t>3.3 Change Detection and Delta Processing</w:t>
      </w: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pStyle w:val="Heading5"/>
        <w:keepNext/>
      </w:pPr>
      <w:r>
        <w:rPr>
          <w:rFonts w:ascii="Calibri" w:hAnsi="Calibri"/>
          <w:b w:val="0"/>
          <w:sz w:val="22"/>
        </w:rPr>
        <w:t>4.2 Data Elements — PaySpace to HCM</w:t>
      </w:r>
    </w:p>
    <w:p>
      <w:pPr>
        <w:pStyle w:val="Heading5"/>
        <w:keepNext/>
      </w:pPr>
      <w:r>
        <w:rPr>
          <w:rFonts w:ascii="Calibri" w:hAnsi="Calibri"/>
          <w:b w:val="0"/>
          <w:sz w:val="22"/>
        </w:rPr>
        <w:t>4.3 Inbound Processing in OIC</w:t>
      </w: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pStyle w:val="Heading5"/>
        <w:keepNext/>
      </w:pPr>
      <w:r>
        <w:rPr>
          <w:rFonts w:ascii="Calibri" w:hAnsi="Calibri"/>
          <w:b w:val="0"/>
          <w:sz w:val="22"/>
        </w:rPr>
        <w:t>5.2 OIC Integration Patterns</w:t>
      </w:r>
    </w:p>
    <w:p>
      <w:pPr>
        <w:pStyle w:val="Heading5"/>
        <w:keepNext/>
      </w:pPr>
      <w:r>
        <w:rPr>
          <w:rFonts w:ascii="Calibri" w:hAnsi="Calibri"/>
          <w:b w:val="0"/>
          <w:sz w:val="22"/>
        </w:rPr>
        <w:t>5.3 OIC Interface Design Principles</w:t>
      </w:r>
    </w:p>
    <w:p>
      <w:pPr>
        <w:pStyle w:val="Heading5"/>
        <w:keepNext/>
      </w:pPr>
      <w:r>
        <w:rPr>
          <w:rFonts w:ascii="Calibri" w:hAnsi="Calibri"/>
          <w:b w:val="0"/>
          <w:sz w:val="22"/>
        </w:rPr>
        <w:t>5.4 OIC Security Model</w:t>
      </w:r>
    </w:p>
    <w:p>
      <w:pPr>
        <w:pStyle w:val="Heading5"/>
        <w:keepNext/>
      </w:pPr>
      <w:r>
        <w:rPr>
          <w:rFonts w:ascii="Calibri" w:hAnsi="Calibri"/>
          <w:b w:val="0"/>
          <w:sz w:val="22"/>
        </w:rPr>
        <w:t>5.5 OIC Scheduling Model</w:t>
      </w: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pStyle w:val="Heading5"/>
        <w:keepNext/>
      </w:pPr>
      <w:r>
        <w:rPr>
          <w:rFonts w:ascii="Calibri" w:hAnsi="Calibri"/>
          <w:b w:val="0"/>
          <w:sz w:val="22"/>
        </w:rPr>
        <w:t>6.2 Build and Configuration</w:t>
      </w:r>
    </w:p>
    <w:p>
      <w:pPr>
        <w:pStyle w:val="Heading5"/>
        <w:keepNext/>
      </w:pPr>
      <w:r>
        <w:rPr>
          <w:rFonts w:ascii="Calibri" w:hAnsi="Calibri"/>
          <w:b w:val="0"/>
          <w:sz w:val="22"/>
        </w:rPr>
        <w:t>6.3 Validation and Parallel Testing</w:t>
      </w:r>
    </w:p>
    <w:p>
      <w:pPr>
        <w:pStyle w:val="Heading5"/>
        <w:keepNext/>
      </w:pPr>
      <w:r>
        <w:rPr>
          <w:rFonts w:ascii="Calibri" w:hAnsi="Calibri"/>
          <w:b w:val="0"/>
          <w:sz w:val="22"/>
        </w:rPr>
        <w:t>6.4 Production Build and Go-Live</w:t>
      </w: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p>
      <w:pPr>
        <w:pStyle w:val="Heading5"/>
        <w:keepNext/>
      </w:pPr>
      <w:r>
        <w:rPr>
          <w:rFonts w:ascii="Calibri" w:hAnsi="Calibri"/>
          <w:b w:val="0"/>
          <w:sz w:val="22"/>
        </w:rPr>
        <w:t>7.2 Reconciliation Controls</w:t>
      </w:r>
    </w:p>
    <w:p>
      <w:pPr>
        <w:pStyle w:val="Heading5"/>
        <w:keepNext/>
      </w:pPr>
      <w:r>
        <w:rPr>
          <w:rFonts w:ascii="Calibri" w:hAnsi="Calibri"/>
          <w:b w:val="0"/>
          <w:sz w:val="22"/>
        </w:rPr>
        <w:t>7.3 POPIA Compliance in Payroll Integration</w:t>
      </w: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pStyle w:val="Heading5"/>
        <w:keepNext/>
      </w:pPr>
      <w:r>
        <w:rPr>
          <w:rFonts w:ascii="Calibri" w:hAnsi="Calibri"/>
          <w:b w:val="0"/>
          <w:sz w:val="22"/>
        </w:rPr>
        <w:t>8.2 Validation Run Design</w:t>
      </w:r>
    </w:p>
    <w:p>
      <w:pPr>
        <w:pStyle w:val="Heading5"/>
        <w:keepNext/>
      </w:pPr>
      <w:r>
        <w:rPr>
          <w:rFonts w:ascii="Calibri" w:hAnsi="Calibri"/>
          <w:b w:val="0"/>
          <w:sz w:val="22"/>
        </w:rPr>
        <w:t>8.3 Parallel Payroll Runs</w:t>
      </w:r>
    </w:p>
    <w:p>
      <w:pPr>
        <w:pStyle w:val="Heading5"/>
        <w:keepNext/>
      </w:pPr>
      <w:r>
        <w:rPr>
          <w:rFonts w:ascii="Calibri" w:hAnsi="Calibri"/>
          <w:b w:val="0"/>
          <w:sz w:val="22"/>
        </w:rPr>
        <w:t>8.4 Go/No-Go Gate</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pStyle w:val="Heading5"/>
        <w:keepNext/>
      </w:pPr>
      <w:r>
        <w:rPr>
          <w:rFonts w:ascii="Calibri" w:hAnsi="Calibri"/>
          <w:b w:val="0"/>
          <w:sz w:val="22"/>
        </w:rPr>
        <w:t>9.2 Exception Management Workflow</w:t>
      </w:r>
    </w:p>
    <w:p>
      <w:pPr>
        <w:pStyle w:val="Heading5"/>
        <w:keepNext/>
      </w:pPr>
      <w:r>
        <w:rPr>
          <w:rFonts w:ascii="Calibri" w:hAnsi="Calibri"/>
          <w:b w:val="0"/>
          <w:sz w:val="22"/>
        </w:rPr>
        <w:t>9.3 Operational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p>
      <w:pPr>
        <w:pStyle w:val="Heading5"/>
        <w:keepNext/>
      </w:pPr>
      <w:r>
        <w:rPr>
          <w:rFonts w:ascii="Calibri" w:hAnsi="Calibri"/>
          <w:b w:val="0"/>
          <w:sz w:val="22"/>
        </w:rPr>
        <w:t>10.2 Access Controls</w:t>
      </w: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pStyle w:val="Heading5"/>
        <w:keepNext/>
      </w:pPr>
      <w:r>
        <w:rPr>
          <w:rFonts w:ascii="Calibri" w:hAnsi="Calibri"/>
          <w:b w:val="0"/>
          <w:sz w:val="22"/>
        </w:rPr>
        <w:t>12.2 Integration Team Structure</w:t>
      </w:r>
    </w:p>
    <w:p>
      <w:pPr>
        <w:pStyle w:val="Heading5"/>
        <w:keepNext/>
      </w:pPr>
      <w:r>
        <w:rPr>
          <w:rFonts w:ascii="Calibri" w:hAnsi="Calibri"/>
          <w:b w:val="0"/>
          <w:sz w:val="22"/>
        </w:rPr>
        <w:t>12.3 Delivery Principles</w:t>
      </w: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p>
      <w:pPr>
        <w:pStyle w:val="Heading5"/>
        <w:keepNext/>
      </w:pPr>
      <w:r>
        <w:rPr>
          <w:rFonts w:ascii="Calibri" w:hAnsi="Calibri"/>
          <w:b w:val="0"/>
          <w:sz w:val="22"/>
        </w:rPr>
        <w:t>14.2 Assumptions Register</w:t>
      </w:r>
    </w:p>
    <w:p>
      <w:pPr>
        <w:pBdr>
          <w:bottom w:val="single" w:sz="4" w:space="1" w:color="CCCCCC"/>
        </w:pBdr>
        <w:spacing w:before="80" w:after="80"/>
      </w:pPr>
    </w:p>
    <w:p>
      <w:pPr>
        <w:pStyle w:val="Heading4"/>
        <w:keepNext/>
      </w:pPr>
      <w:r>
        <w:rPr>
          <w:rFonts w:ascii="Calibri" w:hAnsi="Calibri"/>
          <w:b w:val="0"/>
          <w:sz w:val="22"/>
        </w:rPr>
        <w:t>Section 17: Approval Record</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spacing w:before="0" w:after="0"/>
      </w:pPr>
      <w:r>
        <w:br w:type="page"/>
      </w:r>
    </w:p>
    <w:p>
      <w:pPr>
        <w:pStyle w:val="Heading2"/>
        <w:keepNext/>
      </w:pPr>
      <w:r>
        <w:rPr>
          <w:rFonts w:ascii="Calibri" w:hAnsi="Calibri"/>
          <w:b w:val="0"/>
          <w:sz w:val="32"/>
        </w:rPr>
        <w:t>Appendix C — Assumption Schedule ✓</w:t>
      </w:r>
    </w:p>
    <w:tbl>
      <w:tblPr>
        <w:tblStyle w:val="TableGrid"/>
        <w:tblW w:type="auto" w:w="0"/>
        <w:tblLook w:firstColumn="1" w:firstRow="1" w:lastColumn="0" w:lastRow="0" w:noHBand="0" w:noVBand="1" w:val="04A0"/>
      </w:tblPr>
      <w:tblGrid>
        <w:gridCol w:w="9026"/>
      </w:tblGrid>
      <w:tr>
        <w:tc>
          <w:tcPr>
            <w:tcW w:type="dxa" w:w="9026"/>
            <w:shd w:val="clear" w:color="auto" w:fill="FFF8E8"/>
            <w:tcBorders>
              <w:top w:val="single" w:sz="6" w:space="0" w:color="CC8800"/>
              <w:left w:val="single" w:sz="6" w:space="0" w:color="CC8800"/>
              <w:bottom w:val="single" w:sz="6" w:space="0" w:color="CC8800"/>
              <w:right w:val="single" w:sz="6" w:space="0" w:color="CC8800"/>
            </w:tcBorders>
          </w:tcPr>
          <w:p>
            <w:pPr>
              <w:spacing w:before="60" w:after="60"/>
            </w:pPr>
            <w:r>
              <w:rPr>
                <w:rFonts w:ascii="Calibri" w:hAnsi="Calibri"/>
                <w:i/>
                <w:color w:val="707070"/>
                <w:sz w:val="19"/>
              </w:rPr>
              <w:t>Editorial: Truncated: 234 segs over budget (120 max) | Boilerplate: 1 segs removed</w:t>
            </w:r>
          </w:p>
        </w:tc>
      </w:tr>
    </w:tbl>
    <w:p>
      <w:pPr>
        <w:spacing w:after="80"/>
      </w:pPr>
    </w:p>
    <w:p>
      <w:pPr>
        <w:pStyle w:val="Heading3"/>
        <w:keepNext/>
      </w:pPr>
      <w:r>
        <w:rPr>
          <w:rFonts w:ascii="Calibri" w:hAnsi="Calibri"/>
          <w:b w:val="0"/>
          <w:sz w:val="26"/>
        </w:rPr>
        <w:t>Oracle Fusion HCM — Base Assumptions V1.0</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Oracle Fusion Recruiting Cloud — Assumptions V1.0</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pBdr>
          <w:bottom w:val="single" w:sz="4" w:space="1" w:color="CCCCCC"/>
        </w:pBdr>
        <w:spacing w:before="80" w:after="80"/>
      </w:pPr>
    </w:p>
    <w:p>
      <w:pPr>
        <w:pStyle w:val="Heading4"/>
        <w:keepNext/>
      </w:pPr>
      <w:r>
        <w:rPr>
          <w:rFonts w:ascii="Calibri" w:hAnsi="Calibri"/>
          <w:b w:val="0"/>
          <w:sz w:val="22"/>
        </w:rPr>
        <w:t>17. Requisition Assumptions</w:t>
      </w:r>
    </w:p>
    <w:p>
      <w:pPr>
        <w:pBdr>
          <w:bottom w:val="single" w:sz="4" w:space="1" w:color="CCCCCC"/>
        </w:pBdr>
        <w:spacing w:before="80" w:after="80"/>
      </w:pPr>
    </w:p>
    <w:p>
      <w:pPr>
        <w:pStyle w:val="Heading4"/>
        <w:keepNext/>
      </w:pPr>
      <w:r>
        <w:rPr>
          <w:rFonts w:ascii="Calibri" w:hAnsi="Calibri"/>
          <w:b w:val="0"/>
          <w:sz w:val="22"/>
        </w:rPr>
        <w:t>18. Candidate Migration Assumptions</w:t>
      </w:r>
    </w:p>
    <w:p>
      <w:pPr>
        <w:pBdr>
          <w:bottom w:val="single" w:sz="4" w:space="1" w:color="CCCCCC"/>
        </w:pBdr>
        <w:spacing w:before="80" w:after="80"/>
      </w:pPr>
    </w:p>
    <w:p>
      <w:pPr>
        <w:pStyle w:val="Heading4"/>
        <w:keepNext/>
      </w:pPr>
      <w:r>
        <w:rPr>
          <w:rFonts w:ascii="Calibri" w:hAnsi="Calibri"/>
          <w:b w:val="0"/>
          <w:sz w:val="22"/>
        </w:rPr>
        <w:t>19. Recruiting Agency Assumptions</w:t>
      </w:r>
    </w:p>
    <w:p>
      <w:pPr>
        <w:pBdr>
          <w:bottom w:val="single" w:sz="4" w:space="1" w:color="CCCCCC"/>
        </w:pBdr>
        <w:spacing w:before="80" w:after="80"/>
      </w:pPr>
    </w:p>
    <w:p>
      <w:pPr>
        <w:pStyle w:val="Heading4"/>
        <w:keepNext/>
      </w:pPr>
      <w:r>
        <w:rPr>
          <w:rFonts w:ascii="Calibri" w:hAnsi="Calibri"/>
          <w:b w:val="0"/>
          <w:sz w:val="22"/>
        </w:rPr>
        <w:t>20. Offer Management Assumptions</w:t>
      </w:r>
    </w:p>
    <w:p>
      <w:pPr>
        <w:pBdr>
          <w:bottom w:val="single" w:sz="4" w:space="1" w:color="CCCCCC"/>
        </w:pBdr>
        <w:spacing w:before="80" w:after="80"/>
      </w:pPr>
    </w:p>
    <w:p>
      <w:pPr>
        <w:pStyle w:val="Heading4"/>
        <w:keepNext/>
      </w:pPr>
      <w:r>
        <w:rPr>
          <w:rFonts w:ascii="Calibri" w:hAnsi="Calibri"/>
          <w:b w:val="0"/>
          <w:sz w:val="22"/>
        </w:rPr>
        <w:t>21. Interview Scheduling Assumptions</w:t>
      </w:r>
    </w:p>
    <w:p>
      <w:pPr>
        <w:pBdr>
          <w:bottom w:val="single" w:sz="4" w:space="1" w:color="CCCCCC"/>
        </w:pBdr>
        <w:spacing w:before="80" w:after="80"/>
      </w:pPr>
    </w:p>
    <w:p>
      <w:pPr>
        <w:pStyle w:val="Heading4"/>
        <w:keepNext/>
      </w:pPr>
      <w:r>
        <w:rPr>
          <w:rFonts w:ascii="Calibri" w:hAnsi="Calibri"/>
          <w:b w:val="0"/>
          <w:sz w:val="22"/>
        </w:rPr>
        <w:t>22. LinkedIn Integration Assumptions</w:t>
      </w:r>
    </w:p>
    <w:p>
      <w:pPr>
        <w:pBdr>
          <w:bottom w:val="single" w:sz="4" w:space="1" w:color="CCCCCC"/>
        </w:pBdr>
        <w:spacing w:before="80" w:after="80"/>
      </w:pPr>
    </w:p>
    <w:p>
      <w:pPr>
        <w:pStyle w:val="Heading4"/>
        <w:keepNext/>
      </w:pPr>
      <w:r>
        <w:rPr>
          <w:rFonts w:ascii="Calibri" w:hAnsi="Calibri"/>
          <w:b w:val="0"/>
          <w:sz w:val="22"/>
        </w:rPr>
        <w:t>23. Recruiting Reporting Assumptions</w:t>
      </w:r>
    </w:p>
    <w:p>
      <w:pPr>
        <w:pBdr>
          <w:bottom w:val="single" w:sz="4" w:space="1" w:color="CCCCCC"/>
        </w:pBdr>
        <w:spacing w:before="80" w:after="80"/>
      </w:pPr>
    </w:p>
    <w:p>
      <w:pPr>
        <w:pStyle w:val="Heading4"/>
        <w:keepNext/>
      </w:pPr>
      <w:r>
        <w:rPr>
          <w:rFonts w:ascii="Calibri" w:hAnsi="Calibri"/>
          <w:b w:val="0"/>
          <w:sz w:val="22"/>
        </w:rPr>
        <w:t>24. Recruiting Booster Assumptions</w:t>
      </w:r>
    </w:p>
    <w:p>
      <w:pPr>
        <w:pBdr>
          <w:bottom w:val="single" w:sz="4" w:space="1" w:color="CCCCCC"/>
        </w:pBdr>
        <w:spacing w:before="80" w:after="80"/>
      </w:pPr>
    </w:p>
    <w:p>
      <w:pPr>
        <w:pStyle w:val="Heading4"/>
        <w:keepNext/>
      </w:pPr>
      <w:r>
        <w:rPr>
          <w:rFonts w:ascii="Calibri" w:hAnsi="Calibri"/>
          <w:b w:val="0"/>
          <w:sz w:val="22"/>
        </w:rPr>
        <w:t>25. Recruiting Security Assumptions</w:t>
      </w:r>
    </w:p>
    <w:p>
      <w:pPr>
        <w:pBdr>
          <w:bottom w:val="single" w:sz="4" w:space="1" w:color="CCCCCC"/>
        </w:pBdr>
        <w:spacing w:before="80" w:after="80"/>
      </w:pPr>
    </w:p>
    <w:p>
      <w:pPr>
        <w:pStyle w:val="Heading4"/>
        <w:keepNext/>
      </w:pPr>
      <w:r>
        <w:rPr>
          <w:rFonts w:ascii="Calibri" w:hAnsi="Calibri"/>
          <w:b w:val="0"/>
          <w:sz w:val="22"/>
        </w:rPr>
        <w:t>26. Recruiting Training Assumptions</w:t>
      </w:r>
    </w:p>
    <w:p>
      <w:pPr>
        <w:pBdr>
          <w:bottom w:val="single" w:sz="4" w:space="1" w:color="CCCCCC"/>
        </w:pBdr>
        <w:spacing w:before="80" w:after="80"/>
      </w:pPr>
    </w:p>
    <w:p>
      <w:pPr>
        <w:pStyle w:val="Heading4"/>
        <w:keepNext/>
      </w:pPr>
      <w:r>
        <w:rPr>
          <w:rFonts w:ascii="Calibri" w:hAnsi="Calibri"/>
          <w:b w:val="0"/>
          <w:sz w:val="22"/>
        </w:rPr>
        <w:t>27. Recruiting Exclusions</w:t>
      </w:r>
    </w:p>
    <w:p>
      <w:pPr>
        <w:pStyle w:val="Heading3"/>
        <w:keepNext/>
      </w:pPr>
      <w:r>
        <w:rPr>
          <w:rFonts w:ascii="Calibri" w:hAnsi="Calibri"/>
          <w:b w:val="0"/>
          <w:sz w:val="26"/>
        </w:rPr>
        <w:t>Oracle Fusion Learning Cloud — Assumptions V1.0</w:t>
      </w:r>
    </w:p>
    <w:p>
      <w:pPr>
        <w:pBdr>
          <w:bottom w:val="single" w:sz="4" w:space="1" w:color="CCCCCC"/>
        </w:pBdr>
        <w:spacing w:before="80" w:after="80"/>
      </w:pPr>
    </w:p>
    <w:p>
      <w:pPr>
        <w:pStyle w:val="Heading4"/>
        <w:keepNext/>
      </w:pPr>
      <w:r>
        <w:rPr>
          <w:rFonts w:ascii="Calibri" w:hAnsi="Calibri"/>
          <w:b w:val="0"/>
          <w:sz w:val="22"/>
        </w:rPr>
        <w:t>28. Learning Content Assumptions</w:t>
      </w:r>
    </w:p>
    <w:p>
      <w:pPr>
        <w:pBdr>
          <w:bottom w:val="single" w:sz="4" w:space="1" w:color="CCCCCC"/>
        </w:pBdr>
        <w:spacing w:before="80" w:after="80"/>
      </w:pPr>
    </w:p>
    <w:p>
      <w:pPr>
        <w:pStyle w:val="Heading4"/>
        <w:keepNext/>
      </w:pPr>
      <w:r>
        <w:rPr>
          <w:rFonts w:ascii="Calibri" w:hAnsi="Calibri"/>
          <w:b w:val="0"/>
          <w:sz w:val="22"/>
        </w:rPr>
        <w:t>29. Learning Platform Configuration</w:t>
      </w:r>
    </w:p>
    <w:p>
      <w:pPr>
        <w:pBdr>
          <w:bottom w:val="single" w:sz="4" w:space="1" w:color="CCCCCC"/>
        </w:pBdr>
        <w:spacing w:before="80" w:after="80"/>
      </w:pPr>
    </w:p>
    <w:p>
      <w:pPr>
        <w:pStyle w:val="Heading4"/>
        <w:keepNext/>
      </w:pPr>
      <w:r>
        <w:rPr>
          <w:rFonts w:ascii="Calibri" w:hAnsi="Calibri"/>
          <w:b w:val="0"/>
          <w:sz w:val="22"/>
        </w:rPr>
        <w:t>30. AI and Personalised Learning</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pBdr>
          <w:bottom w:val="single" w:sz="4" w:space="1" w:color="CCCCCC"/>
        </w:pBdr>
        <w:spacing w:before="80" w:after="80"/>
      </w:pPr>
    </w:p>
    <w:p>
      <w:pPr>
        <w:pStyle w:val="Heading4"/>
        <w:keepNext/>
      </w:pPr>
      <w:r>
        <w:rPr>
          <w:rFonts w:ascii="Calibri" w:hAnsi="Calibri"/>
          <w:b w:val="0"/>
          <w:sz w:val="22"/>
        </w:rPr>
        <w:t>33. Learning Data Migration</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pBdr>
          <w:bottom w:val="single" w:sz="4" w:space="1" w:color="CCCCCC"/>
        </w:pBdr>
        <w:spacing w:before="80" w:after="80"/>
      </w:pPr>
    </w:p>
    <w:p>
      <w:pPr>
        <w:pStyle w:val="Heading4"/>
        <w:keepNext/>
      </w:pPr>
      <w:r>
        <w:rPr>
          <w:rFonts w:ascii="Calibri" w:hAnsi="Calibri"/>
          <w:b w:val="0"/>
          <w:sz w:val="22"/>
        </w:rPr>
        <w:t>35. Learning Exclusions</w:t>
      </w:r>
    </w:p>
    <w:p>
      <w:pPr>
        <w:pStyle w:val="Heading3"/>
        <w:keepNext/>
      </w:pPr>
      <w:r>
        <w:rPr>
          <w:rFonts w:ascii="Calibri" w:hAnsi="Calibri"/>
          <w:b w:val="0"/>
          <w:sz w:val="26"/>
        </w:rPr>
        <w:t>Oracle Fusion Talent Management — Assumptions V1.0</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pBdr>
          <w:bottom w:val="single" w:sz="4" w:space="1" w:color="CCCCCC"/>
        </w:pBdr>
        <w:spacing w:before="80" w:after="80"/>
      </w:pPr>
    </w:p>
    <w:p>
      <w:pPr>
        <w:pStyle w:val="Heading4"/>
        <w:keepNext/>
      </w:pPr>
      <w:r>
        <w:rPr>
          <w:rFonts w:ascii="Calibri" w:hAnsi="Calibri"/>
          <w:b w:val="0"/>
          <w:sz w:val="22"/>
        </w:rPr>
        <w:t>37. Goal Management Assumptions</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pBdr>
          <w:bottom w:val="single" w:sz="4" w:space="1" w:color="CCCCCC"/>
        </w:pBdr>
        <w:spacing w:before="80" w:after="80"/>
      </w:pPr>
    </w:p>
    <w:p>
      <w:pPr>
        <w:pStyle w:val="Heading4"/>
        <w:keepNext/>
      </w:pPr>
      <w:r>
        <w:rPr>
          <w:rFonts w:ascii="Calibri" w:hAnsi="Calibri"/>
          <w:b w:val="0"/>
          <w:sz w:val="22"/>
        </w:rPr>
        <w:t>39. Career Development Assumptions</w:t>
      </w:r>
    </w:p>
    <w:p>
      <w:pPr>
        <w:pBdr>
          <w:bottom w:val="single" w:sz="4" w:space="1" w:color="CCCCCC"/>
        </w:pBdr>
        <w:spacing w:before="80" w:after="80"/>
      </w:pPr>
    </w:p>
    <w:p>
      <w:pPr>
        <w:pStyle w:val="Heading4"/>
        <w:keepNext/>
      </w:pPr>
      <w:r>
        <w:rPr>
          <w:rFonts w:ascii="Calibri" w:hAnsi="Calibri"/>
          <w:b w:val="0"/>
          <w:sz w:val="22"/>
        </w:rPr>
        <w:t>40. Talent Profile Assumptions</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pBdr>
          <w:bottom w:val="single" w:sz="4" w:space="1" w:color="CCCCCC"/>
        </w:pBdr>
        <w:spacing w:before="80" w:after="80"/>
      </w:pPr>
    </w:p>
    <w:p>
      <w:pPr>
        <w:pStyle w:val="Heading4"/>
        <w:keepNext/>
      </w:pPr>
      <w:r>
        <w:rPr>
          <w:rFonts w:ascii="Calibri" w:hAnsi="Calibri"/>
          <w:b w:val="0"/>
          <w:sz w:val="22"/>
        </w:rPr>
        <w:t>42. Talent Management Exclusions</w:t>
      </w:r>
    </w:p>
    <w:p>
      <w:pPr>
        <w:pStyle w:val="Heading3"/>
        <w:keepNext/>
      </w:pPr>
      <w:r>
        <w:rPr>
          <w:rFonts w:ascii="Calibri" w:hAnsi="Calibri"/>
          <w:b w:val="0"/>
          <w:sz w:val="26"/>
        </w:rPr>
        <w:t>Oracle Integration Cloud (OIC) — Assumptions V1.0</w:t>
      </w:r>
    </w:p>
    <w:p>
      <w:pPr>
        <w:pBdr>
          <w:bottom w:val="single" w:sz="4" w:space="1" w:color="CCCCCC"/>
        </w:pBdr>
        <w:spacing w:before="80" w:after="80"/>
      </w:pPr>
    </w:p>
    <w:p>
      <w:pPr>
        <w:pStyle w:val="Heading4"/>
        <w:keepNext/>
      </w:pPr>
      <w:r>
        <w:rPr>
          <w:rFonts w:ascii="Calibri" w:hAnsi="Calibri"/>
          <w:b w:val="0"/>
          <w:sz w:val="22"/>
        </w:rPr>
        <w:t>51. Scope Assumptions</w:t>
      </w:r>
    </w:p>
    <w:p>
      <w:pPr>
        <w:pBdr>
          <w:bottom w:val="single" w:sz="4" w:space="1" w:color="CCCCCC"/>
        </w:pBdr>
        <w:spacing w:before="80" w:after="80"/>
      </w:pPr>
    </w:p>
    <w:p>
      <w:pPr>
        <w:pStyle w:val="Heading4"/>
        <w:keepNext/>
      </w:pPr>
      <w:r>
        <w:rPr>
          <w:rFonts w:ascii="Calibri" w:hAnsi="Calibri"/>
          <w:b w:val="0"/>
          <w:sz w:val="22"/>
        </w:rPr>
        <w:t>52. Integration Design Assumptions</w:t>
      </w:r>
    </w:p>
    <w:p>
      <w:pPr>
        <w:pBdr>
          <w:bottom w:val="single" w:sz="4" w:space="1" w:color="CCCCCC"/>
        </w:pBdr>
        <w:spacing w:before="80" w:after="80"/>
      </w:pPr>
    </w:p>
    <w:p>
      <w:pPr>
        <w:pStyle w:val="Heading4"/>
        <w:keepNext/>
      </w:pPr>
      <w:r>
        <w:rPr>
          <w:rFonts w:ascii="Calibri" w:hAnsi="Calibri"/>
          <w:b w:val="0"/>
          <w:sz w:val="22"/>
        </w:rPr>
        <w:t>53. Endpoint Assumptions</w:t>
      </w:r>
    </w:p>
    <w:p>
      <w:pPr>
        <w:pBdr>
          <w:bottom w:val="single" w:sz="4" w:space="1" w:color="CCCCCC"/>
        </w:pBdr>
        <w:spacing w:before="80" w:after="80"/>
      </w:pPr>
    </w:p>
    <w:p>
      <w:pPr>
        <w:pStyle w:val="Heading4"/>
        <w:keepNext/>
      </w:pPr>
      <w:r>
        <w:rPr>
          <w:rFonts w:ascii="Calibri" w:hAnsi="Calibri"/>
          <w:b w:val="0"/>
          <w:sz w:val="22"/>
        </w:rPr>
        <w:t>54. Security Assumptions</w:t>
      </w:r>
    </w:p>
    <w:p>
      <w:pPr>
        <w:pBdr>
          <w:bottom w:val="single" w:sz="4" w:space="1" w:color="CCCCCC"/>
        </w:pBdr>
        <w:spacing w:before="80" w:after="80"/>
      </w:pPr>
    </w:p>
    <w:p>
      <w:pPr>
        <w:pStyle w:val="Heading4"/>
        <w:keepNext/>
      </w:pPr>
      <w:r>
        <w:rPr>
          <w:rFonts w:ascii="Calibri" w:hAnsi="Calibri"/>
          <w:b w:val="0"/>
          <w:sz w:val="22"/>
        </w:rPr>
        <w:t>55. Certificate Assumptions</w:t>
      </w:r>
    </w:p>
    <w:p>
      <w:pPr>
        <w:pBdr>
          <w:bottom w:val="single" w:sz="4" w:space="1" w:color="CCCCCC"/>
        </w:pBdr>
        <w:spacing w:before="80" w:after="80"/>
      </w:pPr>
    </w:p>
    <w:p>
      <w:pPr>
        <w:pStyle w:val="Heading4"/>
        <w:keepNext/>
      </w:pPr>
      <w:r>
        <w:rPr>
          <w:rFonts w:ascii="Calibri" w:hAnsi="Calibri"/>
          <w:b w:val="0"/>
          <w:sz w:val="22"/>
        </w:rPr>
        <w:t>56. Data Mapping Assumptions</w:t>
      </w:r>
    </w:p>
    <w:p>
      <w:pPr>
        <w:pBdr>
          <w:bottom w:val="single" w:sz="4" w:space="1" w:color="CCCCCC"/>
        </w:pBdr>
        <w:spacing w:before="80" w:after="80"/>
      </w:pPr>
    </w:p>
    <w:p>
      <w:pPr>
        <w:pStyle w:val="Heading4"/>
        <w:keepNext/>
      </w:pPr>
      <w:r>
        <w:rPr>
          <w:rFonts w:ascii="Calibri" w:hAnsi="Calibri"/>
          <w:b w:val="0"/>
          <w:sz w:val="22"/>
        </w:rPr>
        <w:t>57. Testing Assumptions</w:t>
      </w:r>
    </w:p>
    <w:p>
      <w:pPr>
        <w:pBdr>
          <w:bottom w:val="single" w:sz="4" w:space="1" w:color="CCCCCC"/>
        </w:pBdr>
        <w:spacing w:before="80" w:after="80"/>
      </w:pPr>
    </w:p>
    <w:p>
      <w:pPr>
        <w:pStyle w:val="Heading4"/>
        <w:keepNext/>
      </w:pPr>
      <w:r>
        <w:rPr>
          <w:rFonts w:ascii="Calibri" w:hAnsi="Calibri"/>
          <w:b w:val="0"/>
          <w:sz w:val="22"/>
        </w:rPr>
        <w:t>58. Performance Assumptions</w:t>
      </w:r>
    </w:p>
    <w:p>
      <w:pPr>
        <w:pBdr>
          <w:bottom w:val="single" w:sz="4" w:space="1" w:color="CCCCCC"/>
        </w:pBdr>
        <w:spacing w:before="80" w:after="80"/>
      </w:pPr>
    </w:p>
    <w:p>
      <w:pPr>
        <w:pStyle w:val="Heading4"/>
        <w:keepNext/>
      </w:pPr>
      <w:r>
        <w:rPr>
          <w:rFonts w:ascii="Calibri" w:hAnsi="Calibri"/>
          <w:b w:val="0"/>
          <w:sz w:val="22"/>
        </w:rPr>
        <w:t>59. Cutover Assumptions</w:t>
      </w:r>
    </w:p>
    <w:p>
      <w:pPr>
        <w:pBdr>
          <w:bottom w:val="single" w:sz="4" w:space="1" w:color="CCCCCC"/>
        </w:pBdr>
        <w:spacing w:before="80" w:after="80"/>
      </w:pPr>
    </w:p>
    <w:p>
      <w:pPr>
        <w:pStyle w:val="Heading4"/>
        <w:keepNext/>
      </w:pPr>
      <w:r>
        <w:rPr>
          <w:rFonts w:ascii="Calibri" w:hAnsi="Calibri"/>
          <w:b w:val="0"/>
          <w:sz w:val="22"/>
        </w:rPr>
        <w:t>60. Monitoring Assumptions</w:t>
      </w:r>
    </w:p>
    <w:p>
      <w:pPr>
        <w:pBdr>
          <w:bottom w:val="single" w:sz="4" w:space="1" w:color="CCCCCC"/>
        </w:pBdr>
        <w:spacing w:before="80" w:after="80"/>
      </w:pPr>
    </w:p>
    <w:p>
      <w:pPr>
        <w:pStyle w:val="Heading4"/>
        <w:keepNext/>
      </w:pPr>
      <w:r>
        <w:rPr>
          <w:rFonts w:ascii="Calibri" w:hAnsi="Calibri"/>
          <w:b w:val="0"/>
          <w:sz w:val="22"/>
        </w:rPr>
        <w:t>61. Support Assumptions</w:t>
      </w:r>
    </w:p>
    <w:p>
      <w:pPr>
        <w:pBdr>
          <w:bottom w:val="single" w:sz="4" w:space="1" w:color="CCCCCC"/>
        </w:pBdr>
        <w:spacing w:before="80" w:after="80"/>
      </w:pPr>
    </w:p>
    <w:p>
      <w:pPr>
        <w:pStyle w:val="Heading4"/>
        <w:keepNext/>
      </w:pPr>
      <w:r>
        <w:rPr>
          <w:rFonts w:ascii="Calibri" w:hAnsi="Calibri"/>
          <w:b w:val="0"/>
          <w:sz w:val="22"/>
        </w:rPr>
        <w:t>62. Customer Responsibilities</w:t>
      </w:r>
    </w:p>
    <w:p>
      <w:pPr>
        <w:pBdr>
          <w:bottom w:val="single" w:sz="4" w:space="1" w:color="CCCCCC"/>
        </w:pBdr>
        <w:spacing w:before="80" w:after="80"/>
      </w:pPr>
    </w:p>
    <w:p>
      <w:pPr>
        <w:pStyle w:val="Heading4"/>
        <w:keepNext/>
      </w:pPr>
      <w:r>
        <w:rPr>
          <w:rFonts w:ascii="Calibri" w:hAnsi="Calibri"/>
          <w:b w:val="0"/>
          <w:sz w:val="22"/>
        </w:rPr>
        <w:t>63. Dependencies</w:t>
      </w:r>
    </w:p>
    <w:p>
      <w:pPr>
        <w:pBdr>
          <w:bottom w:val="single" w:sz="4" w:space="1" w:color="CCCCCC"/>
        </w:pBdr>
        <w:spacing w:before="80" w:after="80"/>
      </w:pPr>
    </w:p>
    <w:p>
      <w:pPr>
        <w:pStyle w:val="Heading4"/>
        <w:keepNext/>
      </w:pPr>
      <w:r>
        <w:rPr>
          <w:rFonts w:ascii="Calibri" w:hAnsi="Calibri"/>
          <w:b w:val="0"/>
          <w:sz w:val="22"/>
        </w:rPr>
        <w:t>64. Constraints</w:t>
      </w:r>
    </w:p>
    <w:p>
      <w:pPr>
        <w:pBdr>
          <w:bottom w:val="single" w:sz="4" w:space="1" w:color="CCCCCC"/>
        </w:pBdr>
        <w:spacing w:before="80" w:after="80"/>
      </w:pPr>
    </w:p>
    <w:p>
      <w:pPr>
        <w:pStyle w:val="Heading4"/>
        <w:keepNext/>
      </w:pPr>
      <w:r>
        <w:rPr>
          <w:rFonts w:ascii="Calibri" w:hAnsi="Calibri"/>
          <w:b w:val="0"/>
          <w:sz w:val="22"/>
        </w:rPr>
        <w:t>65. Exclusions</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pBdr>
          <w:bottom w:val="single" w:sz="4" w:space="1" w:color="CCCCCC"/>
        </w:pBdr>
        <w:spacing w:before="80" w:after="80"/>
      </w:pPr>
    </w:p>
    <w:p>
      <w:pPr>
        <w:spacing w:before="0" w:after="0"/>
      </w:pPr>
      <w:r>
        <w:br w:type="page"/>
      </w:r>
    </w:p>
    <w:p>
      <w:pPr>
        <w:pStyle w:val="Heading2"/>
        <w:keepNext/>
      </w:pPr>
      <w:r>
        <w:rPr>
          <w:rFonts w:ascii="Calibri" w:hAnsi="Calibri"/>
          <w:b w:val="0"/>
          <w:sz w:val="32"/>
        </w:rPr>
        <w:t>Appendix D — Reference Projects ✎</w:t>
      </w:r>
    </w:p>
    <w:tbl>
      <w:tblPr>
        <w:tblStyle w:val="TableGrid"/>
        <w:tblW w:type="auto" w:w="0"/>
        <w:tblLook w:firstColumn="1" w:firstRow="1" w:lastColumn="0" w:lastRow="0" w:noHBand="0" w:noVBand="1" w:val="04A0"/>
      </w:tblPr>
      <w:tblGrid>
        <w:gridCol w:w="9026"/>
      </w:tblGrid>
      <w:tr>
        <w:tc>
          <w:tcPr>
            <w:tcW w:type="dxa" w:w="9026"/>
            <w:shd w:val="clear" w:color="auto" w:fill="EAF4FF"/>
            <w:tcBorders>
              <w:top w:val="single" w:sz="6" w:space="0" w:color="0070C0"/>
              <w:left w:val="single" w:sz="6" w:space="0" w:color="0070C0"/>
              <w:bottom w:val="single" w:sz="6" w:space="0" w:color="0070C0"/>
              <w:right w:val="single" w:sz="6" w:space="0" w:color="0070C0"/>
            </w:tcBorders>
          </w:tcPr>
          <w:p>
            <w:pPr>
              <w:spacing w:before="60" w:after="60"/>
            </w:pPr>
            <w:r>
              <w:rPr>
                <w:rFonts w:ascii="Calibri" w:hAnsi="Calibri"/>
                <w:i/>
                <w:color w:val="707070"/>
                <w:sz w:val="19"/>
              </w:rPr>
              <w:t>Authored content. Review for accuracy before submission.</w:t>
            </w:r>
          </w:p>
        </w:tc>
      </w:tr>
    </w:tbl>
    <w:p>
      <w:pPr>
        <w:spacing w:after="80"/>
      </w:pPr>
    </w:p>
    <w:p>
      <w:pPr/>
      <w:r>
        <w:rPr>
          <w:rFonts w:ascii="Calibri" w:hAnsi="Calibri"/>
          <w:b w:val="0"/>
          <w:sz w:val="22"/>
        </w:rPr>
        <w:t>The following summarises APPSolve's most relevant Oracle HCM Cloud reference projects. Reference letters and client contacts are available on request, subject to individual client approval. Contact your APPSolve Account Manager.</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Oracle HCM Scope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[Pending AM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Gaming &amp; Entertainment — South Africa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Recruiting Cloud, Learning Cloud, HR Help Desk, Employee Relations, OIC Payroll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 7,000+ employees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on request]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South Africa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Talent Management, Performance Management, Goals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Agribusiness — South Africa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Recruiting Cloud, Learning Cloud, Talent Management, OIC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in progress</w:t>
            </w:r>
          </w:p>
        </w:tc>
      </w:tr>
    </w:tbl>
    <w:p>
      <w:pPr>
        <w:spacing w:before="0" w:after="120"/>
      </w:pPr>
    </w:p>
    <w:p>
      <w:pPr>
        <w:pStyle w:val="Heading3"/>
        <w:keepNext/>
      </w:pPr>
      <w:r>
        <w:rPr>
          <w:rFonts w:ascii="Calibri" w:hAnsi="Calibri"/>
          <w:b w:val="0"/>
          <w:sz w:val="26"/>
        </w:rPr>
        <w:t>Additional Delivery Evidence</w:t>
      </w:r>
    </w:p>
    <w:p>
      <w:pPr/>
      <w:r>
        <w:rPr>
          <w:rFonts w:ascii="Calibri" w:hAnsi="Calibri"/>
          <w:b w:val="0"/>
          <w:sz w:val="22"/>
        </w:rPr>
        <w:t>_Client reference letters are provided on a per-tender basis, subject to individual client approval per APPSolve Account Manager. Full reference details available on request._</w:t>
      </w:r>
    </w:p>
    <w:p>
      <w:pPr>
        <w:spacing w:before="0" w:after="0"/>
      </w:pPr>
      <w:r>
        <w:br w:type="page"/>
      </w:r>
    </w:p>
    <w:p>
      <w:pPr>
        <w:pStyle w:val="Heading2"/>
        <w:keepNext/>
      </w:pPr>
      <w:r>
        <w:rPr>
          <w:rFonts w:ascii="Calibri" w:hAnsi="Calibri"/>
          <w:b w:val="0"/>
          <w:sz w:val="32"/>
        </w:rPr>
        <w:t>Appendix E — Glossary ✎</w:t>
      </w:r>
    </w:p>
    <w:tbl>
      <w:tblPr>
        <w:tblStyle w:val="TableGrid"/>
        <w:tblW w:type="auto" w:w="0"/>
        <w:tblLook w:firstColumn="1" w:firstRow="1" w:lastColumn="0" w:lastRow="0" w:noHBand="0" w:noVBand="1" w:val="04A0"/>
      </w:tblPr>
      <w:tblGrid>
        <w:gridCol w:w="9026"/>
      </w:tblGrid>
      <w:tr>
        <w:tc>
          <w:tcPr>
            <w:tcW w:type="dxa" w:w="9026"/>
            <w:shd w:val="clear" w:color="auto" w:fill="EAF4FF"/>
            <w:tcBorders>
              <w:top w:val="single" w:sz="6" w:space="0" w:color="0070C0"/>
              <w:left w:val="single" w:sz="6" w:space="0" w:color="0070C0"/>
              <w:bottom w:val="single" w:sz="6" w:space="0" w:color="0070C0"/>
              <w:right w:val="single" w:sz="6" w:space="0" w:color="0070C0"/>
            </w:tcBorders>
          </w:tcPr>
          <w:p>
            <w:pPr>
              <w:spacing w:before="60" w:after="60"/>
            </w:pPr>
            <w:r>
              <w:rPr>
                <w:rFonts w:ascii="Calibri" w:hAnsi="Calibri"/>
                <w:i/>
                <w:color w:val="707070"/>
                <w:sz w:val="19"/>
              </w:rPr>
              <w:t>Authored content. Review for accuracy before submission.</w:t>
            </w:r>
          </w:p>
        </w:tc>
      </w:tr>
    </w:tbl>
    <w:p>
      <w:pPr>
        <w:spacing w:after="80"/>
      </w:pPr>
    </w:p>
    <w:p>
      <w:pPr/>
      <w:r>
        <w:rPr>
          <w:rFonts w:ascii="Calibri" w:hAnsi="Calibri"/>
          <w:b w:val="0"/>
          <w:sz w:val="22"/>
        </w:rPr>
        <w:t>Key terms used in this proposal.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Term</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Definition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Human Capital Management — Oracle Cloud suite covering Core HR, Talent, Learning, Compensation, and Absence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 Oracle's cloud middleware and integration platform for connecting systems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 Oracle's SaaS talent acquisition and recruitment module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 embedded analytics and reporting within Oracle Fusion Cloud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Conference Room Prototype — structured configuration demonstration session with client stakeholders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Acceptance Testing — client-led testing phase validating system configuration against business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Risks, Assumptions, Issues, Dependencies — APPSolve's standard project tracking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Application Managed Services — post-go-live support, optimisation, and Oracle quarterly update management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Network — Oracle's partner programme; APPSolve is a Level 1 OPN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Software as a Service — Oracle-managed cloud delivery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Unified Method — Oracle's implementation methodology; APPSolve's basis for all cloud engagements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Statement of Work — contractual document defining scope, timeline, and commercial terms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Request — formal scope change process with commercial and timeline impact assessment</w:t>
            </w:r>
          </w:p>
        </w:tc>
      </w:tr>
    </w:tbl>
    <w:p>
      <w:pPr>
        <w:spacing w:before="0" w:after="120"/>
      </w:pP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INTERNAL REVIEW V4</w:t>
    </w:r>
    <w:r>
      <w:rPr>
        <w:sz w:val="18"/>
      </w:rPr>
      <w:tab/>
    </w:r>
    <w:r>
      <w:rPr>
        <w:rFonts w:ascii="Calibri" w:hAnsi="Calibri"/>
        <w:color w:val="808080"/>
        <w:sz w:val="18"/>
      </w:rPr>
      <w:t>Oracle HCM — PLENNEGY-HCM-001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