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00467F"/>
          <w:sz w:val="44"/>
        </w:rPr>
        <w:t>APPSolve — V3 Proposal Internal Review Workbook</w:t>
      </w:r>
    </w:p>
    <w:p>
      <w:pPr>
        <w:spacing w:after="480"/>
        <w:jc w:val="center"/>
      </w:pPr>
      <w:r>
        <w:rPr>
          <w:rFonts w:ascii="Calibri" w:hAnsi="Calibri"/>
          <w:color w:val="0070C0"/>
          <w:sz w:val="24"/>
        </w:rPr>
        <w:t>PLENNEGY-HCM-001  |  Oracle HCM Cloud  |  2026-06-30</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D4EDDA"/>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5</w:t>
              <w:br/>
              <w:t>RENDERED</w:t>
            </w:r>
          </w:p>
        </w:tc>
        <w:tc>
          <w:tcPr>
            <w:tcW w:type="dxa" w:w="1805"/>
            <w:shd w:val="clear" w:color="auto" w:fill="E8F3E8"/>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4</w:t>
              <w:br/>
              <w:t>AUTHORED</w:t>
            </w:r>
          </w:p>
        </w:tc>
        <w:tc>
          <w:tcPr>
            <w:tcW w:type="dxa" w:w="1805"/>
            <w:shd w:val="clear" w:color="auto" w:fill="F8D7DA"/>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1</w:t>
              <w:br/>
              <w:t>PLACEHOLDER</w:t>
            </w:r>
          </w:p>
        </w:tc>
        <w:tc>
          <w:tcPr>
            <w:tcW w:type="dxa" w:w="1805"/>
            <w:shd w:val="clear" w:color="auto" w:fill="FFF3CD"/>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3</w:t>
              <w:br/>
              <w:t>AI-DRAFT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13</w:t>
              <w:br/>
              <w:t>TOTAL</w:t>
            </w:r>
          </w:p>
        </w:tc>
      </w:tr>
    </w:tbl>
    <w:p>
      <w:pPr>
        <w:spacing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**Internal Use Only — V3 Draft Review Workbook.**</w:t>
            </w:r>
            <w:r>
              <w:rPr>
                <w:rFonts w:ascii="Calibri" w:hAnsi="Calibri"/>
                <w:b w:val="0"/>
                <w:sz w:val="20"/>
              </w:rPr>
              <w:t xml:space="preserve"> Complete all PLACEHOLDER and AI-DRAFT sections before generating CLIENT profile. Do not distribute to clients or external parties.</w:t>
            </w:r>
          </w:p>
        </w:tc>
      </w:tr>
    </w:tbl>
    <w:p>
      <w:pPr>
        <w:spacing w:before="0" w:after="120"/>
      </w:pPr>
    </w:p>
    <w:p>
      <w:pPr>
        <w:spacing w:before="0" w:after="0"/>
      </w:pPr>
      <w:r>
        <w:br w:type="page"/>
      </w:r>
    </w:p>
    <w:p>
      <w:pPr>
        <w:pStyle w:val="Heading1"/>
        <w:spacing w:before="0"/>
      </w:pPr>
      <w:r>
        <w:t>Action Register — Sections Requiring Completion</w:t>
      </w:r>
    </w:p>
    <w:p>
      <w:pPr/>
      <w:r>
        <w:rPr>
          <w:rFonts w:ascii="Calibri" w:hAnsi="Calibri"/>
          <w:b w:val="0"/>
          <w:sz w:val="22"/>
        </w:rPr>
        <w:t>Complete these sections before generating CLIENT profile.</w:t>
      </w:r>
    </w:p>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Owner</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P0 — URGENT</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B-BBEE Certificate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Renew B-BBEE cert before 2026-07-31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Finance Director</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 Executive Summary</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AI-Draft + BU Lead review required</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 Understanding of Plennegy's Requirements</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AI-Draft + BU Lead review required</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8. Key Risks and Mitigations</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AI-Draft + BU Lead review required</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P1–P2</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 Proposed Oracle HCM Solution</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Human input required — see section detail</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AM / BU Lead</w:t>
            </w:r>
          </w:p>
        </w:tc>
      </w:tr>
    </w:tbl>
    <w:p>
      <w:pPr>
        <w:spacing w:before="0" w:after="0"/>
      </w:pPr>
      <w:r>
        <w:br w:type="page"/>
      </w:r>
    </w:p>
    <w:p>
      <w:pPr>
        <w:pStyle w:val="Heading1"/>
        <w:spacing w:before="0"/>
      </w:pPr>
      <w:r>
        <w:t>V3 Section → V2 Source Mapping</w:t>
      </w:r>
    </w:p>
    <w:p>
      <w:pPr/>
      <w:r>
        <w:rPr>
          <w:rFonts w:ascii="Calibri" w:hAnsi="Calibri"/>
          <w:b w:val="0"/>
          <w:sz w:val="22"/>
        </w:rPr>
        <w:t>Shows how each V3 section was assembled from V2 rendered content.</w:t>
      </w:r>
    </w:p>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V3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V2 Sources</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1. Executive Summary</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AI_DRAFT</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passthrough</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Executive Summary</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2. Understanding of Plennegy's Requirements</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AI_DRAFT</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passthrough</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Understanding of Requirements</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3. Proposed Oracle HCM Solution</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passthrough</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Proposed Solution Overview</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4. Why APPSolve</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full_multi</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Company Overview; Company History; Awards and Recognition; Delivery Model; Geographic Presence; Key Differentiators; Oracle Partnership</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5. Delivery Approach</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full</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Implementation Methodology</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6. Project Governance</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7. Key Assumptions</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authored_with_excerpt</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Key Assumptions (Body Section)</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8. Key Risks and Mitigations</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AI_DRAFT</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passthrough</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Risk Register</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9. Commercial Inputs Required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10. Next Steps</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Authored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Appendix A — Detailed Oracle HCM Capability</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full_multi</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Oracle Fusion HCM Capability; Oracle Fusion ERP Capability; Oracle OIC / Integration Capability</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Appendix B — Assumptions Register</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full</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Complete Assumption Schedule</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Appendix C — Reference Detail</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passthrough</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8"/>
              </w:rPr>
              <w:t>Client References</w:t>
            </w:r>
          </w:p>
        </w:tc>
      </w:tr>
    </w:tbl>
    <w:p>
      <w:pPr>
        <w:spacing w:before="0" w:after="0"/>
      </w:pPr>
      <w:r>
        <w:br w:type="page"/>
      </w:r>
    </w:p>
    <w:p>
      <w:pPr>
        <w:spacing w:before="0" w:after="0"/>
      </w:pPr>
      <w:r>
        <w:br w:type="page"/>
      </w:r>
    </w:p>
    <w:p>
      <w:pPr>
        <w:pStyle w:val="Heading2"/>
        <w:keepNext/>
      </w:pPr>
      <w:r>
        <w:rPr>
          <w:rFonts w:ascii="Calibri" w:hAnsi="Calibri"/>
          <w:b w:val="0"/>
          <w:sz w:val="32"/>
        </w:rPr>
        <w:t>1. Executive Summary ✏</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8" w:space="0" w:color="CC0000"/>
              <w:left w:val="single" w:sz="8" w:space="0" w:color="CC0000"/>
              <w:bottom w:val="single" w:sz="8" w:space="0" w:color="CC0000"/>
              <w:right w:val="single" w:sz="8" w:space="0" w:color="CC0000"/>
            </w:tcBorders>
          </w:tcPr>
          <w:p>
            <w:pPr>
              <w:spacing w:before="80" w:after="40"/>
            </w:pPr>
            <w:r>
              <w:rPr>
                <w:rFonts w:ascii="Calibri" w:hAnsi="Calibri"/>
                <w:b/>
                <w:sz w:val="20"/>
              </w:rPr>
              <w:t>⚠  AI-DRAFT REQUIRED — Generate and BU Lead review before submission</w:t>
            </w:r>
          </w:p>
          <w:p>
            <w:pPr>
              <w:spacing w:before="0" w:after="40"/>
            </w:pPr>
            <w:r>
              <w:rPr>
                <w:rFonts w:ascii="Calibri" w:hAnsi="Calibri"/>
                <w:sz w:val="19"/>
              </w:rPr>
              <w:t>1. Executive Summary</w:t>
            </w:r>
          </w:p>
          <w:p>
            <w:pPr>
              <w:spacing w:before="0" w:after="80"/>
            </w:pPr>
            <w:r>
              <w:rPr>
                <w:rFonts w:ascii="Calibri" w:hAnsi="Calibri"/>
                <w:i/>
                <w:color w:val="707070"/>
                <w:sz w:val="18"/>
              </w:rPr>
              <w:t>Owner: BU Lead</w:t>
            </w:r>
          </w:p>
        </w:tc>
      </w:tr>
    </w:tbl>
    <w:p>
      <w:pPr>
        <w:spacing w:after="120"/>
      </w:pPr>
    </w:p>
    <w:p>
      <w:pPr>
        <w:spacing w:before="0" w:after="60"/>
      </w:pPr>
      <w:r>
        <w:rPr>
          <w:rFonts w:ascii="Calibri" w:hAnsi="Calibri"/>
          <w:i/>
          <w:color w:val="707070"/>
          <w:sz w:val="17"/>
        </w:rPr>
        <w:t>⚙  Governance: Never use Candidate_Content/ or Review_Required/ in any tender</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Executive Summary</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tailor to tender-specific win themes*</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rPr>
          <w:rFonts w:ascii="Calibri" w:hAnsi="Calibri"/>
          <w:b w:val="0"/>
          <w:sz w:val="32"/>
        </w:rPr>
        <w:t>2. Understanding of Plennegy's Requirements ✏</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8" w:space="0" w:color="CC0000"/>
              <w:left w:val="single" w:sz="8" w:space="0" w:color="CC0000"/>
              <w:bottom w:val="single" w:sz="8" w:space="0" w:color="CC0000"/>
              <w:right w:val="single" w:sz="8" w:space="0" w:color="CC0000"/>
            </w:tcBorders>
          </w:tcPr>
          <w:p>
            <w:pPr>
              <w:spacing w:before="80" w:after="40"/>
            </w:pPr>
            <w:r>
              <w:rPr>
                <w:rFonts w:ascii="Calibri" w:hAnsi="Calibri"/>
                <w:b/>
                <w:sz w:val="20"/>
              </w:rPr>
              <w:t>⚠  AI-DRAFT REQUIRED — Generate and BU Lead review before submission</w:t>
            </w:r>
          </w:p>
          <w:p>
            <w:pPr>
              <w:spacing w:before="0" w:after="40"/>
            </w:pPr>
            <w:r>
              <w:rPr>
                <w:rFonts w:ascii="Calibri" w:hAnsi="Calibri"/>
                <w:sz w:val="19"/>
              </w:rPr>
              <w:t>2. Understanding of Plennegy's Requirements</w:t>
            </w:r>
          </w:p>
          <w:p>
            <w:pPr>
              <w:spacing w:before="0" w:after="80"/>
            </w:pPr>
            <w:r>
              <w:rPr>
                <w:rFonts w:ascii="Calibri" w:hAnsi="Calibri"/>
                <w:i/>
                <w:color w:val="707070"/>
                <w:sz w:val="18"/>
              </w:rPr>
              <w:t>Owner: BU Lead</w:t>
            </w:r>
          </w:p>
        </w:tc>
      </w:tr>
    </w:tbl>
    <w:p>
      <w:pPr>
        <w:spacing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Understanding of Requirements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drawn from tender RFP/RFQ document*</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rPr>
          <w:rFonts w:ascii="Calibri" w:hAnsi="Calibri"/>
          <w:b w:val="0"/>
          <w:sz w:val="32"/>
        </w:rPr>
        <w:t>3. Proposed Oracle HCM Solution ⚠</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8" w:space="0" w:color="CC0000"/>
              <w:left w:val="single" w:sz="8" w:space="0" w:color="CC0000"/>
              <w:bottom w:val="single" w:sz="8" w:space="0" w:color="CC0000"/>
              <w:right w:val="single" w:sz="8" w:space="0" w:color="CC0000"/>
            </w:tcBorders>
          </w:tcPr>
          <w:p>
            <w:pPr>
              <w:spacing w:before="80" w:after="40"/>
            </w:pPr>
            <w:r>
              <w:rPr>
                <w:rFonts w:ascii="Calibri" w:hAnsi="Calibri"/>
                <w:b/>
                <w:sz w:val="20"/>
              </w:rPr>
              <w:t>⚠  PLACEHOLDER — Human action required</w:t>
            </w:r>
          </w:p>
          <w:p>
            <w:pPr>
              <w:spacing w:before="0" w:after="40"/>
            </w:pPr>
            <w:r>
              <w:rPr>
                <w:rFonts w:ascii="Calibri" w:hAnsi="Calibri"/>
                <w:sz w:val="19"/>
              </w:rPr>
              <w:t>3. Proposed Oracle HCM Solution</w:t>
            </w:r>
          </w:p>
          <w:p>
            <w:pPr>
              <w:spacing w:before="0" w:after="80"/>
            </w:pPr>
            <w:r>
              <w:rPr>
                <w:rFonts w:ascii="Calibri" w:hAnsi="Calibri"/>
                <w:i/>
                <w:color w:val="707070"/>
                <w:sz w:val="18"/>
              </w:rPr>
              <w:t>Owner: Account Manager / BU Lead</w:t>
            </w:r>
          </w:p>
        </w:tc>
      </w:tr>
    </w:tbl>
    <w:p>
      <w:pPr>
        <w:spacing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Proposed Solution Overview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merged content for coherence across modules</w:t>
            </w:r>
          </w:p>
        </w:tc>
      </w:tr>
    </w:tbl>
    <w:p>
      <w:pPr>
        <w:spacing w:before="0" w:after="120"/>
      </w:pPr>
    </w:p>
    <w:p>
      <w:pPr>
        <w:spacing w:before="0" w:after="0"/>
      </w:pPr>
      <w:r>
        <w:br w:type="page"/>
      </w:r>
    </w:p>
    <w:p>
      <w:pPr>
        <w:pStyle w:val="Heading2"/>
        <w:keepNext/>
      </w:pPr>
      <w:r>
        <w:rPr>
          <w:rFonts w:ascii="Calibri" w:hAnsi="Calibri"/>
          <w:b w:val="0"/>
          <w:sz w:val="32"/>
        </w:rPr>
        <w:t>4. Why APPSolve ✓</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p>
      <w:pPr>
        <w:spacing w:before="0" w:after="0"/>
      </w:pPr>
      <w:r>
        <w:br w:type="page"/>
      </w:r>
    </w:p>
    <w:p>
      <w:pPr>
        <w:pStyle w:val="Heading2"/>
        <w:keepNext/>
      </w:pPr>
      <w:r>
        <w:rPr>
          <w:rFonts w:ascii="Calibri" w:hAnsi="Calibri"/>
          <w:b w:val="0"/>
          <w:sz w:val="32"/>
        </w:rPr>
        <w:t>5. Delivery Approach ✓</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pStyle w:val="Heading3"/>
        <w:keepNext/>
      </w:pPr>
      <w:r>
        <w:rPr>
          <w:rFonts w:ascii="Calibri" w:hAnsi="Calibri"/>
          <w:b w:val="0"/>
          <w:sz w:val="26"/>
        </w:rPr>
        <w:t>Scope of Work — Inclusions</w:t>
      </w:r>
    </w:p>
    <w:p>
      <w:pPr>
        <w:pStyle w:val="Heading3"/>
        <w:keepNext/>
      </w:pPr>
      <w:r>
        <w:rPr>
          <w:rFonts w:ascii="Calibri" w:hAnsi="Calibri"/>
          <w:b w:val="0"/>
          <w:sz w:val="26"/>
        </w:rPr>
        <w:t>Scope of Work — Exclusions</w:t>
      </w:r>
    </w:p>
    <w:p>
      <w:pPr>
        <w:pStyle w:val="Heading3"/>
        <w:keepNext/>
      </w:pPr>
      <w:r>
        <w:rPr>
          <w:rFonts w:ascii="Calibri" w:hAnsi="Calibri"/>
          <w:b w:val="0"/>
          <w:sz w:val="26"/>
        </w:rPr>
        <w:t>Deliverables</w:t>
      </w:r>
    </w:p>
    <w:p>
      <w:pPr>
        <w:pStyle w:val="Heading3"/>
        <w:keepNext/>
      </w:pPr>
      <w:r>
        <w:rPr>
          <w:rFonts w:ascii="Calibri" w:hAnsi="Calibri"/>
          <w:b w:val="0"/>
          <w:sz w:val="26"/>
        </w:rPr>
        <w:t>Dependencies</w:t>
      </w:r>
    </w:p>
    <w:p>
      <w:pPr>
        <w:spacing w:before="0" w:after="0"/>
      </w:pPr>
      <w:r>
        <w:br w:type="page"/>
      </w:r>
    </w:p>
    <w:p>
      <w:pPr>
        <w:pStyle w:val="Heading2"/>
        <w:keepNext/>
      </w:pPr>
      <w:r>
        <w:rPr>
          <w:rFonts w:ascii="Calibri" w:hAnsi="Calibri"/>
          <w:b w:val="0"/>
          <w:sz w:val="32"/>
        </w:rPr>
        <w:t>6. Project Governance ✎</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**Authored Content:**</w:t>
            </w:r>
            <w:r>
              <w:rPr>
                <w:rFonts w:ascii="Calibri" w:hAnsi="Calibri"/>
                <w:b w:val="0"/>
                <w:sz w:val="20"/>
              </w:rPr>
              <w:t xml:space="preserve"> This section uses shaper-authored narrative. Review for accuracy before submission.</w:t>
            </w:r>
          </w:p>
        </w:tc>
      </w:tr>
    </w:tbl>
    <w:p>
      <w:pPr>
        <w:spacing w:before="0" w:after="120"/>
      </w:pPr>
    </w:p>
    <w:p>
      <w:pPr/>
      <w:r>
        <w:rPr>
          <w:rFonts w:ascii="Calibri" w:hAnsi="Calibri"/>
          <w:b w:val="0"/>
          <w:sz w:val="22"/>
        </w:rPr>
        <w:t>APPSolve's project governance model establishes clear accountability at every level of the engagement. The framework provides effective oversight, rapid decision-making, and transparent risk management throughout the implementation lifecycle.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Layer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Participants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Executive Sponsor, APPSolve 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decisions, scope authority, escalation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Joint Project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PM, APPSolve PM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tracking, risk management, actions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Workstream Reviews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 Technical Leads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status, CRP planning, design decisions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Control Board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 required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PM, BU Lead, Commercial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request review, impact assessment, approval</w:t>
            </w:r>
          </w:p>
        </w:tc>
      </w:tr>
    </w:tbl>
    <w:p>
      <w:pPr>
        <w:spacing w:before="0" w:after="120"/>
      </w:pPr>
    </w:p>
    <w:p>
      <w:pPr/>
      <w:r>
        <w:rPr>
          <w:rFonts w:ascii="Calibri" w:hAnsi="Calibri"/>
          <w:b w:val="0"/>
          <w:sz w:val="22"/>
        </w:rPr>
        <w:t>APPSolve provides a dedicated Project Manager and BU Lead for the engagement. A weekly progress report is issued to all stakeholders covering RAG status by workstream, upcoming milestones, open risks, and pending client decisions. All scope changes are processed through a formal Change Request with documented commercial and timeline impact before approval.</w:t>
      </w:r>
    </w:p>
    <w:p>
      <w:pPr/>
      <w:r>
        <w:rPr>
          <w:rFonts w:ascii="Calibri" w:hAnsi="Calibri"/>
          <w:b w:val="0"/>
          <w:sz w:val="22"/>
        </w:rPr>
        <w:t>The RAID Framework (Risks, Assumptions, Issues, Dependencies) will be maintained as a living document throughout the project and reviewed at each Project Management meeting. A formal Cutover Plan will be agreed during the Validate phase, defining the go-live sequence, rollback criteria, and hypercare period. Full RAID documentation, Change Control Framework, and Cutover Plan are provided as separate project deliverables and will be completed during the Mobilise phase.</w:t>
      </w:r>
    </w:p>
    <w:p>
      <w:pPr>
        <w:pStyle w:val="Heading3"/>
        <w:keepNext/>
      </w:pPr>
      <w:r>
        <w:rPr>
          <w:rFonts w:ascii="Calibri" w:hAnsi="Calibri"/>
          <w:b w:val="0"/>
          <w:sz w:val="26"/>
        </w:rPr>
        <w:t>RAID Framework</w:t>
      </w:r>
    </w:p>
    <w:p>
      <w:pPr/>
      <w:r>
        <w:rPr>
          <w:rFonts w:ascii="Calibri" w:hAnsi="Calibri"/>
          <w:b w:val="0"/>
          <w:sz w:val="22"/>
        </w:rPr>
        <w:t>_PLACEHOLDER: Project-specific RAID Framework to be completed during Mobilise phase with input from Plennegy project sponsor and APPSolve Project Manager._</w:t>
      </w:r>
    </w:p>
    <w:p>
      <w:pPr>
        <w:pStyle w:val="Heading3"/>
        <w:keepNext/>
      </w:pPr>
      <w:r>
        <w:rPr>
          <w:rFonts w:ascii="Calibri" w:hAnsi="Calibri"/>
          <w:b w:val="0"/>
          <w:sz w:val="26"/>
        </w:rPr>
        <w:t>Cutover / Go-Live Plan</w:t>
      </w:r>
    </w:p>
    <w:p>
      <w:pPr/>
      <w:r>
        <w:rPr>
          <w:rFonts w:ascii="Calibri" w:hAnsi="Calibri"/>
          <w:b w:val="0"/>
          <w:sz w:val="22"/>
        </w:rPr>
        <w:t>_PLACEHOLDER: Go-live sequence and hypercare plan to be agreed during Validate phase. Target go-live date to be confirmed with Plennegy (OAR-C04)._</w:t>
      </w:r>
    </w:p>
    <w:p>
      <w:pPr>
        <w:spacing w:before="0" w:after="0"/>
      </w:pPr>
      <w:r>
        <w:br w:type="page"/>
      </w:r>
    </w:p>
    <w:p>
      <w:pPr>
        <w:pStyle w:val="Heading2"/>
        <w:keepNext/>
      </w:pPr>
      <w:r>
        <w:rPr>
          <w:rFonts w:ascii="Calibri" w:hAnsi="Calibri"/>
          <w:b w:val="0"/>
          <w:sz w:val="32"/>
        </w:rPr>
        <w:t>7. Key Assumptions ✎</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**Authored Content:**</w:t>
            </w:r>
            <w:r>
              <w:rPr>
                <w:rFonts w:ascii="Calibri" w:hAnsi="Calibri"/>
                <w:b w:val="0"/>
                <w:sz w:val="20"/>
              </w:rPr>
              <w:t xml:space="preserve"> This section uses shaper-authored narrative. Review for accuracy before submission.</w:t>
            </w:r>
          </w:p>
        </w:tc>
      </w:tr>
    </w:tbl>
    <w:p>
      <w:pPr>
        <w:spacing w:before="0" w:after="120"/>
      </w:pPr>
    </w:p>
    <w:p>
      <w:pPr/>
      <w:r>
        <w:rPr>
          <w:rFonts w:ascii="Calibri" w:hAnsi="Calibri"/>
          <w:b w:val="0"/>
          <w:sz w:val="22"/>
        </w:rPr>
        <w:t>APPSolve's proposal is governed by a comprehensive assumptions register comprising 341 approved assumptions across five packs. These assumptions define the contractual basis for scope, cost, and timeline and are referenced in all APPSolve Statements of Work.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Pack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Environment, organisation structure, data migration, security, payroll data, integration foundations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Vacancy management, candidate sourcing, offer management, pre-employment checks, onboarding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catalogue, certifications, learning paths, instructor-led training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goals, succession planning,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third-party integration, middleware, data exchange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**Total**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**341**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 HCM Cloud implementation scope**</w:t>
            </w:r>
          </w:p>
        </w:tc>
      </w:tr>
    </w:tbl>
    <w:p>
      <w:pPr>
        <w:spacing w:before="0" w:after="120"/>
      </w:pPr>
    </w:p>
    <w:p>
      <w:pPr>
        <w:pStyle w:val="Heading3"/>
        <w:keepNext/>
      </w:pPr>
      <w:r>
        <w:rPr>
          <w:rFonts w:ascii="Calibri" w:hAnsi="Calibri"/>
          <w:b w:val="0"/>
          <w:sz w:val="26"/>
        </w:rPr>
        <w:t>Key Commercial Assumptions</w:t>
      </w:r>
    </w:p>
    <w:p>
      <w:pPr/>
      <w:r>
        <w:rPr>
          <w:rFonts w:ascii="Calibri" w:hAnsi="Calibri"/>
          <w:b w:val="0"/>
          <w:sz w:val="22"/>
        </w:rPr>
        <w:t>The following high-level assumptions are most material to scope, cost, and timeline:</w:t>
      </w:r>
    </w:p>
    <w:p>
      <w:pPr/>
      <w:r>
        <w:rPr>
          <w:rFonts w:ascii="Calibri" w:hAnsi="Calibri"/>
          <w:b w:val="0"/>
          <w:sz w:val="22"/>
        </w:rPr>
        <w:t xml:space="preserve">The complete assumptions register is provided in </w:t>
      </w:r>
      <w:r>
        <w:rPr>
          <w:rFonts w:ascii="Calibri" w:hAnsi="Calibri"/>
          <w:sz w:val="22"/>
        </w:rPr>
        <w:t>**Appendix B**</w:t>
      </w:r>
      <w:r>
        <w:rPr>
          <w:rFonts w:ascii="Calibri" w:hAnsi="Calibri"/>
          <w:b w:val="0"/>
          <w:sz w:val="22"/>
        </w:rPr>
        <w:t>. Key assumptions from the HCM Core, Recruiting, Learning, Talent, and OIC packs apply in full to this engagement unless explicitly excluded in the Statement of Work.</w:t>
      </w:r>
    </w:p>
    <w:p>
      <w:pPr>
        <w:spacing w:before="0" w:after="0"/>
      </w:pPr>
      <w:r>
        <w:br w:type="page"/>
      </w:r>
    </w:p>
    <w:p>
      <w:pPr>
        <w:pStyle w:val="Heading2"/>
        <w:keepNext/>
      </w:pPr>
      <w:r>
        <w:rPr>
          <w:rFonts w:ascii="Calibri" w:hAnsi="Calibri"/>
          <w:b w:val="0"/>
          <w:sz w:val="32"/>
        </w:rPr>
        <w:t>8. Key Risks and Mitigations ✏</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8" w:space="0" w:color="CC0000"/>
              <w:left w:val="single" w:sz="8" w:space="0" w:color="CC0000"/>
              <w:bottom w:val="single" w:sz="8" w:space="0" w:color="CC0000"/>
              <w:right w:val="single" w:sz="8" w:space="0" w:color="CC0000"/>
            </w:tcBorders>
          </w:tcPr>
          <w:p>
            <w:pPr>
              <w:spacing w:before="80" w:after="40"/>
            </w:pPr>
            <w:r>
              <w:rPr>
                <w:rFonts w:ascii="Calibri" w:hAnsi="Calibri"/>
                <w:b/>
                <w:sz w:val="20"/>
              </w:rPr>
              <w:t>⚠  AI-DRAFT REQUIRED — Generate and BU Lead review before submission</w:t>
            </w:r>
          </w:p>
          <w:p>
            <w:pPr>
              <w:spacing w:before="0" w:after="40"/>
            </w:pPr>
            <w:r>
              <w:rPr>
                <w:rFonts w:ascii="Calibri" w:hAnsi="Calibri"/>
                <w:sz w:val="19"/>
              </w:rPr>
              <w:t>8. Key Risks and Mitigations</w:t>
            </w:r>
          </w:p>
          <w:p>
            <w:pPr>
              <w:spacing w:before="0" w:after="80"/>
            </w:pPr>
            <w:r>
              <w:rPr>
                <w:rFonts w:ascii="Calibri" w:hAnsi="Calibri"/>
                <w:i/>
                <w:color w:val="707070"/>
                <w:sz w:val="18"/>
              </w:rPr>
              <w:t>Owner: BU Lead</w:t>
            </w:r>
          </w:p>
        </w:tc>
      </w:tr>
    </w:tbl>
    <w:p>
      <w:pPr>
        <w:spacing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Risk Register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Risk Library standard defined (WP18B)*</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rPr>
          <w:rFonts w:ascii="Calibri" w:hAnsi="Calibri"/>
          <w:b w:val="0"/>
          <w:sz w:val="32"/>
        </w:rPr>
        <w:t>9. Commercial Inputs Required ✎</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**Authored Content:**</w:t>
            </w:r>
            <w:r>
              <w:rPr>
                <w:rFonts w:ascii="Calibri" w:hAnsi="Calibri"/>
                <w:b w:val="0"/>
                <w:sz w:val="20"/>
              </w:rPr>
              <w:t xml:space="preserve"> This section uses shaper-authored narrative. Review for accuracy before submission.</w:t>
            </w:r>
          </w:p>
        </w:tc>
      </w:tr>
    </w:tbl>
    <w:p>
      <w:pPr>
        <w:spacing w:before="0" w:after="120"/>
      </w:pPr>
    </w:p>
    <w:p>
      <w:pPr/>
      <w:r>
        <w:rPr>
          <w:rFonts w:ascii="Calibri" w:hAnsi="Calibri"/>
          <w:b w:val="0"/>
          <w:sz w:val="22"/>
        </w:rPr>
        <w:t>APPSolve's commercial proposal for the Oracle HCM Cloud implementation will be formalised under the Commercial Director's authority once the scope inputs below are confirmed. All commercial documents are subject to BU Lead sign-off before submission.</w:t>
      </w:r>
    </w:p>
    <w:p>
      <w:pPr>
        <w:pStyle w:val="Heading3"/>
        <w:keepNext/>
      </w:pPr>
      <w:r>
        <w:rPr>
          <w:rFonts w:ascii="Calibri" w:hAnsi="Calibri"/>
          <w:b w:val="0"/>
          <w:sz w:val="26"/>
        </w:rPr>
        <w:t>Commercial Inputs Required</w:t>
      </w:r>
    </w:p>
    <w:p>
      <w:pPr>
        <w:pStyle w:val="Heading3"/>
        <w:keepNext/>
      </w:pPr>
      <w:r>
        <w:rPr>
          <w:rFonts w:ascii="Calibri" w:hAnsi="Calibri"/>
          <w:b w:val="0"/>
          <w:sz w:val="26"/>
        </w:rPr>
        <w:t>APPSolve Commercial Models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Recommendation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 change requests priced separately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Recommended for defined HCM Cloud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by time at agreed rates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Appropriate where scope evolves during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transfers between months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distinctive model — predictable cost; aligned incentives</w:t>
            </w:r>
          </w:p>
        </w:tc>
      </w:tr>
    </w:tbl>
    <w:p>
      <w:pPr>
        <w:spacing w:before="0" w:after="120"/>
      </w:pPr>
    </w:p>
    <w:p>
      <w:pPr/>
      <w:r>
        <w:rPr>
          <w:rFonts w:ascii="Calibri" w:hAnsi="Calibri"/>
          <w:b w:val="0"/>
          <w:sz w:val="22"/>
        </w:rPr>
        <w:t>_Pricing table to be provided by APPSolve Commercial Director following scope confirmation. No rates or commercial terms are binding until the formal Commercial Proposal is issued and counter-signed by both parties._</w:t>
      </w:r>
    </w:p>
    <w:p>
      <w:pPr>
        <w:spacing w:before="0" w:after="0"/>
      </w:pPr>
      <w:r>
        <w:br w:type="page"/>
      </w:r>
    </w:p>
    <w:p>
      <w:pPr>
        <w:pStyle w:val="Heading2"/>
        <w:keepNext/>
      </w:pPr>
      <w:r>
        <w:rPr>
          <w:rFonts w:ascii="Calibri" w:hAnsi="Calibri"/>
          <w:b w:val="0"/>
          <w:sz w:val="32"/>
        </w:rPr>
        <w:t>10. Next Steps ✎</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**Authored Content:**</w:t>
            </w:r>
            <w:r>
              <w:rPr>
                <w:rFonts w:ascii="Calibri" w:hAnsi="Calibri"/>
                <w:b w:val="0"/>
                <w:sz w:val="20"/>
              </w:rPr>
              <w:t xml:space="preserve"> This section uses shaper-authored narrative. Review for accuracy before submission.</w:t>
            </w:r>
          </w:p>
        </w:tc>
      </w:tr>
    </w:tbl>
    <w:p>
      <w:pPr>
        <w:spacing w:before="0" w:after="120"/>
      </w:pPr>
    </w:p>
    <w:p>
      <w:pPr/>
      <w:r>
        <w:rPr>
          <w:rFonts w:ascii="Calibri" w:hAnsi="Calibri"/>
          <w:b w:val="0"/>
          <w:sz w:val="22"/>
        </w:rPr>
        <w:t>APPSolve is ready to progress this engagement. The following actions are required in priority order to advance from this draft to a final submission-ready proposal:</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Owner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Target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**P0 — URGENT**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 B-BBEE Level 3 certificate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Director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2026-07-31</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Draft Executive Summary with Plennegy win themes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 AM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internal review</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Draft Understanding of Requirements from Plennegy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internal review</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scope: modules, entities, headcount, go-live 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(OAR-C04)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pricing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 pricing structure and commercial proposal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Commercial Director (OAR-C02)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Obtain Hollywood Bets reference approval for this tender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(OAR-C01)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 proposed team structure and CVs (from APPTime)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Manager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 Risk Register; BU Lead review and approval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all compliance document expiry dates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Operations + Finance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Attach current Oracle OPN Certificate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bl>
    <w:p>
      <w:pPr>
        <w:spacing w:before="0" w:after="120"/>
      </w:pPr>
    </w:p>
    <w:p>
      <w:pPr/>
      <w:r>
        <w:rPr>
          <w:rFonts w:ascii="Calibri" w:hAnsi="Calibri"/>
          <w:b w:val="0"/>
          <w:sz w:val="22"/>
        </w:rPr>
        <w:t>On completion of the above actions, APPSolve will produce the final CLIENT proposal (V4) for BU Lead sign-off and submission to Plennegy Group.</w:t>
      </w:r>
    </w:p>
    <w:p>
      <w:pPr>
        <w:spacing w:before="0" w:after="0"/>
      </w:pPr>
      <w:r>
        <w:br w:type="page"/>
      </w:r>
    </w:p>
    <w:p>
      <w:pPr>
        <w:pStyle w:val="Heading2"/>
        <w:keepNext/>
      </w:pPr>
      <w:r>
        <w:rPr>
          <w:rFonts w:ascii="Calibri" w:hAnsi="Calibri"/>
          <w:b w:val="0"/>
          <w:sz w:val="32"/>
        </w:rPr>
        <w:t>Appendix A — Detailed Oracle HCM Capability ✓</w:t>
      </w:r>
    </w:p>
    <w:p>
      <w:pPr>
        <w:pStyle w:val="Heading3"/>
        <w:keepNext/>
      </w:pPr>
      <w:r>
        <w:rPr>
          <w:rFonts w:ascii="Calibri" w:hAnsi="Calibri"/>
          <w:b w:val="0"/>
          <w:sz w:val="26"/>
        </w:rPr>
        <w:t>Oracle HCM Core — Global HR and Employee Lifecycle</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pStyle w:val="Heading3"/>
        <w:keepNext/>
      </w:pPr>
      <w:r>
        <w:rPr>
          <w:rFonts w:ascii="Calibri" w:hAnsi="Calibri"/>
          <w:b w:val="0"/>
          <w:sz w:val="26"/>
        </w:rPr>
        <w:t>Oracle HCM Payroll Interface &amp; Integration</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rPr>
          <w:rFonts w:ascii="Calibri" w:hAnsi="Calibri"/>
          <w:b w:val="0"/>
          <w:sz w:val="32"/>
        </w:rPr>
        <w:t>Appendix B — Assumptions Register ✓</w:t>
      </w: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spacing w:before="0" w:after="0"/>
      </w:pPr>
      <w:r>
        <w:br w:type="page"/>
      </w:r>
    </w:p>
    <w:p>
      <w:pPr>
        <w:pStyle w:val="Heading2"/>
        <w:keepNext/>
      </w:pPr>
      <w:r>
        <w:rPr>
          <w:rFonts w:ascii="Calibri" w:hAnsi="Calibri"/>
          <w:b w:val="0"/>
          <w:sz w:val="32"/>
        </w:rPr>
        <w:t>Appendix C — Reference Detail ✓</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INTERNAL REVIEW WORKBOOK V3</w:t>
    </w:r>
    <w:r>
      <w:rPr>
        <w:sz w:val="18"/>
      </w:rPr>
      <w:tab/>
    </w:r>
    <w:r>
      <w:rPr>
        <w:rFonts w:ascii="Calibri" w:hAnsi="Calibri"/>
        <w:color w:val="808080"/>
        <w:sz w:val="18"/>
      </w:rPr>
      <w:t>Oracle HCM — PLENNEGY-HCM-001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