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/>
        <w:jc w:val="center"/>
      </w:pPr>
      <w:r>
        <w:rPr>
          <w:rFonts w:ascii="Calibri" w:hAnsi="Calibri"/>
          <w:b/>
          <w:color w:val="00467F"/>
          <w:sz w:val="44"/>
        </w:rPr>
        <w:t>V3 Proposal Traceability Report</w:t>
      </w:r>
    </w:p>
    <w:p>
      <w:pPr>
        <w:spacing w:after="240"/>
        <w:jc w:val="center"/>
      </w:pPr>
      <w:r>
        <w:rPr>
          <w:rFonts w:ascii="Calibri" w:hAnsi="Calibri"/>
          <w:color w:val="0070C0"/>
          <w:sz w:val="22"/>
        </w:rPr>
        <w:t>PLENNEGY-HCM-001  |  PF2-008 Shaping Layer  |  2026-06-30  |  Platform L5.9</w:t>
      </w:r>
    </w:p>
    <w:p>
      <w:pPr>
        <w:pStyle w:val="Heading1"/>
        <w:spacing w:before="240"/>
      </w:pPr>
      <w:r>
        <w:t>V2 → V3 Structure Change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val="clear" w:color="auto" w:fill="00467F"/>
            <w:tcBorders>
              <w:top w:val="single" w:sz="4" w:space="0" w:color="00467F"/>
              <w:left w:val="single" w:sz="4" w:space="0" w:color="00467F"/>
              <w:bottom w:val="single" w:sz="4" w:space="0" w:color="00467F"/>
              <w:right w:val="single" w:sz="4" w:space="0" w:color="00467F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V2 sections</w:t>
            </w:r>
          </w:p>
        </w:tc>
        <w:tc>
          <w:tcPr>
            <w:tcW w:type="dxa" w:w="4513"/>
            <w:shd w:val="clear" w:color="auto" w:fill="F2F5F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20"/>
              </w:rPr>
              <w:t>41</w:t>
            </w:r>
          </w:p>
        </w:tc>
      </w:tr>
      <w:tr>
        <w:tc>
          <w:tcPr>
            <w:tcW w:type="dxa" w:w="4513"/>
            <w:shd w:val="clear" w:color="auto" w:fill="00467F"/>
            <w:tcBorders>
              <w:top w:val="single" w:sz="4" w:space="0" w:color="00467F"/>
              <w:left w:val="single" w:sz="4" w:space="0" w:color="00467F"/>
              <w:bottom w:val="single" w:sz="4" w:space="0" w:color="00467F"/>
              <w:right w:val="single" w:sz="4" w:space="0" w:color="00467F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V3 body sections</w:t>
            </w:r>
          </w:p>
        </w:tc>
        <w:tc>
          <w:tcPr>
            <w:tcW w:type="dxa" w:w="4513"/>
            <w:shd w:val="clear" w:color="auto" w:fill="F2F5F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20"/>
              </w:rPr>
              <w:t>10</w:t>
            </w:r>
          </w:p>
        </w:tc>
      </w:tr>
      <w:tr>
        <w:tc>
          <w:tcPr>
            <w:tcW w:type="dxa" w:w="4513"/>
            <w:shd w:val="clear" w:color="auto" w:fill="00467F"/>
            <w:tcBorders>
              <w:top w:val="single" w:sz="4" w:space="0" w:color="00467F"/>
              <w:left w:val="single" w:sz="4" w:space="0" w:color="00467F"/>
              <w:bottom w:val="single" w:sz="4" w:space="0" w:color="00467F"/>
              <w:right w:val="single" w:sz="4" w:space="0" w:color="00467F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V3 appendices</w:t>
            </w:r>
          </w:p>
        </w:tc>
        <w:tc>
          <w:tcPr>
            <w:tcW w:type="dxa" w:w="4513"/>
            <w:shd w:val="clear" w:color="auto" w:fill="F2F5F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20"/>
              </w:rPr>
              <w:t>3</w:t>
            </w:r>
          </w:p>
        </w:tc>
      </w:tr>
      <w:tr>
        <w:tc>
          <w:tcPr>
            <w:tcW w:type="dxa" w:w="4513"/>
            <w:shd w:val="clear" w:color="auto" w:fill="00467F"/>
            <w:tcBorders>
              <w:top w:val="single" w:sz="4" w:space="0" w:color="00467F"/>
              <w:left w:val="single" w:sz="4" w:space="0" w:color="00467F"/>
              <w:bottom w:val="single" w:sz="4" w:space="0" w:color="00467F"/>
              <w:right w:val="single" w:sz="4" w:space="0" w:color="00467F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V3 total</w:t>
            </w:r>
          </w:p>
        </w:tc>
        <w:tc>
          <w:tcPr>
            <w:tcW w:type="dxa" w:w="4513"/>
            <w:shd w:val="clear" w:color="auto" w:fill="F2F5F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20"/>
              </w:rPr>
              <w:t>13</w:t>
            </w:r>
          </w:p>
        </w:tc>
      </w:tr>
      <w:tr>
        <w:tc>
          <w:tcPr>
            <w:tcW w:type="dxa" w:w="4513"/>
            <w:shd w:val="clear" w:color="auto" w:fill="00467F"/>
            <w:tcBorders>
              <w:top w:val="single" w:sz="4" w:space="0" w:color="00467F"/>
              <w:left w:val="single" w:sz="4" w:space="0" w:color="00467F"/>
              <w:bottom w:val="single" w:sz="4" w:space="0" w:color="00467F"/>
              <w:right w:val="single" w:sz="4" w:space="0" w:color="00467F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V2 sections consolidated into V3 Sec 4</w:t>
            </w:r>
          </w:p>
        </w:tc>
        <w:tc>
          <w:tcPr>
            <w:tcW w:type="dxa" w:w="4513"/>
            <w:shd w:val="clear" w:color="auto" w:fill="F2F5F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20"/>
              </w:rPr>
              <w:t>7 (Corp Overview, History, Awards, Delivery, Geography, Differentiators, Oracle Partnership)</w:t>
            </w:r>
          </w:p>
        </w:tc>
      </w:tr>
      <w:tr>
        <w:tc>
          <w:tcPr>
            <w:tcW w:type="dxa" w:w="4513"/>
            <w:shd w:val="clear" w:color="auto" w:fill="00467F"/>
            <w:tcBorders>
              <w:top w:val="single" w:sz="4" w:space="0" w:color="00467F"/>
              <w:left w:val="single" w:sz="4" w:space="0" w:color="00467F"/>
              <w:bottom w:val="single" w:sz="4" w:space="0" w:color="00467F"/>
              <w:right w:val="single" w:sz="4" w:space="0" w:color="00467F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V2 sections moved to Appendix A</w:t>
            </w:r>
          </w:p>
        </w:tc>
        <w:tc>
          <w:tcPr>
            <w:tcW w:type="dxa" w:w="4513"/>
            <w:shd w:val="clear" w:color="auto" w:fill="F2F5F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20"/>
              </w:rPr>
              <w:t>3 (HCM, ERP, OIC capability)</w:t>
            </w:r>
          </w:p>
        </w:tc>
      </w:tr>
      <w:tr>
        <w:tc>
          <w:tcPr>
            <w:tcW w:type="dxa" w:w="4513"/>
            <w:shd w:val="clear" w:color="auto" w:fill="00467F"/>
            <w:tcBorders>
              <w:top w:val="single" w:sz="4" w:space="0" w:color="00467F"/>
              <w:left w:val="single" w:sz="4" w:space="0" w:color="00467F"/>
              <w:bottom w:val="single" w:sz="4" w:space="0" w:color="00467F"/>
              <w:right w:val="single" w:sz="4" w:space="0" w:color="00467F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Authored sections</w:t>
            </w:r>
          </w:p>
        </w:tc>
        <w:tc>
          <w:tcPr>
            <w:tcW w:type="dxa" w:w="4513"/>
            <w:shd w:val="clear" w:color="auto" w:fill="F2F5F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20"/>
              </w:rPr>
              <w:t>3</w:t>
            </w:r>
          </w:p>
        </w:tc>
      </w:tr>
      <w:tr>
        <w:tc>
          <w:tcPr>
            <w:tcW w:type="dxa" w:w="4513"/>
            <w:shd w:val="clear" w:color="auto" w:fill="00467F"/>
            <w:tcBorders>
              <w:top w:val="single" w:sz="4" w:space="0" w:color="00467F"/>
              <w:left w:val="single" w:sz="4" w:space="0" w:color="00467F"/>
              <w:bottom w:val="single" w:sz="4" w:space="0" w:color="00467F"/>
              <w:right w:val="single" w:sz="4" w:space="0" w:color="00467F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Shaping mode</w:t>
            </w:r>
          </w:p>
        </w:tc>
        <w:tc>
          <w:tcPr>
            <w:tcW w:type="dxa" w:w="4513"/>
            <w:shd w:val="clear" w:color="auto" w:fill="F2F5F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sz w:val="20"/>
              </w:rPr>
              <w:t>PF2-008 Proposal Shaping Layer v1.0</w:t>
            </w:r>
          </w:p>
        </w:tc>
      </w:tr>
    </w:tbl>
    <w:p>
      <w:pPr>
        <w:spacing w:after="120"/>
      </w:pPr>
    </w:p>
    <w:p>
      <w:pPr>
        <w:spacing w:before="0" w:after="0"/>
      </w:pPr>
      <w:r>
        <w:br w:type="page"/>
      </w:r>
    </w:p>
    <w:p>
      <w:pPr>
        <w:pStyle w:val="Heading1"/>
        <w:spacing w:before="0"/>
      </w:pPr>
      <w:r>
        <w:t>Section-by-Section Traceability</w:t>
      </w:r>
    </w:p>
    <w:p>
      <w:pPr>
        <w:spacing w:before="0" w:after="0"/>
      </w:pPr>
      <w:r>
        <w:br w:type="page"/>
      </w:r>
    </w:p>
    <w:p>
      <w:pPr>
        <w:pStyle w:val="Heading2"/>
        <w:keepNext/>
      </w:pPr>
      <w:r>
        <w:t>1. Executive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V3 Section ID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V3 Heading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1. Executive Summary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Status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AI_DRAFT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Assembly Mode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passthrough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V2 Sources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Executive Summary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Is Appendix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</w:tr>
    </w:tbl>
    <w:p>
      <w:pPr>
        <w:spacing w:after="120"/>
      </w:pPr>
    </w:p>
    <w:p>
      <w:pPr/>
      <w:r>
        <w:rPr>
          <w:rFonts w:ascii="Calibri" w:hAnsi="Calibri"/>
          <w:b w:val="0"/>
          <w:sz w:val="19"/>
        </w:rPr>
        <w:t>_No content — AI_DRAFT. Requires human completion before submission._</w:t>
      </w:r>
    </w:p>
    <w:p>
      <w:pPr>
        <w:spacing w:before="0" w:after="0"/>
      </w:pPr>
      <w:r>
        <w:br w:type="page"/>
      </w:r>
    </w:p>
    <w:p>
      <w:pPr>
        <w:pStyle w:val="Heading2"/>
        <w:keepNext/>
      </w:pPr>
      <w:r>
        <w:t>2. Understanding of Plennegy's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V3 Section ID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V3 Heading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2. Understanding of Plennegy's Requirements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Status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AI_DRAFT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Assembly Mode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passthrough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V2 Sources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Understanding of Requirements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Is Appendix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</w:tr>
    </w:tbl>
    <w:p>
      <w:pPr>
        <w:spacing w:after="120"/>
      </w:pPr>
    </w:p>
    <w:p>
      <w:pPr/>
      <w:r>
        <w:rPr>
          <w:rFonts w:ascii="Calibri" w:hAnsi="Calibri"/>
          <w:b w:val="0"/>
          <w:sz w:val="19"/>
        </w:rPr>
        <w:t>_No content — AI_DRAFT. Requires human completion before submission._</w:t>
      </w:r>
    </w:p>
    <w:p>
      <w:pPr>
        <w:spacing w:before="0" w:after="0"/>
      </w:pPr>
      <w:r>
        <w:br w:type="page"/>
      </w:r>
    </w:p>
    <w:p>
      <w:pPr>
        <w:pStyle w:val="Heading2"/>
        <w:keepNext/>
      </w:pPr>
      <w:r>
        <w:t>3. Proposed Oracle HCM Solution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V3 Section ID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V3 Heading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3. Proposed Oracle HCM Solution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Status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PLACEHOLDER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Assembly Mode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passthrough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V2 Sources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Proposed Solution Overview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Is Appendix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</w:tr>
    </w:tbl>
    <w:p>
      <w:pPr>
        <w:spacing w:after="120"/>
      </w:pPr>
    </w:p>
    <w:p>
      <w:pPr/>
      <w:r>
        <w:rPr>
          <w:rFonts w:ascii="Calibri" w:hAnsi="Calibri"/>
          <w:b w:val="0"/>
          <w:sz w:val="19"/>
        </w:rPr>
        <w:t>_No content — PLACEHOLDER. Requires human completion before submission._</w:t>
      </w:r>
    </w:p>
    <w:p>
      <w:pPr>
        <w:spacing w:before="0" w:after="0"/>
      </w:pPr>
      <w:r>
        <w:br w:type="page"/>
      </w:r>
    </w:p>
    <w:p>
      <w:pPr>
        <w:pStyle w:val="Heading2"/>
        <w:keepNext/>
      </w:pPr>
      <w:r>
        <w:t>4. Why APPSolve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V3 Section ID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V3 Heading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4. Why APPSolve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Status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RENDERED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Assembly Mode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full_multi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V2 Sources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Company Overview; Company History; Awards and Recognition; Delivery Model; Geographic Presence; Key Differentiators; Oracle Partnership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Is Appendix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</w:tr>
    </w:tbl>
    <w:p>
      <w:pPr>
        <w:spacing w:after="120"/>
      </w:pPr>
    </w:p>
    <w:p>
      <w:pPr/>
      <w:r>
        <w:rPr>
          <w:rFonts w:ascii="Calibri" w:hAnsi="Calibri"/>
          <w:b w:val="0"/>
          <w:sz w:val="19"/>
        </w:rPr>
        <w:t>_Content segments: 2 blockquote, 8 comment, 32 heading, 1 olist, 53 paragraph, 4 table, 14 ulist._</w:t>
      </w:r>
    </w:p>
    <w:p>
      <w:pPr>
        <w:spacing w:before="0" w:after="0"/>
      </w:pPr>
      <w:r>
        <w:br w:type="page"/>
      </w:r>
    </w:p>
    <w:p>
      <w:pPr>
        <w:pStyle w:val="Heading2"/>
        <w:keepNext/>
      </w:pPr>
      <w:r>
        <w:t>5. Delivery Approach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V3 Section ID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V3 Heading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5. Delivery Approach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Status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RENDERED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Assembly Mode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full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V2 Sources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Implementation Methodology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Is Appendix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</w:tr>
    </w:tbl>
    <w:p>
      <w:pPr>
        <w:spacing w:after="120"/>
      </w:pPr>
    </w:p>
    <w:p>
      <w:pPr/>
      <w:r>
        <w:rPr>
          <w:rFonts w:ascii="Calibri" w:hAnsi="Calibri"/>
          <w:b w:val="0"/>
          <w:sz w:val="19"/>
        </w:rPr>
        <w:t>_Content segments: 5 blockquote, 7 comment, 86 heading, 22 hr, 105 paragraph, 6 table, 33 ulist._</w:t>
      </w:r>
    </w:p>
    <w:p>
      <w:pPr>
        <w:spacing w:before="0" w:after="0"/>
      </w:pPr>
      <w:r>
        <w:br w:type="page"/>
      </w:r>
    </w:p>
    <w:p>
      <w:pPr>
        <w:pStyle w:val="Heading2"/>
        <w:keepNext/>
      </w:pPr>
      <w:r>
        <w:t>6. Project Governance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V3 Section ID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V3 Heading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6. Project Governance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Status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AUTHORED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Assembly Mode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authored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V2 Sources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None (authored)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Is Appendix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</w:tr>
    </w:tbl>
    <w:p>
      <w:pPr>
        <w:spacing w:after="120"/>
      </w:pPr>
    </w:p>
    <w:p>
      <w:pPr/>
      <w:r>
        <w:rPr>
          <w:rFonts w:ascii="Calibri" w:hAnsi="Calibri"/>
          <w:b w:val="0"/>
          <w:sz w:val="19"/>
        </w:rPr>
        <w:t>_Content segments: 2 heading, 5 paragraph, 1 table._</w:t>
      </w:r>
    </w:p>
    <w:p>
      <w:pPr>
        <w:spacing w:before="0" w:after="0"/>
      </w:pPr>
      <w:r>
        <w:br w:type="page"/>
      </w:r>
    </w:p>
    <w:p>
      <w:pPr>
        <w:pStyle w:val="Heading2"/>
        <w:keepNext/>
      </w:pPr>
      <w:r>
        <w:t>7. Key Assumptions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V3 Section ID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V3 Heading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7. Key Assumptions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Status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AUTHORED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Assembly Mode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authored_with_excerpt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V2 Sources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Key Assumptions (Body Section)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Is Appendix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</w:tr>
    </w:tbl>
    <w:p>
      <w:pPr>
        <w:spacing w:after="120"/>
      </w:pPr>
    </w:p>
    <w:p>
      <w:pPr/>
      <w:r>
        <w:rPr>
          <w:rFonts w:ascii="Calibri" w:hAnsi="Calibri"/>
          <w:b w:val="0"/>
          <w:sz w:val="19"/>
        </w:rPr>
        <w:t>_Content segments: 1 heading, 3 paragraph, 1 table, 1 ulist._</w:t>
      </w:r>
    </w:p>
    <w:p>
      <w:pPr>
        <w:spacing w:before="0" w:after="0"/>
      </w:pPr>
      <w:r>
        <w:br w:type="page"/>
      </w:r>
    </w:p>
    <w:p>
      <w:pPr>
        <w:pStyle w:val="Heading2"/>
        <w:keepNext/>
      </w:pPr>
      <w:r>
        <w:t>8. Key Risks and Mitigations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V3 Section ID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V3 Heading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8. Key Risks and Mitigations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Status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AI_DRAFT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Assembly Mode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passthrough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V2 Sources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Risk Register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Is Appendix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</w:tr>
    </w:tbl>
    <w:p>
      <w:pPr>
        <w:spacing w:after="120"/>
      </w:pPr>
    </w:p>
    <w:p>
      <w:pPr/>
      <w:r>
        <w:rPr>
          <w:rFonts w:ascii="Calibri" w:hAnsi="Calibri"/>
          <w:b w:val="0"/>
          <w:sz w:val="19"/>
        </w:rPr>
        <w:t>_No content — AI_DRAFT. Requires human completion before submission._</w:t>
      </w:r>
    </w:p>
    <w:p>
      <w:pPr>
        <w:spacing w:before="0" w:after="0"/>
      </w:pPr>
      <w:r>
        <w:br w:type="page"/>
      </w:r>
    </w:p>
    <w:p>
      <w:pPr>
        <w:pStyle w:val="Heading2"/>
        <w:keepNext/>
      </w:pPr>
      <w:r>
        <w:t>9. Commercial Inputs Required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V3 Section ID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9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V3 Heading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9. Commercial Inputs Required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Status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AUTHORED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Assembly Mode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authored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V2 Sources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None (authored)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Is Appendix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</w:tr>
    </w:tbl>
    <w:p>
      <w:pPr>
        <w:spacing w:after="120"/>
      </w:pPr>
    </w:p>
    <w:p>
      <w:pPr/>
      <w:r>
        <w:rPr>
          <w:rFonts w:ascii="Calibri" w:hAnsi="Calibri"/>
          <w:b w:val="0"/>
          <w:sz w:val="19"/>
        </w:rPr>
        <w:t>_Content segments: 2 heading, 2 paragraph, 1 table, 1 ulist._</w:t>
      </w:r>
    </w:p>
    <w:p>
      <w:pPr>
        <w:spacing w:before="0" w:after="0"/>
      </w:pPr>
      <w:r>
        <w:br w:type="page"/>
      </w:r>
    </w:p>
    <w:p>
      <w:pPr>
        <w:pStyle w:val="Heading2"/>
        <w:keepNext/>
      </w:pPr>
      <w:r>
        <w:t>10. Next Steps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V3 Section ID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V3 Heading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10. Next Steps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Status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AUTHORED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Assembly Mode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authored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V2 Sources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None (authored)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Is Appendix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</w:tr>
    </w:tbl>
    <w:p>
      <w:pPr>
        <w:spacing w:after="120"/>
      </w:pPr>
    </w:p>
    <w:p>
      <w:pPr/>
      <w:r>
        <w:rPr>
          <w:rFonts w:ascii="Calibri" w:hAnsi="Calibri"/>
          <w:b w:val="0"/>
          <w:sz w:val="19"/>
        </w:rPr>
        <w:t>_Content segments: 2 paragraph, 1 table._</w:t>
      </w:r>
    </w:p>
    <w:p>
      <w:pPr>
        <w:spacing w:before="0" w:after="0"/>
      </w:pPr>
      <w:r>
        <w:br w:type="page"/>
      </w:r>
    </w:p>
    <w:p>
      <w:pPr>
        <w:pStyle w:val="Heading2"/>
        <w:keepNext/>
      </w:pPr>
      <w:r>
        <w:t>Appendix A — Detailed Oracle HCM Capability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V3 Section ID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A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V3 Heading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Appendix A — Detailed Oracle HCM Capability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Status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RENDERED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Assembly Mode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full_multi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V2 Sources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Oracle Fusion HCM Capability; Oracle Fusion ERP Capability; Oracle OIC / Integration Capability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Is Appendix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Yes</w:t>
            </w:r>
          </w:p>
        </w:tc>
      </w:tr>
    </w:tbl>
    <w:p>
      <w:pPr>
        <w:spacing w:after="120"/>
      </w:pPr>
    </w:p>
    <w:p>
      <w:pPr/>
      <w:r>
        <w:rPr>
          <w:rFonts w:ascii="Calibri" w:hAnsi="Calibri"/>
          <w:b w:val="0"/>
          <w:sz w:val="19"/>
        </w:rPr>
        <w:t>_Content segments: 26 blockquote, 6 comment, 440 heading, 156 hr, 3 olist, 490 paragraph, 226 table, 78 ulist._</w:t>
      </w:r>
    </w:p>
    <w:p>
      <w:pPr>
        <w:spacing w:before="0" w:after="0"/>
      </w:pPr>
      <w:r>
        <w:br w:type="page"/>
      </w:r>
    </w:p>
    <w:p>
      <w:pPr>
        <w:pStyle w:val="Heading2"/>
        <w:keepNext/>
      </w:pPr>
      <w:r>
        <w:t>Appendix B — Assumptions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V3 Section ID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B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V3 Heading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Appendix B — Assumptions Register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Status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RENDERED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Assembly Mode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full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V2 Sources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Complete Assumption Schedule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Is Appendix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Yes</w:t>
            </w:r>
          </w:p>
        </w:tc>
      </w:tr>
    </w:tbl>
    <w:p>
      <w:pPr>
        <w:spacing w:after="120"/>
      </w:pPr>
    </w:p>
    <w:p>
      <w:pPr/>
      <w:r>
        <w:rPr>
          <w:rFonts w:ascii="Calibri" w:hAnsi="Calibri"/>
          <w:b w:val="0"/>
          <w:sz w:val="19"/>
        </w:rPr>
        <w:t>_Content segments: 1 blockquote, 64 heading, 61 hr, 362 paragraph, 2 table, 4 ulist._</w:t>
      </w:r>
    </w:p>
    <w:p>
      <w:pPr>
        <w:spacing w:before="0" w:after="0"/>
      </w:pPr>
      <w:r>
        <w:br w:type="page"/>
      </w:r>
    </w:p>
    <w:p>
      <w:pPr>
        <w:pStyle w:val="Heading2"/>
        <w:keepNext/>
      </w:pPr>
      <w:r>
        <w:t>Appendix C — Reference Detail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V3 Section ID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C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V3 Heading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Appendix C — Reference Detail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Status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RENDERED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Assembly Mode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passthrough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V2 Sources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Client References</w:t>
            </w:r>
          </w:p>
        </w:tc>
      </w:tr>
      <w:tr>
        <w:tc>
          <w:tcPr>
            <w:tcW w:type="dxa" w:w="4513"/>
            <w:shd w:val="clear" w:color="auto" w:fill="E8F3E8"/>
            <w:tcBorders>
              <w:top w:val="single" w:sz="4" w:space="0" w:color="2E8B57"/>
              <w:left w:val="single" w:sz="4" w:space="0" w:color="2E8B57"/>
              <w:bottom w:val="single" w:sz="4" w:space="0" w:color="2E8B57"/>
              <w:right w:val="single" w:sz="4" w:space="0" w:color="2E8B57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5C3A"/>
                <w:sz w:val="18"/>
              </w:rPr>
              <w:t>Is Appendix</w:t>
            </w:r>
          </w:p>
        </w:tc>
        <w:tc>
          <w:tcPr>
            <w:tcW w:type="dxa" w:w="4513"/>
            <w:shd w:val="clear" w:color="auto" w:fill="F8FFF8"/>
            <w:tcBorders>
              <w:top w:val="single" w:sz="4" w:space="0" w:color="D0E8D0"/>
              <w:left w:val="single" w:sz="4" w:space="0" w:color="D0E8D0"/>
              <w:bottom w:val="single" w:sz="4" w:space="0" w:color="D0E8D0"/>
              <w:right w:val="single" w:sz="4" w:space="0" w:color="D0E8D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8"/>
              </w:rPr>
              <w:t>Yes</w:t>
            </w:r>
          </w:p>
        </w:tc>
      </w:tr>
    </w:tbl>
    <w:p>
      <w:pPr>
        <w:spacing w:after="120"/>
      </w:pPr>
    </w:p>
    <w:p>
      <w:pPr/>
      <w:r>
        <w:rPr>
          <w:rFonts w:ascii="Calibri" w:hAnsi="Calibri"/>
          <w:b w:val="0"/>
          <w:sz w:val="19"/>
        </w:rPr>
        <w:t>_Content segments: 2 blockquote, 3 comment, 2 paragraph, 1 ulist._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9072"/>
      </w:tabs>
      <w:pBdr>
        <w:top w:val="single" w:sz="6" w:space="1" w:color="00467F"/>
      </w:pBdr>
    </w:pPr>
    <w:r>
      <w:rPr>
        <w:rFonts w:ascii="Calibri" w:hAnsi="Calibri"/>
        <w:color w:val="808080"/>
        <w:sz w:val="18"/>
      </w:rPr>
      <w:t>APPSolve (Pty) Ltd  |  PLENNEGY-HCM-001</w:t>
      <w:tab/>
    </w:r>
    <w:r>
      <w:rPr>
        <w:rFonts w:ascii="Calibri" w:hAnsi="Calibri"/>
        <w:color w:val="808080"/>
        <w:sz w:val="18"/>
      </w:rPr>
      <w:t xml:space="preserve">Page </w:t>
      <w:fldChar w:fldCharType="begin"/>
      <w:instrText xml:space="preserve"> PAGE </w:instrText>
      <w:fldChar w:fldCharType="end"/>
    </w:r>
    <w:r>
      <w:rPr>
        <w:rFonts w:ascii="Calibri" w:hAnsi="Calibri"/>
        <w:color w:val="808080"/>
        <w:sz w:val="18"/>
      </w:rPr>
      <w:t xml:space="preserve"> of </w:t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9072"/>
      </w:tabs>
      <w:pBdr>
        <w:bottom w:val="single" w:sz="6" w:space="1" w:color="00467F"/>
      </w:pBdr>
    </w:pPr>
    <w:r>
      <w:rPr>
        <w:rFonts w:ascii="Calibri" w:hAnsi="Calibri"/>
        <w:b/>
        <w:color w:val="00467F"/>
        <w:sz w:val="18"/>
      </w:rPr>
      <w:t>TRACEABILITY REPORT V3 — APPSolve INTERNAL</w:t>
    </w:r>
    <w:r>
      <w:rPr>
        <w:sz w:val="18"/>
      </w:rPr>
      <w:tab/>
    </w:r>
    <w:r>
      <w:rPr>
        <w:rFonts w:ascii="Calibri" w:hAnsi="Calibri"/>
        <w:color w:val="808080"/>
        <w:sz w:val="18"/>
      </w:rPr>
      <w:t>PLENNEGY-HCM-001  |  PF2-008  |  GOVERNANCE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/>
    </w:pPr>
    <w:rPr>
      <w:rFonts w:ascii="Calibri" w:hAnsi="Calibri"/>
      <w:color w:val="40404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00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467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00467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0070C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/>
      <w:outlineLvl w:val="3"/>
    </w:pPr>
    <w:rPr>
      <w:rFonts w:asciiTheme="majorHAnsi" w:eastAsiaTheme="majorEastAsia" w:hAnsiTheme="majorHAnsi" w:cstheme="majorBidi" w:ascii="Calibri" w:hAnsi="Calibri"/>
      <w:b/>
      <w:bCs/>
      <w:i w:val="0"/>
      <w:iCs/>
      <w:color w:val="4040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60"/>
      <w:outlineLvl w:val="4"/>
    </w:pPr>
    <w:rPr>
      <w:rFonts w:asciiTheme="majorHAnsi" w:eastAsiaTheme="majorEastAsia" w:hAnsiTheme="majorHAnsi" w:cstheme="majorBidi" w:ascii="Calibri" w:hAnsi="Calibri"/>
      <w:b/>
      <w:i w:val="0"/>
      <w:color w:val="40404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