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PPPE Internal Review Pack</w:t>
      </w:r>
    </w:p>
    <w:p>
      <w:pPr>
        <w:spacing w:after="160"/>
        <w:jc w:val="center"/>
      </w:pPr>
      <w:r>
        <w:rPr>
          <w:rFonts w:ascii="Calibri" w:hAnsi="Calibri"/>
          <w:color w:val="0070C0"/>
          <w:sz w:val="22"/>
        </w:rPr>
        <w:t>PLENNEGY-HCM-001  |  2026-06-30  |  PPPE v1.0  |  PROFILE_INTERNAL</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**INTERNAL USE ONLY.**</w:t>
            </w:r>
            <w:r>
              <w:rPr>
                <w:rFonts w:ascii="Calibri" w:hAnsi="Calibri"/>
                <w:b w:val="0"/>
                <w:sz w:val="20"/>
              </w:rPr>
              <w:t xml:space="preserve"> Complete unfiltered rendered content. All sections present. Policy rules NOT applied. Do NOT distribute to clients.</w:t>
            </w:r>
          </w:p>
        </w:tc>
      </w:tr>
    </w:tbl>
    <w:p>
      <w:pPr>
        <w:spacing w:before="0" w:after="120"/>
      </w:pPr>
    </w:p>
    <w:p>
      <w:pPr>
        <w:pStyle w:val="Heading1"/>
        <w:spacing w:before="0"/>
      </w:pPr>
      <w:r>
        <w:t>PPPE Policy Application Summary</w:t>
      </w:r>
    </w:p>
    <w:tbl>
      <w:tblPr>
        <w:tblStyle w:val="TableGrid"/>
        <w:tblW w:type="auto" w:w="0"/>
        <w:tblLook w:firstColumn="1" w:firstRow="1" w:lastColumn="0" w:lastRow="0" w:noHBand="0" w:noVBand="1" w:val="04A0"/>
      </w:tblPr>
      <w:tblGrid>
        <w:gridCol w:w="4513"/>
        <w:gridCol w:w="4513"/>
      </w:tblGrid>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excluded (customer)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 packs summarized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replacements (Rule 6)</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 removals (Rule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Annotation removals (Rule 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decision tables removed (Rule 4)</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subsections removed (Rule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Segments in / 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3145 → 1248</w:t>
            </w:r>
          </w:p>
        </w:tc>
      </w:tr>
    </w:tbl>
    <w:p>
      <w:pPr>
        <w:spacing w:before="0" w:after="0"/>
      </w:pPr>
      <w:r>
        <w:br w:type="page"/>
      </w:r>
    </w:p>
    <w:p>
      <w:pPr>
        <w:spacing w:before="0" w:after="0"/>
      </w:pPr>
      <w:r>
        <w:br w:type="page"/>
      </w:r>
    </w:p>
    <w:p>
      <w:pPr>
        <w:pStyle w:val="Heading2"/>
        <w:keepNext/>
      </w:pPr>
      <w:r>
        <w:t>Table of Contents</w:t>
      </w:r>
    </w:p>
    <w:p>
      <w:pPr/>
      <w:r>
        <w:rPr>
          <w:rFonts w:ascii="Calibri" w:hAnsi="Calibri"/>
          <w:b w:val="0"/>
          <w:sz w:val="18"/>
        </w:rPr>
        <w:t>[INTERNAL] Status: RENDERED — unfiltered content</w:t>
      </w:r>
    </w:p>
    <w:p>
      <w:pPr>
        <w:pStyle w:val="ListBullet"/>
        <w:spacing w:before="20" w:after="20"/>
      </w:pPr>
      <w:r>
        <w:rPr>
          <w:rFonts w:ascii="Calibri" w:hAnsi="Calibri"/>
          <w:b w:val="0"/>
          <w:sz w:val="22"/>
        </w:rPr>
        <w:t>1. Company Overview</w:t>
      </w:r>
    </w:p>
    <w:p>
      <w:pPr>
        <w:pStyle w:val="ListBullet"/>
        <w:spacing w:before="20" w:after="20"/>
      </w:pPr>
      <w:r>
        <w:rPr>
          <w:rFonts w:ascii="Calibri" w:hAnsi="Calibri"/>
          <w:b w:val="0"/>
          <w:sz w:val="22"/>
        </w:rPr>
        <w:t>2. Company History</w:t>
      </w:r>
    </w:p>
    <w:p>
      <w:pPr>
        <w:pStyle w:val="ListBullet"/>
        <w:spacing w:before="20" w:after="20"/>
      </w:pPr>
      <w:r>
        <w:rPr>
          <w:rFonts w:ascii="Calibri" w:hAnsi="Calibri"/>
          <w:b w:val="0"/>
          <w:sz w:val="22"/>
        </w:rPr>
        <w:t>3. Awards and Recognition</w:t>
      </w:r>
    </w:p>
    <w:p>
      <w:pPr>
        <w:pStyle w:val="ListBullet"/>
        <w:spacing w:before="20" w:after="20"/>
      </w:pPr>
      <w:r>
        <w:rPr>
          <w:rFonts w:ascii="Calibri" w:hAnsi="Calibri"/>
          <w:b w:val="0"/>
          <w:sz w:val="22"/>
        </w:rPr>
        <w:t>4. Delivery Model</w:t>
      </w:r>
    </w:p>
    <w:p>
      <w:pPr>
        <w:pStyle w:val="ListBullet"/>
        <w:spacing w:before="20" w:after="20"/>
      </w:pPr>
      <w:r>
        <w:rPr>
          <w:rFonts w:ascii="Calibri" w:hAnsi="Calibri"/>
          <w:b w:val="0"/>
          <w:sz w:val="22"/>
        </w:rPr>
        <w:t>5. Geographic Presence</w:t>
      </w:r>
    </w:p>
    <w:p>
      <w:pPr>
        <w:pStyle w:val="ListBullet"/>
        <w:spacing w:before="20" w:after="20"/>
      </w:pPr>
      <w:r>
        <w:rPr>
          <w:rFonts w:ascii="Calibri" w:hAnsi="Calibri"/>
          <w:b w:val="0"/>
          <w:sz w:val="22"/>
        </w:rPr>
        <w:t>6. Key Differentiators</w:t>
      </w:r>
    </w:p>
    <w:p>
      <w:pPr>
        <w:pStyle w:val="ListBullet"/>
        <w:spacing w:before="20" w:after="20"/>
      </w:pPr>
      <w:r>
        <w:rPr>
          <w:rFonts w:ascii="Calibri" w:hAnsi="Calibri"/>
          <w:b w:val="0"/>
          <w:sz w:val="22"/>
        </w:rPr>
        <w:t>7. Oracle Partnership</w:t>
      </w:r>
    </w:p>
    <w:p>
      <w:pPr>
        <w:pStyle w:val="ListBullet"/>
        <w:spacing w:before="20" w:after="20"/>
      </w:pPr>
      <w:r>
        <w:rPr>
          <w:rFonts w:ascii="Calibri" w:hAnsi="Calibri"/>
          <w:b w:val="0"/>
          <w:sz w:val="22"/>
        </w:rPr>
        <w:t>8. B-BBEE Compliance Statement</w:t>
      </w:r>
    </w:p>
    <w:p>
      <w:pPr>
        <w:pStyle w:val="ListBullet"/>
        <w:spacing w:before="20" w:after="20"/>
      </w:pPr>
      <w:r>
        <w:rPr>
          <w:rFonts w:ascii="Calibri" w:hAnsi="Calibri"/>
          <w:b w:val="0"/>
          <w:sz w:val="22"/>
        </w:rPr>
        <w:t>9. Executive Summary</w:t>
      </w:r>
    </w:p>
    <w:p>
      <w:pPr>
        <w:pStyle w:val="ListBullet"/>
        <w:spacing w:before="20" w:after="20"/>
      </w:pPr>
      <w:r>
        <w:rPr>
          <w:rFonts w:ascii="Calibri" w:hAnsi="Calibri"/>
          <w:b w:val="0"/>
          <w:sz w:val="22"/>
        </w:rPr>
        <w:t>10. Understanding of Requirements</w:t>
      </w:r>
    </w:p>
    <w:p>
      <w:pPr>
        <w:pStyle w:val="ListBullet"/>
        <w:spacing w:before="20" w:after="20"/>
      </w:pPr>
      <w:r>
        <w:rPr>
          <w:rFonts w:ascii="Calibri" w:hAnsi="Calibri"/>
          <w:b w:val="0"/>
          <w:sz w:val="22"/>
        </w:rPr>
        <w:t>11. Proposed Solution Overview</w:t>
      </w:r>
    </w:p>
    <w:p>
      <w:pPr>
        <w:pStyle w:val="ListBullet"/>
        <w:spacing w:before="20" w:after="20"/>
      </w:pPr>
      <w:r>
        <w:rPr>
          <w:rFonts w:ascii="Calibri" w:hAnsi="Calibri"/>
          <w:b w:val="0"/>
          <w:sz w:val="22"/>
        </w:rPr>
        <w:t>12. Oracle Fusion HCM Capability</w:t>
      </w:r>
    </w:p>
    <w:p>
      <w:pPr>
        <w:pStyle w:val="ListBullet"/>
        <w:spacing w:before="20" w:after="20"/>
      </w:pPr>
      <w:r>
        <w:rPr>
          <w:rFonts w:ascii="Calibri" w:hAnsi="Calibri"/>
          <w:b w:val="0"/>
          <w:sz w:val="22"/>
        </w:rPr>
        <w:t>13. Oracle Fusion ERP Capability</w:t>
      </w:r>
    </w:p>
    <w:p>
      <w:pPr>
        <w:pStyle w:val="ListBullet"/>
        <w:spacing w:before="20" w:after="20"/>
      </w:pPr>
      <w:r>
        <w:rPr>
          <w:rFonts w:ascii="Calibri" w:hAnsi="Calibri"/>
          <w:b w:val="0"/>
          <w:sz w:val="22"/>
        </w:rPr>
        <w:t>14. Oracle OIC / Integration Capability</w:t>
      </w:r>
    </w:p>
    <w:p>
      <w:pPr>
        <w:pStyle w:val="ListBullet"/>
        <w:spacing w:before="20" w:after="20"/>
      </w:pPr>
      <w:r>
        <w:rPr>
          <w:rFonts w:ascii="Calibri" w:hAnsi="Calibri"/>
          <w:b w:val="0"/>
          <w:sz w:val="22"/>
        </w:rPr>
        <w:t>15. Scope of Work — Inclusions</w:t>
      </w:r>
    </w:p>
    <w:p>
      <w:pPr>
        <w:pStyle w:val="ListBullet"/>
        <w:spacing w:before="20" w:after="20"/>
      </w:pPr>
      <w:r>
        <w:rPr>
          <w:rFonts w:ascii="Calibri" w:hAnsi="Calibri"/>
          <w:b w:val="0"/>
          <w:sz w:val="22"/>
        </w:rPr>
        <w:t>16. Scope of Work — Exclusions</w:t>
      </w:r>
    </w:p>
    <w:p>
      <w:pPr>
        <w:pStyle w:val="ListBullet"/>
        <w:spacing w:before="20" w:after="20"/>
      </w:pPr>
      <w:r>
        <w:rPr>
          <w:rFonts w:ascii="Calibri" w:hAnsi="Calibri"/>
          <w:b w:val="0"/>
          <w:sz w:val="22"/>
        </w:rPr>
        <w:t>17. Deliverables</w:t>
      </w:r>
    </w:p>
    <w:p>
      <w:pPr>
        <w:pStyle w:val="ListBullet"/>
        <w:spacing w:before="20" w:after="20"/>
      </w:pPr>
      <w:r>
        <w:rPr>
          <w:rFonts w:ascii="Calibri" w:hAnsi="Calibri"/>
          <w:b w:val="0"/>
          <w:sz w:val="22"/>
        </w:rPr>
        <w:t>18. Dependencies</w:t>
      </w:r>
    </w:p>
    <w:p>
      <w:pPr>
        <w:pStyle w:val="ListBullet"/>
        <w:spacing w:before="20" w:after="20"/>
      </w:pPr>
      <w:r>
        <w:rPr>
          <w:rFonts w:ascii="Calibri" w:hAnsi="Calibri"/>
          <w:b w:val="0"/>
          <w:sz w:val="22"/>
        </w:rPr>
        <w:t>19. Implementation Methodology</w:t>
      </w:r>
    </w:p>
    <w:p>
      <w:pPr>
        <w:pStyle w:val="ListBullet"/>
        <w:spacing w:before="20" w:after="20"/>
      </w:pPr>
      <w:r>
        <w:rPr>
          <w:rFonts w:ascii="Calibri" w:hAnsi="Calibri"/>
          <w:b w:val="0"/>
          <w:sz w:val="22"/>
        </w:rPr>
        <w:t>20. Project Plan / Timeline</w:t>
      </w:r>
    </w:p>
    <w:p>
      <w:pPr>
        <w:pStyle w:val="ListBullet"/>
        <w:spacing w:before="20" w:after="20"/>
      </w:pPr>
      <w:r>
        <w:rPr>
          <w:rFonts w:ascii="Calibri" w:hAnsi="Calibri"/>
          <w:b w:val="0"/>
          <w:sz w:val="22"/>
        </w:rPr>
        <w:t>21. Project Governance</w:t>
      </w:r>
    </w:p>
    <w:p>
      <w:pPr>
        <w:pStyle w:val="ListBullet"/>
        <w:spacing w:before="20" w:after="20"/>
      </w:pPr>
      <w:r>
        <w:rPr>
          <w:rFonts w:ascii="Calibri" w:hAnsi="Calibri"/>
          <w:b w:val="0"/>
          <w:sz w:val="22"/>
        </w:rPr>
        <w:t>22. RAID Framework</w:t>
      </w:r>
    </w:p>
    <w:p>
      <w:pPr>
        <w:pStyle w:val="ListBullet"/>
        <w:spacing w:before="20" w:after="20"/>
      </w:pPr>
      <w:r>
        <w:rPr>
          <w:rFonts w:ascii="Calibri" w:hAnsi="Calibri"/>
          <w:b w:val="0"/>
          <w:sz w:val="22"/>
        </w:rPr>
        <w:t>23. Change Control Framework</w:t>
      </w:r>
    </w:p>
    <w:p>
      <w:pPr>
        <w:pStyle w:val="ListBullet"/>
        <w:spacing w:before="20" w:after="20"/>
      </w:pPr>
      <w:r>
        <w:rPr>
          <w:rFonts w:ascii="Calibri" w:hAnsi="Calibri"/>
          <w:b w:val="0"/>
          <w:sz w:val="22"/>
        </w:rPr>
        <w:t>24. Cutover / Go-Live Plan</w:t>
      </w:r>
    </w:p>
    <w:p>
      <w:pPr>
        <w:pStyle w:val="ListBullet"/>
        <w:spacing w:before="20" w:after="20"/>
      </w:pPr>
      <w:r>
        <w:rPr>
          <w:rFonts w:ascii="Calibri" w:hAnsi="Calibri"/>
          <w:b w:val="0"/>
          <w:sz w:val="22"/>
        </w:rPr>
        <w:t>25. Team Structure</w:t>
      </w:r>
    </w:p>
    <w:p>
      <w:pPr>
        <w:pStyle w:val="ListBullet"/>
        <w:spacing w:before="20" w:after="20"/>
      </w:pPr>
      <w:r>
        <w:rPr>
          <w:rFonts w:ascii="Calibri" w:hAnsi="Calibri"/>
          <w:b w:val="0"/>
          <w:sz w:val="22"/>
        </w:rPr>
        <w:t>26. Key Assumptions (Body Section)</w:t>
      </w:r>
    </w:p>
    <w:p>
      <w:pPr>
        <w:pStyle w:val="ListBullet"/>
        <w:spacing w:before="20" w:after="20"/>
      </w:pPr>
      <w:r>
        <w:rPr>
          <w:rFonts w:ascii="Calibri" w:hAnsi="Calibri"/>
          <w:b w:val="0"/>
          <w:sz w:val="22"/>
        </w:rPr>
        <w:t>27. Risk Register</w:t>
      </w:r>
    </w:p>
    <w:p>
      <w:pPr>
        <w:pStyle w:val="ListBullet"/>
        <w:spacing w:before="20" w:after="20"/>
      </w:pPr>
      <w:r>
        <w:rPr>
          <w:rFonts w:ascii="Calibri" w:hAnsi="Calibri"/>
          <w:b w:val="0"/>
          <w:sz w:val="22"/>
        </w:rPr>
        <w:t>28. Commercial Assumptions</w:t>
      </w:r>
    </w:p>
    <w:p>
      <w:pPr>
        <w:pStyle w:val="ListBullet"/>
        <w:spacing w:before="20" w:after="20"/>
      </w:pPr>
      <w:r>
        <w:rPr>
          <w:rFonts w:ascii="Calibri" w:hAnsi="Calibri"/>
          <w:b w:val="0"/>
          <w:sz w:val="22"/>
        </w:rPr>
        <w:t>29. Commercials / Pricing</w:t>
      </w:r>
    </w:p>
    <w:p>
      <w:pPr>
        <w:pStyle w:val="ListBullet"/>
        <w:spacing w:before="20" w:after="20"/>
      </w:pPr>
      <w:r>
        <w:rPr>
          <w:rFonts w:ascii="Calibri" w:hAnsi="Calibri"/>
          <w:b w:val="0"/>
          <w:sz w:val="22"/>
        </w:rPr>
        <w:t>30. Compliance Schedule</w:t>
      </w:r>
    </w:p>
    <w:p>
      <w:pPr>
        <w:pStyle w:val="ListBullet"/>
        <w:spacing w:before="20" w:after="20"/>
      </w:pPr>
      <w:r>
        <w:rPr>
          <w:rFonts w:ascii="Calibri" w:hAnsi="Calibri"/>
          <w:b w:val="0"/>
          <w:sz w:val="22"/>
        </w:rPr>
        <w:t>31. Company Registration</w:t>
      </w:r>
    </w:p>
    <w:p>
      <w:pPr>
        <w:pStyle w:val="ListBullet"/>
        <w:spacing w:before="20" w:after="20"/>
      </w:pPr>
      <w:r>
        <w:rPr>
          <w:rFonts w:ascii="Calibri" w:hAnsi="Calibri"/>
          <w:b w:val="0"/>
          <w:sz w:val="22"/>
        </w:rPr>
        <w:t>32. Tax Clearance</w:t>
      </w:r>
    </w:p>
    <w:p>
      <w:pPr>
        <w:pStyle w:val="ListBullet"/>
        <w:spacing w:before="20" w:after="20"/>
      </w:pPr>
      <w:r>
        <w:rPr>
          <w:rFonts w:ascii="Calibri" w:hAnsi="Calibri"/>
          <w:b w:val="0"/>
          <w:sz w:val="22"/>
        </w:rPr>
        <w:t>33. Directors' Resolution</w:t>
      </w:r>
    </w:p>
    <w:p>
      <w:pPr>
        <w:pStyle w:val="ListBullet"/>
        <w:spacing w:before="20" w:after="20"/>
      </w:pPr>
      <w:r>
        <w:rPr>
          <w:rFonts w:ascii="Calibri" w:hAnsi="Calibri"/>
          <w:b w:val="0"/>
          <w:sz w:val="22"/>
        </w:rPr>
        <w:t>34. B-BBEE Certificate</w:t>
      </w:r>
    </w:p>
    <w:p>
      <w:pPr>
        <w:pStyle w:val="ListBullet"/>
        <w:spacing w:before="20" w:after="20"/>
      </w:pPr>
      <w:r>
        <w:rPr>
          <w:rFonts w:ascii="Calibri" w:hAnsi="Calibri"/>
          <w:b w:val="0"/>
          <w:sz w:val="22"/>
        </w:rPr>
        <w:t>35. Public Liability Insurance</w:t>
      </w:r>
    </w:p>
    <w:p>
      <w:pPr>
        <w:pStyle w:val="ListBullet"/>
        <w:spacing w:before="20" w:after="20"/>
      </w:pPr>
      <w:r>
        <w:rPr>
          <w:rFonts w:ascii="Calibri" w:hAnsi="Calibri"/>
          <w:b w:val="0"/>
          <w:sz w:val="22"/>
        </w:rPr>
        <w:t>36. Oracle OPN Certificate</w:t>
      </w:r>
    </w:p>
    <w:p>
      <w:pPr>
        <w:pStyle w:val="ListBullet"/>
        <w:spacing w:before="20" w:after="20"/>
      </w:pPr>
      <w:r>
        <w:rPr>
          <w:rFonts w:ascii="Calibri" w:hAnsi="Calibri"/>
          <w:b w:val="0"/>
          <w:sz w:val="22"/>
        </w:rPr>
        <w:t>37. Client References</w:t>
      </w:r>
    </w:p>
    <w:p>
      <w:pPr>
        <w:pStyle w:val="ListBullet2"/>
        <w:spacing w:before="20" w:after="20"/>
      </w:pPr>
      <w:r>
        <w:rPr>
          <w:rFonts w:ascii="Calibri" w:hAnsi="Calibri"/>
          <w:b w:val="0"/>
          <w:sz w:val="22"/>
        </w:rPr>
        <w:t>Appendix A — Complete Assumption Schedule</w:t>
      </w:r>
    </w:p>
    <w:p>
      <w:pPr>
        <w:pStyle w:val="ListBullet2"/>
        <w:spacing w:before="20" w:after="20"/>
      </w:pPr>
      <w:r>
        <w:rPr>
          <w:rFonts w:ascii="Calibri" w:hAnsi="Calibri"/>
          <w:b w:val="0"/>
          <w:sz w:val="22"/>
        </w:rPr>
        <w:t>Appendix D — Certifications and Compliance</w:t>
      </w:r>
    </w:p>
    <w:p>
      <w:pPr>
        <w:pStyle w:val="ListBullet2"/>
        <w:spacing w:before="20" w:after="20"/>
      </w:pPr>
      <w:r>
        <w:rPr>
          <w:rFonts w:ascii="Calibri" w:hAnsi="Calibri"/>
          <w:b w:val="0"/>
          <w:sz w:val="22"/>
        </w:rPr>
        <w:t>Appendix E — B-BBEE Certificate</w:t>
      </w:r>
    </w:p>
    <w:p>
      <w:pPr>
        <w:spacing w:before="0" w:after="0"/>
      </w:pPr>
      <w:r>
        <w:br w:type="page"/>
      </w:r>
    </w:p>
    <w:p>
      <w:pPr>
        <w:pStyle w:val="Heading2"/>
        <w:keepNext/>
      </w:pPr>
      <w:r>
        <w:t>1. Company Overview</w:t>
      </w:r>
    </w:p>
    <w:p>
      <w:pPr/>
      <w:r>
        <w:rPr>
          <w:rFonts w:ascii="Calibri" w:hAnsi="Calibri"/>
          <w:b w:val="0"/>
          <w:sz w:val="18"/>
        </w:rPr>
        <w:t>[INTERNAL] Status: RENDERED — unfiltered content</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p>
      <w:pPr/>
      <w:r>
        <w:rPr>
          <w:rFonts w:ascii="Calibri" w:hAnsi="Calibri"/>
          <w:b w:val="0"/>
          <w:sz w:val="18"/>
        </w:rPr>
        <w:t>[INTERNAL] Status: RENDERED — unfiltered content</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p>
      <w:pPr/>
      <w:r>
        <w:rPr>
          <w:rFonts w:ascii="Calibri" w:hAnsi="Calibri"/>
          <w:b w:val="0"/>
          <w:sz w:val="18"/>
        </w:rPr>
        <w:t>[INTERNAL] Status: RENDERED — unfiltered content</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t>4. Delivery Model</w:t>
      </w:r>
    </w:p>
    <w:p>
      <w:pPr/>
      <w:r>
        <w:rPr>
          <w:rFonts w:ascii="Calibri" w:hAnsi="Calibri"/>
          <w:b w:val="0"/>
          <w:sz w:val="18"/>
        </w:rPr>
        <w:t>[INTERNAL] Status: RENDERED — unfiltered content</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p>
      <w:pPr/>
      <w:r>
        <w:rPr>
          <w:rFonts w:ascii="Calibri" w:hAnsi="Calibri"/>
          <w:b w:val="0"/>
          <w:sz w:val="18"/>
        </w:rPr>
        <w:t>[INTERNAL] Status: RENDERED — unfiltered content</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p>
      <w:pPr/>
      <w:r>
        <w:rPr>
          <w:rFonts w:ascii="Calibri" w:hAnsi="Calibri"/>
          <w:b w:val="0"/>
          <w:sz w:val="18"/>
        </w:rPr>
        <w:t>[INTERNAL] Status: RENDERED — unfiltered content</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p>
      <w:pPr/>
      <w:r>
        <w:rPr>
          <w:rFonts w:ascii="Calibri" w:hAnsi="Calibri"/>
          <w:b w:val="0"/>
          <w:sz w:val="18"/>
        </w:rPr>
        <w:t>[INTERNAL] Status: RENDERED — unfiltered content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t>8. B-BBEE Compliance Statement</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t>9. Executive Summary</w:t>
      </w:r>
    </w:p>
    <w:p>
      <w:pPr/>
      <w:r>
        <w:rPr>
          <w:rFonts w:ascii="Calibri" w:hAnsi="Calibri"/>
          <w:b w:val="0"/>
          <w:sz w:val="18"/>
        </w:rPr>
        <w:t>[INTERNAL] Status: AI-DRAFT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10. Understanding of Requirements</w:t>
      </w:r>
    </w:p>
    <w:p>
      <w:pPr/>
      <w:r>
        <w:rPr>
          <w:rFonts w:ascii="Calibri" w:hAnsi="Calibri"/>
          <w:b w:val="0"/>
          <w:sz w:val="18"/>
        </w:rPr>
        <w:t>[INTERNAL] Status: AI-DRAFT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11. Proposed Solution Overview</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t>12. Oracle Fusion HCM Capability</w:t>
      </w:r>
    </w:p>
    <w:p>
      <w:pPr/>
      <w:r>
        <w:rPr>
          <w:rFonts w:ascii="Calibri" w:hAnsi="Calibri"/>
          <w:b w:val="0"/>
          <w:sz w:val="18"/>
        </w:rPr>
        <w:t>[INTERNAL] Status: RENDERED — unfiltered content</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W3S1-002-ORA-TalentMgmt | Version: 1.2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W3S1-003-ORA-RecruitingCloud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W3S1-004-ORA-LearningCloud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W3S1-006-ORA-HCMAnalytics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W3S1-007-ORA-WorkforceManagement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W4-AI-002-ORA-AISkills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W4-HCM-002-ORA-Journeys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t>13. Oracle Fusion ERP Capability</w:t>
      </w:r>
    </w:p>
    <w:p>
      <w:pPr/>
      <w:r>
        <w:rPr>
          <w:rFonts w:ascii="Calibri" w:hAnsi="Calibri"/>
          <w:b w:val="0"/>
          <w:sz w:val="18"/>
        </w:rPr>
        <w:t>[INTERNAL] Status: RENDERED — unfiltered content</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t>14. Oracle OIC / Integration Capability</w:t>
      </w:r>
    </w:p>
    <w:p>
      <w:pPr/>
      <w:r>
        <w:rPr>
          <w:rFonts w:ascii="Calibri" w:hAnsi="Calibri"/>
          <w:b w:val="0"/>
          <w:sz w:val="18"/>
        </w:rPr>
        <w:t>[INTERNAL] Status: RENDERED — unfiltered content</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15. Scope of Work — Inclusions</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Inclusions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inclusions before submission</w:t>
            </w:r>
          </w:p>
        </w:tc>
      </w:tr>
    </w:tbl>
    <w:p>
      <w:pPr>
        <w:spacing w:before="0" w:after="120"/>
      </w:pPr>
    </w:p>
    <w:p>
      <w:pPr>
        <w:spacing w:before="0" w:after="0"/>
      </w:pPr>
      <w:r>
        <w:br w:type="page"/>
      </w:r>
    </w:p>
    <w:p>
      <w:pPr>
        <w:pStyle w:val="Heading2"/>
        <w:keepNext/>
      </w:pPr>
      <w:r>
        <w:t>16. Scope of Work — Exclusions</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Exclusions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exclusions before submission</w:t>
            </w:r>
          </w:p>
        </w:tc>
      </w:tr>
    </w:tbl>
    <w:p>
      <w:pPr>
        <w:spacing w:before="0" w:after="120"/>
      </w:pPr>
    </w:p>
    <w:p>
      <w:pPr>
        <w:spacing w:before="0" w:after="0"/>
      </w:pPr>
      <w:r>
        <w:br w:type="page"/>
      </w:r>
    </w:p>
    <w:p>
      <w:pPr>
        <w:pStyle w:val="Heading2"/>
        <w:keepNext/>
      </w:pPr>
      <w:r>
        <w:t>17. Deliverables</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Deliverables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deliverables list for completeness</w:t>
            </w:r>
          </w:p>
        </w:tc>
      </w:tr>
    </w:tbl>
    <w:p>
      <w:pPr>
        <w:spacing w:before="0" w:after="120"/>
      </w:pPr>
    </w:p>
    <w:p>
      <w:pPr>
        <w:spacing w:before="0" w:after="0"/>
      </w:pPr>
      <w:r>
        <w:br w:type="page"/>
      </w:r>
    </w:p>
    <w:p>
      <w:pPr>
        <w:pStyle w:val="Heading2"/>
        <w:keepNext/>
      </w:pPr>
      <w:r>
        <w:t>18. Dependencies</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Dependencies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client dependencies extracted from assumption packs</w:t>
            </w:r>
          </w:p>
        </w:tc>
      </w:tr>
    </w:tbl>
    <w:p>
      <w:pPr>
        <w:spacing w:before="0" w:after="120"/>
      </w:pPr>
    </w:p>
    <w:p>
      <w:pPr>
        <w:spacing w:before="0" w:after="0"/>
      </w:pPr>
      <w:r>
        <w:br w:type="page"/>
      </w:r>
    </w:p>
    <w:p>
      <w:pPr>
        <w:pStyle w:val="Heading2"/>
        <w:keepNext/>
      </w:pPr>
      <w:r>
        <w:t>19. Implementation Methodology</w:t>
      </w:r>
    </w:p>
    <w:p>
      <w:pPr/>
      <w:r>
        <w:rPr>
          <w:rFonts w:ascii="Calibri" w:hAnsi="Calibri"/>
          <w:b w:val="0"/>
          <w:sz w:val="18"/>
        </w:rPr>
        <w:t>[INTERNAL] Status: RENDERED — unfiltered content</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Tailor phases to tender-specific timeline; AMS: EXCLUDED (use S-73 instead)</w:t>
            </w:r>
          </w:p>
        </w:tc>
      </w:tr>
    </w:tbl>
    <w:p>
      <w:pPr>
        <w:spacing w:before="0" w:after="120"/>
      </w:pPr>
    </w:p>
    <w:p>
      <w:pPr>
        <w:spacing w:before="0" w:after="0"/>
      </w:pPr>
      <w:r>
        <w:br w:type="page"/>
      </w:r>
    </w:p>
    <w:p>
      <w:pPr>
        <w:pStyle w:val="Heading2"/>
        <w:keepNext/>
      </w:pPr>
      <w:r>
        <w:t>20. Project Plan / Timeline</w:t>
      </w:r>
    </w:p>
    <w:p>
      <w:pPr/>
      <w:r>
        <w:rPr>
          <w:rFonts w:ascii="Calibri" w:hAnsi="Calibri"/>
          <w:b w:val="0"/>
          <w:sz w:val="18"/>
        </w:rPr>
        <w:t>[INTERNAL] Status: RENDERED — unfiltered content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21. Project Governance</w:t>
      </w:r>
    </w:p>
    <w:p>
      <w:pPr/>
      <w:r>
        <w:rPr>
          <w:rFonts w:ascii="Calibri" w:hAnsi="Calibri"/>
          <w:b w:val="0"/>
          <w:sz w:val="18"/>
        </w:rPr>
        <w:t>[INTERNAL] Status: RENDERED — unfiltered content</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22. RAID Framework</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t>23. Change Control Framework</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t>24. Cutover / Go-Live Plan</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Cutover / Go-Live Plan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EXCLUDED for AMS (no cutover in ongoing AMS)</w:t>
            </w:r>
          </w:p>
        </w:tc>
      </w:tr>
    </w:tbl>
    <w:p>
      <w:pPr>
        <w:spacing w:before="0" w:after="120"/>
      </w:pPr>
    </w:p>
    <w:p>
      <w:pPr>
        <w:spacing w:before="0" w:after="0"/>
      </w:pPr>
      <w:r>
        <w:br w:type="page"/>
      </w:r>
    </w:p>
    <w:p>
      <w:pPr>
        <w:pStyle w:val="Heading2"/>
        <w:keepNext/>
      </w:pPr>
      <w:r>
        <w:t>25. Team Structure</w:t>
      </w:r>
    </w:p>
    <w:p>
      <w:pPr/>
      <w:r>
        <w:rPr>
          <w:rFonts w:ascii="Calibri" w:hAnsi="Calibri"/>
          <w:b w:val="0"/>
          <w:sz w:val="18"/>
        </w:rPr>
        <w:t>[INTERNAL] Status: RENDERED — unfiltered content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p>
      <w:pPr/>
      <w:r>
        <w:rPr>
          <w:rFonts w:ascii="Calibri" w:hAnsi="Calibri"/>
          <w:b w:val="0"/>
          <w:sz w:val="18"/>
        </w:rPr>
        <w:t>[INTERNAL] Status: RENDERED — unfiltered content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SI-006: must appear BEFORE S-52 Pricing</w:t>
            </w:r>
          </w:p>
        </w:tc>
      </w:tr>
    </w:tbl>
    <w:p>
      <w:pPr>
        <w:spacing w:before="0" w:after="120"/>
      </w:pPr>
    </w:p>
    <w:p>
      <w:pPr>
        <w:spacing w:before="0" w:after="0"/>
      </w:pPr>
      <w:r>
        <w:br w:type="page"/>
      </w:r>
    </w:p>
    <w:p>
      <w:pPr>
        <w:pStyle w:val="Heading2"/>
        <w:keepNext/>
      </w:pPr>
      <w:r>
        <w:t>27. Risk Register</w:t>
      </w:r>
    </w:p>
    <w:p>
      <w:pPr/>
      <w:r>
        <w:rPr>
          <w:rFonts w:ascii="Calibri" w:hAnsi="Calibri"/>
          <w:b w:val="0"/>
          <w:sz w:val="18"/>
        </w:rPr>
        <w:t>[INTERNAL] Status: AI-DRAFT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28. Commercial Assumptions</w:t>
      </w:r>
    </w:p>
    <w:p>
      <w:pPr/>
      <w:r>
        <w:rPr>
          <w:rFonts w:ascii="Calibri" w:hAnsi="Calibri"/>
          <w:b w:val="0"/>
          <w:sz w:val="18"/>
        </w:rPr>
        <w:t>[INTERNAL] Status: RENDERED — unfiltered content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extracted from selected assumption packs</w:t>
            </w:r>
          </w:p>
        </w:tc>
      </w:tr>
    </w:tbl>
    <w:p>
      <w:pPr>
        <w:spacing w:before="0" w:after="120"/>
      </w:pPr>
    </w:p>
    <w:p>
      <w:pPr>
        <w:spacing w:before="0" w:after="0"/>
      </w:pPr>
      <w:r>
        <w:br w:type="page"/>
      </w:r>
    </w:p>
    <w:p>
      <w:pPr>
        <w:pStyle w:val="Heading2"/>
        <w:keepNext/>
      </w:pPr>
      <w:r>
        <w:t>29. Commercials / Pricing</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SI-006: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t>30. Compliance Schedule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Compliance Schedule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all expiry dates &gt; submission date; expired items flagged</w:t>
            </w:r>
          </w:p>
        </w:tc>
      </w:tr>
    </w:tbl>
    <w:p>
      <w:pPr>
        <w:spacing w:before="0" w:after="120"/>
      </w:pPr>
    </w:p>
    <w:p>
      <w:pPr>
        <w:spacing w:before="0" w:after="0"/>
      </w:pPr>
      <w:r>
        <w:br w:type="page"/>
      </w:r>
    </w:p>
    <w:p>
      <w:pPr>
        <w:pStyle w:val="Heading2"/>
        <w:keepNext/>
      </w:pPr>
      <w:r>
        <w:t>31. Company Registration</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t>32. Tax Clearance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t>33. Directors' Resolution</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t>34. B-BBEE Certificate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Expires 2026-07-31 — do not submit after that date without renewal cert</w:t>
            </w:r>
          </w:p>
        </w:tc>
      </w:tr>
    </w:tbl>
    <w:p>
      <w:pPr>
        <w:spacing w:before="0" w:after="120"/>
      </w:pPr>
    </w:p>
    <w:p>
      <w:pPr>
        <w:spacing w:before="0" w:after="0"/>
      </w:pPr>
      <w:r>
        <w:br w:type="page"/>
      </w:r>
    </w:p>
    <w:p>
      <w:pPr>
        <w:pStyle w:val="Heading2"/>
        <w:keepNext/>
      </w:pPr>
      <w:r>
        <w:t>35. Public Liability Insurance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t>36. Oracle OPN Certificate</w:t>
      </w:r>
    </w:p>
    <w:p>
      <w:pPr/>
      <w:r>
        <w:rPr>
          <w:rFonts w:ascii="Calibri" w:hAnsi="Calibri"/>
          <w:b w:val="0"/>
          <w:sz w:val="18"/>
        </w:rPr>
        <w:t>[INTERNAL] Status: RENDERED — unfiltered content</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t>37. Client References</w:t>
      </w:r>
    </w:p>
    <w:p>
      <w:pPr/>
      <w:r>
        <w:rPr>
          <w:rFonts w:ascii="Calibri" w:hAnsi="Calibri"/>
          <w:b w:val="0"/>
          <w:sz w:val="18"/>
        </w:rPr>
        <w:t>[INTERNAL] Status: RENDERED — unfiltered content</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Appendix A — Complete Assumption Schedule</w:t>
      </w:r>
    </w:p>
    <w:p>
      <w:pPr/>
      <w:r>
        <w:rPr>
          <w:rFonts w:ascii="Calibri" w:hAnsi="Calibri"/>
          <w:b w:val="0"/>
          <w:sz w:val="18"/>
        </w:rPr>
        <w:t>[INTERNAL] Status: RENDERED — unfiltered content</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all WP17D-1 validation checks must pass; counts match body sections</w:t>
            </w:r>
          </w:p>
        </w:tc>
      </w:tr>
    </w:tbl>
    <w:p>
      <w:pPr>
        <w:spacing w:before="0" w:after="120"/>
      </w:pPr>
    </w:p>
    <w:p>
      <w:pPr>
        <w:spacing w:before="0" w:after="0"/>
      </w:pPr>
      <w:r>
        <w:br w:type="page"/>
      </w:r>
    </w:p>
    <w:p>
      <w:pPr>
        <w:pStyle w:val="Heading2"/>
        <w:keepNext/>
      </w:pPr>
      <w:r>
        <w:t>Appendix D — Certifications and Compliance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t>Appendix E — B-BBEE Certificate</w:t>
      </w:r>
    </w:p>
    <w:p>
      <w:pPr/>
      <w:r>
        <w:rPr>
          <w:rFonts w:ascii="Calibri" w:hAnsi="Calibri"/>
          <w:b w:val="0"/>
          <w:sz w:val="18"/>
        </w:rPr>
        <w:t>[INTERNAL] Status: PLACEHOLDER — unfiltered content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w:t>
    </w:r>
    <w:r>
      <w:rPr>
        <w:sz w:val="18"/>
      </w:rPr>
      <w:tab/>
    </w:r>
    <w:r>
      <w:rPr>
        <w:rFonts w:ascii="Calibri" w:hAnsi="Calibri"/>
        <w:color w:val="808080"/>
        <w:sz w:val="18"/>
      </w:rPr>
      <w:t>PLENNEGY-HCM-001  |  PPPE v1.0  |  INTERNAL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