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PPPE Review Proposal</w:t>
      </w:r>
    </w:p>
    <w:p>
      <w:pPr>
        <w:spacing w:after="160"/>
        <w:jc w:val="center"/>
      </w:pPr>
      <w:r>
        <w:rPr>
          <w:rFonts w:ascii="Calibri" w:hAnsi="Calibri"/>
          <w:color w:val="0070C0"/>
          <w:sz w:val="22"/>
        </w:rPr>
        <w:t>PLENNEGY-HCM-001  |  2026-06-30  |  PPPE v1.0  |  PROFILE_REVIEW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**PROFILE_REVIEW**</w:t>
            </w:r>
            <w:r>
              <w:rPr>
                <w:rFonts w:ascii="Calibri" w:hAnsi="Calibri"/>
                <w:b w:val="0"/>
                <w:sz w:val="20"/>
              </w:rPr>
              <w:t xml:space="preserve"> — Customer content with policy annotations. Shows what was published AND what was removed by each rule. For editorial review only — not for client distribution.</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**Policy Application:**</w:t>
            </w:r>
            <w:r>
              <w:rPr>
                <w:rFonts w:ascii="Calibri" w:hAnsi="Calibri"/>
                <w:b w:val="0"/>
                <w:sz w:val="20"/>
              </w:rPr>
              <w:t xml:space="preserve"> OUM replacements=48 | ID removals=5 | Annotations removed=0 | BU tables removed=0 | Gov subsections removed=64 | Sections excluded=0 | Packs summarized=10</w:t>
            </w:r>
          </w:p>
        </w:tc>
      </w:tr>
    </w:tbl>
    <w:p>
      <w:pPr>
        <w:spacing w:before="0" w:after="120"/>
      </w:pPr>
    </w:p>
    <w:p>
      <w:pPr>
        <w:spacing w:before="0" w:after="0"/>
      </w:pPr>
      <w:r>
        <w:br w:type="page"/>
      </w:r>
    </w:p>
    <w:p>
      <w:pPr>
        <w:spacing w:before="0" w:after="0"/>
      </w:pPr>
      <w:r>
        <w:br w:type="page"/>
      </w:r>
    </w:p>
    <w:p>
      <w:pPr>
        <w:pStyle w:val="Heading2"/>
        <w:keepNext/>
      </w:pPr>
      <w:r>
        <w:t>9. Executive Summary</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10. Understanding of Requirements</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11. Proposed Solution Overview</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Proposed Solution Overview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merged content for coherence across modules</w:t>
            </w:r>
          </w:p>
        </w:tc>
      </w:tr>
    </w:tbl>
    <w:p>
      <w:pPr>
        <w:spacing w:before="0" w:after="120"/>
      </w:pPr>
    </w:p>
    <w:p>
      <w:pPr>
        <w:spacing w:before="0" w:after="0"/>
      </w:pPr>
      <w:r>
        <w:br w:type="page"/>
      </w:r>
    </w:p>
    <w:p>
      <w:pPr>
        <w:pStyle w:val="Heading2"/>
        <w:keepNext/>
      </w:pPr>
      <w:r>
        <w:t>1. Company Overview</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t>2. Company History</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t>3. Awards and Recognition</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award table is current before submission</w:t>
            </w:r>
          </w:p>
        </w:tc>
      </w:tr>
    </w:tbl>
    <w:p>
      <w:pPr>
        <w:spacing w:before="0" w:after="120"/>
      </w:pPr>
    </w:p>
    <w:p>
      <w:pPr>
        <w:spacing w:before="0" w:after="0"/>
      </w:pPr>
      <w:r>
        <w:br w:type="page"/>
      </w:r>
    </w:p>
    <w:p>
      <w:pPr>
        <w:pStyle w:val="Heading2"/>
        <w:keepNext/>
      </w:pPr>
      <w:r>
        <w:t>4. Delivery Model</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t>5. Geographic Presence</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t>6. Key Differentiators</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t>7. Oracle Partnership</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OPN Level 1 revalidation; never cite Oracle Gold Partner</w:t>
            </w:r>
          </w:p>
        </w:tc>
      </w:tr>
    </w:tbl>
    <w:p>
      <w:pPr>
        <w:spacing w:before="0" w:after="120"/>
      </w:pPr>
    </w:p>
    <w:p>
      <w:pPr>
        <w:spacing w:before="0" w:after="0"/>
      </w:pPr>
      <w:r>
        <w:br w:type="page"/>
      </w:r>
    </w:p>
    <w:p>
      <w:pPr>
        <w:pStyle w:val="Heading2"/>
        <w:keepNext/>
      </w:pPr>
      <w:r>
        <w:t>8. B-BBEE Compliance Statement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Compliance Statement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B-BBEE cert expiry date; never cite status after 2026-07-31 without renewal</w:t>
            </w:r>
          </w:p>
        </w:tc>
      </w:tr>
    </w:tbl>
    <w:p>
      <w:pPr>
        <w:spacing w:before="0" w:after="120"/>
      </w:pPr>
    </w:p>
    <w:p>
      <w:pPr>
        <w:spacing w:before="0" w:after="0"/>
      </w:pPr>
      <w:r>
        <w:br w:type="page"/>
      </w:r>
    </w:p>
    <w:p>
      <w:pPr>
        <w:pStyle w:val="Heading2"/>
        <w:keepNext/>
      </w:pPr>
      <w:r>
        <w:t>19. Implementation Methodology</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Oracle's Modern Best Practices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Oracle's Modern Best Practices Alignment</w:t>
      </w:r>
    </w:p>
    <w:p>
      <w:pPr/>
      <w:r>
        <w:rPr>
          <w:rFonts w:ascii="Calibri" w:hAnsi="Calibri"/>
          <w:b w:val="0"/>
          <w:sz w:val="22"/>
        </w:rPr>
        <w:t>Every APPSolve Oracle implementation is structured according to the Oracle's Modern Best Practices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Oracle's Modern Best Practices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Heading5"/>
        <w:keepNext/>
      </w:pPr>
      <w:r>
        <w:rPr>
          <w:rFonts w:ascii="Calibri" w:hAnsi="Calibri"/>
          <w:b w:val="0"/>
          <w:sz w:val="22"/>
        </w:rPr>
        <w:t>6.5 Prototype 2 — CRP2</w:t>
      </w:r>
    </w:p>
    <w:p>
      <w:pPr>
        <w:pStyle w:val="Heading5"/>
        <w:keepNext/>
      </w:pPr>
      <w:r>
        <w:rPr>
          <w:rFonts w:ascii="Calibri" w:hAnsi="Calibri"/>
          <w:b w:val="0"/>
          <w:sz w:val="22"/>
        </w:rPr>
        <w:t>6.6 System Integration Testing (SIT)</w:t>
      </w:r>
    </w:p>
    <w:p>
      <w:pPr>
        <w:pBdr>
          <w:bottom w:val="single" w:sz="4" w:space="1" w:color="CCCCCC"/>
        </w:pBdr>
        <w:spacing w:before="80" w:after="80"/>
      </w:pPr>
    </w:p>
    <w:p>
      <w:pPr>
        <w:pStyle w:val="Heading4"/>
        <w:keepNext/>
      </w:pPr>
      <w:r>
        <w:rPr>
          <w:rFonts w:ascii="Calibri" w:hAnsi="Calibri"/>
          <w:b w:val="0"/>
          <w:sz w:val="22"/>
        </w:rPr>
        <w:t>7. Validate Phase</w:t>
      </w:r>
    </w:p>
    <w:p>
      <w:pPr>
        <w:pStyle w:val="Heading5"/>
        <w:keepNext/>
      </w:pPr>
      <w:r>
        <w:rPr>
          <w:rFonts w:ascii="Calibri" w:hAnsi="Calibri"/>
          <w:b w:val="0"/>
          <w:sz w:val="22"/>
        </w:rPr>
        <w:t>7.1 Production-to-Test Copy</w:t>
      </w:r>
    </w:p>
    <w:p>
      <w:pPr>
        <w:pStyle w:val="Heading5"/>
        <w:keepNext/>
      </w:pPr>
      <w:r>
        <w:rPr>
          <w:rFonts w:ascii="Calibri" w:hAnsi="Calibri"/>
          <w:b w:val="0"/>
          <w:sz w:val="22"/>
        </w:rPr>
        <w:t>7.2 Final Validation</w:t>
      </w:r>
    </w:p>
    <w:p>
      <w:pPr>
        <w:pStyle w:val="Heading5"/>
        <w:keepNext/>
      </w:pPr>
      <w:r>
        <w:rPr>
          <w:rFonts w:ascii="Calibri" w:hAnsi="Calibri"/>
          <w:b w:val="0"/>
          <w:sz w:val="22"/>
        </w:rPr>
        <w:t>7.3 Documentation Finalisation</w:t>
      </w:r>
    </w:p>
    <w:p>
      <w:pPr>
        <w:pStyle w:val="Heading5"/>
        <w:keepNext/>
      </w:pPr>
      <w:r>
        <w:rPr>
          <w:rFonts w:ascii="Calibri" w:hAnsi="Calibri"/>
          <w:b w:val="0"/>
          <w:sz w:val="22"/>
        </w:rPr>
        <w:t>7.4 Go-Live Preparation</w:t>
      </w:r>
    </w:p>
    <w:p>
      <w:pPr>
        <w:pBdr>
          <w:bottom w:val="single" w:sz="4" w:space="1" w:color="CCCCCC"/>
        </w:pBdr>
        <w:spacing w:before="80" w:after="80"/>
      </w:pPr>
    </w:p>
    <w:p>
      <w:pPr>
        <w:pStyle w:val="Heading4"/>
        <w:keepNext/>
      </w:pPr>
      <w:r>
        <w:rPr>
          <w:rFonts w:ascii="Calibri" w:hAnsi="Calibri"/>
          <w:b w:val="0"/>
          <w:sz w:val="22"/>
        </w:rPr>
        <w:t>8. Deploy Phase</w:t>
      </w:r>
    </w:p>
    <w:p>
      <w:pPr>
        <w:pStyle w:val="Heading5"/>
        <w:keepNext/>
      </w:pPr>
      <w:r>
        <w:rPr>
          <w:rFonts w:ascii="Calibri" w:hAnsi="Calibri"/>
          <w:b w:val="0"/>
          <w:sz w:val="22"/>
        </w:rPr>
        <w:t>8.1 Production Build</w:t>
      </w:r>
    </w:p>
    <w:p>
      <w:pPr>
        <w:pStyle w:val="Heading5"/>
        <w:keepNext/>
      </w:pPr>
      <w:r>
        <w:rPr>
          <w:rFonts w:ascii="Calibri" w:hAnsi="Calibri"/>
          <w:b w:val="0"/>
          <w:sz w:val="22"/>
        </w:rPr>
        <w:t>8.2 User Enablement</w:t>
      </w:r>
    </w:p>
    <w:p>
      <w:pPr>
        <w:pStyle w:val="Heading5"/>
        <w:keepNext/>
      </w:pPr>
      <w:r>
        <w:rPr>
          <w:rFonts w:ascii="Calibri" w:hAnsi="Calibri"/>
          <w:b w:val="0"/>
          <w:sz w:val="22"/>
        </w:rPr>
        <w:t>8.3 Go-Live Execution</w:t>
      </w:r>
    </w:p>
    <w:p>
      <w:pPr>
        <w:pBdr>
          <w:bottom w:val="single" w:sz="4" w:space="1" w:color="CCCCCC"/>
        </w:pBdr>
        <w:spacing w:before="80" w:after="80"/>
      </w:pPr>
    </w:p>
    <w:p>
      <w:pPr>
        <w:pStyle w:val="Heading4"/>
        <w:keepNext/>
      </w:pPr>
      <w:r>
        <w:rPr>
          <w:rFonts w:ascii="Calibri" w:hAnsi="Calibri"/>
          <w:b w:val="0"/>
          <w:sz w:val="22"/>
        </w:rPr>
        <w:t>9. Evolve / Hyper-care Phase</w:t>
      </w:r>
    </w:p>
    <w:p>
      <w:pPr>
        <w:pStyle w:val="Heading5"/>
        <w:keepNext/>
      </w:pPr>
      <w:r>
        <w:rPr>
          <w:rFonts w:ascii="Calibri" w:hAnsi="Calibri"/>
          <w:b w:val="0"/>
          <w:sz w:val="22"/>
        </w:rPr>
        <w:t>9.1 Hyper-care (~3 Months)</w:t>
      </w:r>
    </w:p>
    <w:p>
      <w:pPr>
        <w:pStyle w:val="Heading5"/>
        <w:keepNext/>
      </w:pPr>
      <w:r>
        <w:rPr>
          <w:rFonts w:ascii="Calibri" w:hAnsi="Calibri"/>
          <w:b w:val="0"/>
          <w:sz w:val="22"/>
        </w:rPr>
        <w:t>9.2 Critical Care (~6 Months)</w:t>
      </w:r>
    </w:p>
    <w:p>
      <w:pPr>
        <w:pStyle w:val="Heading5"/>
        <w:keepNext/>
      </w:pPr>
      <w:r>
        <w:rPr>
          <w:rFonts w:ascii="Calibri" w:hAnsi="Calibri"/>
          <w:b w:val="0"/>
          <w:sz w:val="22"/>
        </w:rPr>
        <w:t>9.3 Steady-State Transition</w:t>
      </w:r>
    </w:p>
    <w:p>
      <w:pPr>
        <w:pBdr>
          <w:bottom w:val="single" w:sz="4" w:space="1" w:color="CCCCCC"/>
        </w:pBdr>
        <w:spacing w:before="80" w:after="80"/>
      </w:pPr>
    </w:p>
    <w:p>
      <w:pPr>
        <w:pStyle w:val="Heading4"/>
        <w:keepNext/>
      </w:pPr>
      <w:r>
        <w:rPr>
          <w:rFonts w:ascii="Calibri" w:hAnsi="Calibri"/>
          <w:b w:val="0"/>
          <w:sz w:val="22"/>
        </w:rPr>
        <w:t>10. Project Governance Framework</w:t>
      </w:r>
    </w:p>
    <w:p>
      <w:pPr>
        <w:pStyle w:val="Heading5"/>
        <w:keepNext/>
      </w:pPr>
      <w:r>
        <w:rPr>
          <w:rFonts w:ascii="Calibri" w:hAnsi="Calibri"/>
          <w:b w:val="0"/>
          <w:sz w:val="22"/>
        </w:rPr>
        <w:t>10.1 Risk Management</w:t>
      </w:r>
    </w:p>
    <w:p>
      <w:pPr>
        <w:pStyle w:val="Heading5"/>
        <w:keepNext/>
      </w:pPr>
      <w:r>
        <w:rPr>
          <w:rFonts w:ascii="Calibri" w:hAnsi="Calibri"/>
          <w:b w:val="0"/>
          <w:sz w:val="22"/>
        </w:rPr>
        <w:t>10.2 Issue Management</w:t>
      </w:r>
    </w:p>
    <w:p>
      <w:pPr>
        <w:pStyle w:val="Heading5"/>
        <w:keepNext/>
      </w:pPr>
      <w:r>
        <w:rPr>
          <w:rFonts w:ascii="Calibri" w:hAnsi="Calibri"/>
          <w:b w:val="0"/>
          <w:sz w:val="22"/>
        </w:rPr>
        <w:t>10.3 Change Control</w:t>
      </w:r>
    </w:p>
    <w:p>
      <w:pPr>
        <w:pStyle w:val="Heading5"/>
        <w:keepNext/>
      </w:pPr>
      <w:r>
        <w:rPr>
          <w:rFonts w:ascii="Calibri" w:hAnsi="Calibri"/>
          <w:b w:val="0"/>
          <w:sz w:val="22"/>
        </w:rPr>
        <w:t>10.4 Configuration Management</w:t>
      </w:r>
    </w:p>
    <w:p>
      <w:pPr>
        <w:pStyle w:val="Heading5"/>
        <w:keepNext/>
      </w:pPr>
      <w:r>
        <w:rPr>
          <w:rFonts w:ascii="Calibri" w:hAnsi="Calibri"/>
          <w:b w:val="0"/>
          <w:sz w:val="22"/>
        </w:rPr>
        <w:t>10.5 Governance Integration with Client Structures</w:t>
      </w:r>
    </w:p>
    <w:p>
      <w:pPr>
        <w:pBdr>
          <w:bottom w:val="single" w:sz="4" w:space="1" w:color="CCCCCC"/>
        </w:pBdr>
        <w:spacing w:before="80" w:after="80"/>
      </w:pPr>
    </w:p>
    <w:p>
      <w:pPr>
        <w:pStyle w:val="Heading4"/>
        <w:keepNext/>
      </w:pPr>
      <w:r>
        <w:rPr>
          <w:rFonts w:ascii="Calibri" w:hAnsi="Calibri"/>
          <w:b w:val="0"/>
          <w:sz w:val="22"/>
        </w:rPr>
        <w:t>11. Oracle Delivery Accelerators</w:t>
      </w:r>
    </w:p>
    <w:p>
      <w:pPr>
        <w:pStyle w:val="Heading5"/>
        <w:keepNext/>
      </w:pPr>
      <w:r>
        <w:rPr>
          <w:rFonts w:ascii="Calibri" w:hAnsi="Calibri"/>
          <w:b w:val="0"/>
          <w:sz w:val="22"/>
        </w:rPr>
        <w:t>11.1 Oracle Integration Cloud (OIC)</w:t>
      </w:r>
    </w:p>
    <w:p>
      <w:pPr>
        <w:pStyle w:val="Heading5"/>
        <w:keepNext/>
      </w:pPr>
      <w:r>
        <w:rPr>
          <w:rFonts w:ascii="Calibri" w:hAnsi="Calibri"/>
          <w:b w:val="0"/>
          <w:sz w:val="22"/>
        </w:rPr>
        <w:t>11.2 Oracle FBDI (File Based Data Import)</w:t>
      </w:r>
    </w:p>
    <w:p>
      <w:pPr>
        <w:pStyle w:val="Heading5"/>
        <w:keepNext/>
      </w:pPr>
      <w:r>
        <w:rPr>
          <w:rFonts w:ascii="Calibri" w:hAnsi="Calibri"/>
          <w:b w:val="0"/>
          <w:sz w:val="22"/>
        </w:rPr>
        <w:t>11.3 Oracle Starter Configurator and Modern Best Practices</w:t>
      </w:r>
    </w:p>
    <w:p>
      <w:pPr>
        <w:pStyle w:val="Heading5"/>
        <w:keepNext/>
      </w:pPr>
      <w:r>
        <w:rPr>
          <w:rFonts w:ascii="Calibri" w:hAnsi="Calibri"/>
          <w:b w:val="0"/>
          <w:sz w:val="22"/>
        </w:rPr>
        <w:t>11.4 Oracle Guided Learning</w:t>
      </w:r>
    </w:p>
    <w:p>
      <w:pPr>
        <w:pStyle w:val="Heading5"/>
        <w:keepNext/>
      </w:pPr>
      <w:r>
        <w:rPr>
          <w:rFonts w:ascii="Calibri" w:hAnsi="Calibri"/>
          <w:b w:val="0"/>
          <w:sz w:val="22"/>
        </w:rPr>
        <w:t>11.5 Oracle University Training</w:t>
      </w:r>
    </w:p>
    <w:p>
      <w:pPr>
        <w:pStyle w:val="Heading5"/>
        <w:keepNext/>
      </w:pPr>
      <w:r>
        <w:rPr>
          <w:rFonts w:ascii="Calibri" w:hAnsi="Calibri"/>
          <w:b w:val="0"/>
          <w:sz w:val="22"/>
        </w:rPr>
        <w:t>11.6 Oracle's Modern Best Practices Documentation Standards</w:t>
      </w:r>
    </w:p>
    <w:p>
      <w:pPr>
        <w:pStyle w:val="Heading5"/>
        <w:keepNext/>
      </w:pPr>
      <w:r>
        <w:rPr>
          <w:rFonts w:ascii="Calibri" w:hAnsi="Calibri"/>
          <w:b w:val="0"/>
          <w:sz w:val="22"/>
        </w:rPr>
        <w:t>11.7 OCI Security Documentation</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pStyle w:val="Heading5"/>
        <w:keepNext/>
      </w:pPr>
      <w:r>
        <w:rPr>
          <w:rFonts w:ascii="Calibri" w:hAnsi="Calibri"/>
          <w:b w:val="0"/>
          <w:sz w:val="22"/>
        </w:rPr>
        <w:t>12.1 Module Sequencing</w:t>
      </w:r>
    </w:p>
    <w:p>
      <w:pPr>
        <w:pStyle w:val="Heading5"/>
        <w:keepNext/>
      </w:pPr>
      <w:r>
        <w:rPr>
          <w:rFonts w:ascii="Calibri" w:hAnsi="Calibri"/>
          <w:b w:val="0"/>
          <w:sz w:val="22"/>
        </w:rPr>
        <w:t>12.2 OIC as Mandatory Architecture Component</w:t>
      </w:r>
    </w:p>
    <w:p>
      <w:pPr>
        <w:pStyle w:val="Heading5"/>
        <w:keepNext/>
      </w:pPr>
      <w:r>
        <w:rPr>
          <w:rFonts w:ascii="Calibri" w:hAnsi="Calibri"/>
          <w:b w:val="0"/>
          <w:sz w:val="22"/>
        </w:rPr>
        <w:t>12.3 Oracle Quarterly Patch Cycle</w:t>
      </w:r>
    </w:p>
    <w:p>
      <w:pPr>
        <w:pStyle w:val="Heading5"/>
        <w:keepNext/>
      </w:pPr>
      <w:r>
        <w:rPr>
          <w:rFonts w:ascii="Calibri" w:hAnsi="Calibri"/>
          <w:b w:val="0"/>
          <w:sz w:val="22"/>
        </w:rPr>
        <w:t>12.4 Security and Role Design</w:t>
      </w:r>
    </w:p>
    <w:p>
      <w:pPr>
        <w:pStyle w:val="Heading5"/>
        <w:keepNext/>
      </w:pPr>
      <w:r>
        <w:rPr>
          <w:rFonts w:ascii="Calibri" w:hAnsi="Calibri"/>
          <w:b w:val="0"/>
          <w:sz w:val="22"/>
        </w:rPr>
        <w:t>12.5 Multi-Country and Blueprint Rollout</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pStyle w:val="Heading5"/>
        <w:keepNext/>
      </w:pPr>
      <w:r>
        <w:rPr>
          <w:rFonts w:ascii="Calibri" w:hAnsi="Calibri"/>
          <w:b w:val="0"/>
          <w:sz w:val="22"/>
        </w:rPr>
        <w:t>13.1 Oracle's Modern Best Practices on Oracle EBS</w:t>
      </w:r>
    </w:p>
    <w:p>
      <w:pPr>
        <w:pStyle w:val="Heading5"/>
        <w:keepNext/>
      </w:pPr>
      <w:r>
        <w:rPr>
          <w:rFonts w:ascii="Calibri" w:hAnsi="Calibri"/>
          <w:b w:val="0"/>
          <w:sz w:val="22"/>
        </w:rPr>
        <w:t>13.2 Customisation Assessment</w:t>
      </w:r>
    </w:p>
    <w:p>
      <w:pPr>
        <w:pStyle w:val="Heading5"/>
        <w:keepNext/>
      </w:pPr>
      <w:r>
        <w:rPr>
          <w:rFonts w:ascii="Calibri" w:hAnsi="Calibri"/>
          <w:b w:val="0"/>
          <w:sz w:val="22"/>
        </w:rPr>
        <w:t>13.3 EBS-to-OCI Migration</w:t>
      </w:r>
    </w:p>
    <w:p>
      <w:pPr>
        <w:pStyle w:val="Heading5"/>
        <w:keepNext/>
      </w:pPr>
      <w:r>
        <w:rPr>
          <w:rFonts w:ascii="Calibri" w:hAnsi="Calibri"/>
          <w:b w:val="0"/>
          <w:sz w:val="22"/>
        </w:rPr>
        <w:t>13.4 DBA Integration During Implementation</w:t>
      </w:r>
    </w:p>
    <w:p>
      <w:pPr>
        <w:pBdr>
          <w:bottom w:val="single" w:sz="4" w:space="1" w:color="CCCCCC"/>
        </w:pBdr>
        <w:spacing w:before="80" w:after="80"/>
      </w:pPr>
    </w:p>
    <w:p>
      <w:pPr>
        <w:pStyle w:val="Heading4"/>
        <w:keepNext/>
      </w:pPr>
      <w:r>
        <w:rPr>
          <w:rFonts w:ascii="Calibri" w:hAnsi="Calibri"/>
          <w:b w:val="0"/>
          <w:sz w:val="22"/>
        </w:rPr>
        <w:t>14. Transition to Support Services</w:t>
      </w:r>
    </w:p>
    <w:p>
      <w:pPr>
        <w:pStyle w:val="Heading5"/>
        <w:keepNext/>
      </w:pPr>
      <w:r>
        <w:rPr>
          <w:rFonts w:ascii="Calibri" w:hAnsi="Calibri"/>
          <w:b w:val="0"/>
          <w:sz w:val="22"/>
        </w:rPr>
        <w:t>14.1 Transition Planning</w:t>
      </w:r>
    </w:p>
    <w:p>
      <w:pPr>
        <w:pStyle w:val="Heading5"/>
        <w:keepNext/>
      </w:pPr>
      <w:r>
        <w:rPr>
          <w:rFonts w:ascii="Calibri" w:hAnsi="Calibri"/>
          <w:b w:val="0"/>
          <w:sz w:val="22"/>
        </w:rPr>
        <w:t>14.2 Knowledge Transfer</w:t>
      </w:r>
    </w:p>
    <w:p>
      <w:pPr>
        <w:pStyle w:val="Heading5"/>
        <w:keepNext/>
      </w:pPr>
      <w:r>
        <w:rPr>
          <w:rFonts w:ascii="Calibri" w:hAnsi="Calibri"/>
          <w:b w:val="0"/>
          <w:sz w:val="22"/>
        </w:rPr>
        <w:t>14.3 Steady-State Support Handover</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pStyle w:val="Heading5"/>
        <w:keepNext/>
      </w:pPr>
      <w:r>
        <w:rPr>
          <w:rFonts w:ascii="Calibri" w:hAnsi="Calibri"/>
          <w:b w:val="0"/>
          <w:sz w:val="22"/>
        </w:rPr>
        <w:t>15.2 Implementation Depth</w:t>
      </w:r>
    </w:p>
    <w:p>
      <w:pPr>
        <w:pStyle w:val="Heading5"/>
        <w:keepNext/>
      </w:pPr>
      <w:r>
        <w:rPr>
          <w:rFonts w:ascii="Calibri" w:hAnsi="Calibri"/>
          <w:b w:val="0"/>
          <w:sz w:val="22"/>
        </w:rPr>
        <w:t>15.3 OIC Integration Leadership</w:t>
      </w:r>
    </w:p>
    <w:p>
      <w:pPr>
        <w:pStyle w:val="Heading5"/>
        <w:keepNext/>
      </w:pPr>
      <w:r>
        <w:rPr>
          <w:rFonts w:ascii="Calibri" w:hAnsi="Calibri"/>
          <w:b w:val="0"/>
          <w:sz w:val="22"/>
        </w:rPr>
        <w:t>15.4 Local Presence and Delivery Model</w:t>
      </w:r>
    </w:p>
    <w:p>
      <w:pPr>
        <w:pStyle w:val="Heading5"/>
        <w:keepNext/>
      </w:pPr>
      <w:r>
        <w:rPr>
          <w:rFonts w:ascii="Calibri" w:hAnsi="Calibri"/>
          <w:b w:val="0"/>
          <w:sz w:val="22"/>
        </w:rPr>
        <w:t>15.5 Resource Stability</w:t>
      </w:r>
    </w:p>
    <w:p>
      <w:pPr>
        <w:pBdr>
          <w:bottom w:val="single" w:sz="4" w:space="1" w:color="CCCCCC"/>
        </w:pBdr>
        <w:spacing w:before="80" w:after="80"/>
      </w:pPr>
    </w:p>
    <w:p>
      <w:pPr>
        <w:pStyle w:val="Heading4"/>
        <w:keepNext/>
      </w:pPr>
      <w:r>
        <w:rPr>
          <w:rFonts w:ascii="Calibri" w:hAnsi="Calibri"/>
          <w:b w:val="0"/>
          <w:sz w:val="22"/>
        </w:rPr>
        <w:t>16. Conclusion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B — Fact Verification Summary</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12. Oracle Fusion HCM Capability</w:t>
      </w:r>
    </w:p>
    <w:p>
      <w:pPr>
        <w:pStyle w:val="Heading3"/>
        <w:keepNext/>
      </w:pPr>
      <w:r>
        <w:rPr>
          <w:rFonts w:ascii="Calibri" w:hAnsi="Calibri"/>
          <w:b w:val="0"/>
          <w:sz w:val="26"/>
        </w:rPr>
        <w:t>Oracle HCM Core — Global HR and Employee Lifecycle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W3S1-001-ORA-HCMCore | Version: 1.3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Oracle's Modern Best Practices (Oracle's Modern Best Practices)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Modern Best Practices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pStyle w:val="Heading5"/>
        <w:keepNext/>
      </w:pPr>
      <w:r>
        <w:rPr>
          <w:rFonts w:ascii="Calibri" w:hAnsi="Calibri"/>
          <w:b w:val="0"/>
          <w:sz w:val="22"/>
        </w:rPr>
        <w:t>7.3 Configuration Capability</w:t>
      </w:r>
    </w:p>
    <w:p>
      <w:pPr>
        <w:pStyle w:val="Heading5"/>
        <w:keepNext/>
      </w:pPr>
      <w:r>
        <w:rPr>
          <w:rFonts w:ascii="Calibri" w:hAnsi="Calibri"/>
          <w:b w:val="0"/>
          <w:sz w:val="22"/>
        </w:rPr>
        <w:t>7.4 Integration Capability</w:t>
      </w:r>
    </w:p>
    <w:p>
      <w:pPr>
        <w:pStyle w:val="Heading5"/>
        <w:keepNext/>
      </w:pPr>
      <w:r>
        <w:rPr>
          <w:rFonts w:ascii="Calibri" w:hAnsi="Calibri"/>
          <w:b w:val="0"/>
          <w:sz w:val="22"/>
        </w:rPr>
        <w:t>7.5 Managed Services Capability</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pStyle w:val="Heading5"/>
        <w:keepNext/>
      </w:pPr>
      <w:r>
        <w:rPr>
          <w:rFonts w:ascii="Calibri" w:hAnsi="Calibri"/>
          <w:b w:val="0"/>
          <w:sz w:val="22"/>
        </w:rPr>
        <w:t>8.2 Additional Oracle HCM Implementations</w:t>
      </w:r>
    </w:p>
    <w:p>
      <w:pPr>
        <w:pStyle w:val="Heading5"/>
        <w:keepNext/>
      </w:pPr>
      <w:r>
        <w:rPr>
          <w:rFonts w:ascii="Calibri" w:hAnsi="Calibri"/>
          <w:b w:val="0"/>
          <w:sz w:val="22"/>
        </w:rPr>
        <w:t>8.3 Mr Price Group — Oracle HCM Learning Cloud and Support</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pStyle w:val="Heading5"/>
        <w:keepNext/>
      </w:pPr>
      <w:r>
        <w:rPr>
          <w:rFonts w:ascii="Calibri" w:hAnsi="Calibri"/>
          <w:b w:val="0"/>
          <w:sz w:val="22"/>
        </w:rPr>
        <w:t>9.2 Payroll System Integrations</w:t>
      </w:r>
    </w:p>
    <w:p>
      <w:pPr>
        <w:pStyle w:val="Heading5"/>
        <w:keepNext/>
      </w:pPr>
      <w:r>
        <w:rPr>
          <w:rFonts w:ascii="Calibri" w:hAnsi="Calibri"/>
          <w:b w:val="0"/>
          <w:sz w:val="22"/>
        </w:rPr>
        <w:t>9.3 Identity and Access Integrations</w:t>
      </w:r>
    </w:p>
    <w:p>
      <w:pPr>
        <w:pStyle w:val="Heading5"/>
        <w:keepNext/>
      </w:pPr>
      <w:r>
        <w:rPr>
          <w:rFonts w:ascii="Calibri" w:hAnsi="Calibri"/>
          <w:b w:val="0"/>
          <w:sz w:val="22"/>
        </w:rPr>
        <w:t>9.4 Third-Party Enterprise System Integrations</w:t>
      </w:r>
    </w:p>
    <w:p>
      <w:pPr>
        <w:pStyle w:val="Heading5"/>
        <w:keepNext/>
      </w:pPr>
      <w:r>
        <w:rPr>
          <w:rFonts w:ascii="Calibri" w:hAnsi="Calibri"/>
          <w:b w:val="0"/>
          <w:sz w:val="22"/>
        </w:rPr>
        <w:t>9.5 Reporting and Analytics Ecosystem</w:t>
      </w:r>
    </w:p>
    <w:p>
      <w:pPr>
        <w:pStyle w:val="Heading5"/>
        <w:keepNext/>
      </w:pPr>
      <w:r>
        <w:rPr>
          <w:rFonts w:ascii="Calibri" w:hAnsi="Calibri"/>
          <w:b w:val="0"/>
          <w:sz w:val="22"/>
        </w:rPr>
        <w:t>9.6 Integration Patterns</w:t>
      </w: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Oracle's Modern Best Practices</w:t>
      </w:r>
    </w:p>
    <w:p>
      <w:pPr>
        <w:pStyle w:val="Heading5"/>
        <w:keepNext/>
      </w:pPr>
      <w:r>
        <w:rPr>
          <w:rFonts w:ascii="Calibri" w:hAnsi="Calibri"/>
          <w:b w:val="0"/>
          <w:sz w:val="22"/>
        </w:rPr>
        <w:t>10.2 Delivery Phases</w:t>
      </w:r>
    </w:p>
    <w:p>
      <w:pPr>
        <w:pStyle w:val="Heading5"/>
        <w:keepNext/>
      </w:pPr>
      <w:r>
        <w:rPr>
          <w:rFonts w:ascii="Calibri" w:hAnsi="Calibri"/>
          <w:b w:val="0"/>
          <w:sz w:val="22"/>
        </w:rPr>
        <w:t>10.3 Hypercare and Post-Go-Live Support</w:t>
      </w:r>
    </w:p>
    <w:p>
      <w:pPr>
        <w:pStyle w:val="Heading5"/>
        <w:keepNext/>
      </w:pPr>
      <w:r>
        <w:rPr>
          <w:rFonts w:ascii="Calibri" w:hAnsi="Calibri"/>
          <w:b w:val="0"/>
          <w:sz w:val="22"/>
        </w:rPr>
        <w:t>10.4 Governance</w:t>
      </w:r>
    </w:p>
    <w:p>
      <w:pPr>
        <w:pStyle w:val="Heading5"/>
        <w:keepNext/>
      </w:pPr>
      <w:r>
        <w:rPr>
          <w:rFonts w:ascii="Calibri" w:hAnsi="Calibri"/>
          <w:b w:val="0"/>
          <w:sz w:val="22"/>
        </w:rPr>
        <w:t>10.5 Testing</w:t>
      </w:r>
    </w:p>
    <w:p>
      <w:pPr>
        <w:pStyle w:val="Heading5"/>
        <w:keepNext/>
      </w:pPr>
      <w:r>
        <w:rPr>
          <w:rFonts w:ascii="Calibri" w:hAnsi="Calibri"/>
          <w:b w:val="0"/>
          <w:sz w:val="22"/>
        </w:rPr>
        <w:t>10.6 Change Management</w:t>
      </w:r>
    </w:p>
    <w:p>
      <w:pPr>
        <w:pBdr>
          <w:bottom w:val="single" w:sz="4" w:space="1" w:color="CCCCCC"/>
        </w:pBdr>
        <w:spacing w:before="80" w:after="80"/>
      </w:pPr>
    </w:p>
    <w:p>
      <w:pPr>
        <w:pStyle w:val="Heading4"/>
        <w:keepNext/>
      </w:pPr>
      <w:r>
        <w:rPr>
          <w:rFonts w:ascii="Calibri" w:hAnsi="Calibri"/>
          <w:b w:val="0"/>
          <w:sz w:val="22"/>
        </w:rPr>
        <w:t>Section 11 — Risk Register</w:t>
      </w:r>
    </w:p>
    <w:p>
      <w:pPr>
        <w:pBdr>
          <w:bottom w:val="single" w:sz="4" w:space="1" w:color="CCCCCC"/>
        </w:pBdr>
        <w:spacing w:before="80" w:after="80"/>
      </w:pPr>
    </w:p>
    <w:p>
      <w:pPr>
        <w:pStyle w:val="Heading4"/>
        <w:keepNext/>
      </w:pPr>
      <w:r>
        <w:rPr>
          <w:rFonts w:ascii="Calibri" w:hAnsi="Calibri"/>
          <w:b w:val="0"/>
          <w:sz w:val="22"/>
        </w:rPr>
        <w:t>Section 12 — Assumptions Register</w:t>
      </w:r>
    </w:p>
    <w:p>
      <w:pPr>
        <w:pBdr>
          <w:bottom w:val="single" w:sz="4" w:space="1" w:color="CCCCCC"/>
        </w:pBdr>
        <w:spacing w:before="80" w:after="80"/>
      </w:pPr>
    </w:p>
    <w:p>
      <w:pPr>
        <w:pStyle w:val="Heading4"/>
        <w:keepNext/>
      </w:pPr>
      <w:r>
        <w:rPr>
          <w:rFonts w:ascii="Calibri" w:hAnsi="Calibri"/>
          <w:b w:val="0"/>
          <w:sz w:val="22"/>
        </w:rPr>
        <w:t>Section 13 — Source Mapping Table</w:t>
      </w: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p>
      <w:pPr>
        <w:pStyle w:val="Heading5"/>
        <w:keepNext/>
      </w:pPr>
      <w:r>
        <w:rPr>
          <w:rFonts w:ascii="Calibri" w:hAnsi="Calibri"/>
          <w:b w:val="0"/>
          <w:sz w:val="22"/>
        </w:rPr>
        <w:t>14.2 Framing Check</w:t>
      </w:r>
    </w:p>
    <w:p>
      <w:pPr>
        <w:pStyle w:val="Heading5"/>
        <w:keepNext/>
      </w:pPr>
      <w:r>
        <w:rPr>
          <w:rFonts w:ascii="Calibri" w:hAnsi="Calibri"/>
          <w:b w:val="0"/>
          <w:sz w:val="22"/>
        </w:rPr>
        <w:t>14.3 Source Traceability Check</w:t>
      </w:r>
    </w:p>
    <w:p>
      <w:pPr>
        <w:pStyle w:val="Heading5"/>
        <w:keepNext/>
      </w:pPr>
      <w:r>
        <w:rPr>
          <w:rFonts w:ascii="Calibri" w:hAnsi="Calibri"/>
          <w:b w:val="0"/>
          <w:sz w:val="22"/>
        </w:rPr>
        <w:t>14.4 Open Items — ALL CLOSED</w:t>
      </w:r>
    </w:p>
    <w:p>
      <w:pPr>
        <w:pStyle w:val="Heading5"/>
        <w:keepNext/>
      </w:pPr>
      <w:r>
        <w:rPr>
          <w:rFonts w:ascii="Calibri" w:hAnsi="Calibri"/>
          <w:b w:val="0"/>
          <w:sz w:val="22"/>
        </w:rPr>
        <w:t>14.5 BU Lead Corrections Applied</w:t>
      </w:r>
    </w:p>
    <w:p>
      <w:pPr>
        <w:pStyle w:val="Heading5"/>
        <w:keepNext/>
      </w:pPr>
      <w:r>
        <w:rPr>
          <w:rFonts w:ascii="Calibri" w:hAnsi="Calibri"/>
          <w:b w:val="0"/>
          <w:sz w:val="22"/>
        </w:rPr>
        <w:t>14.6 Implementation vs Support Governance Rule (Permanent)</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Changes from v1.2 to v1.3</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pStyle w:val="Heading5"/>
        <w:keepNext/>
      </w:pPr>
      <w:r>
        <w:rPr>
          <w:rFonts w:ascii="Calibri" w:hAnsi="Calibri"/>
          <w:b w:val="0"/>
          <w:sz w:val="22"/>
        </w:rPr>
        <w:t>2.2 Platform Foundation</w:t>
      </w:r>
    </w:p>
    <w:p>
      <w:pPr>
        <w:pStyle w:val="Heading5"/>
        <w:keepNext/>
      </w:pPr>
      <w:r>
        <w:rPr>
          <w:rFonts w:ascii="Calibri" w:hAnsi="Calibri"/>
          <w:b w:val="0"/>
          <w:sz w:val="22"/>
        </w:rPr>
        <w:t>2.3 AI-Assisted Talent Capabilities</w:t>
      </w:r>
    </w:p>
    <w:p>
      <w:pPr>
        <w:pStyle w:val="Heading5"/>
        <w:keepNext/>
      </w:pPr>
      <w:r>
        <w:rPr>
          <w:rFonts w:ascii="Calibri" w:hAnsi="Calibri"/>
          <w:b w:val="0"/>
          <w:sz w:val="22"/>
        </w:rPr>
        <w:t>2.4 HCM Core Dependency</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pStyle w:val="Heading5"/>
        <w:keepNext/>
      </w:pPr>
      <w:r>
        <w:rPr>
          <w:rFonts w:ascii="Calibri" w:hAnsi="Calibri"/>
          <w:b w:val="0"/>
          <w:sz w:val="22"/>
        </w:rPr>
        <w:t>3.2 Person Profiles</w:t>
      </w:r>
    </w:p>
    <w:p>
      <w:pPr>
        <w:pStyle w:val="Heading5"/>
        <w:keepNext/>
      </w:pPr>
      <w:r>
        <w:rPr>
          <w:rFonts w:ascii="Calibri" w:hAnsi="Calibri"/>
          <w:b w:val="0"/>
          <w:sz w:val="22"/>
        </w:rPr>
        <w:t>3.3 Job Profiles</w:t>
      </w:r>
    </w:p>
    <w:p>
      <w:pPr>
        <w:pStyle w:val="Heading5"/>
        <w:keepNext/>
      </w:pPr>
      <w:r>
        <w:rPr>
          <w:rFonts w:ascii="Calibri" w:hAnsi="Calibri"/>
          <w:b w:val="0"/>
          <w:sz w:val="22"/>
        </w:rPr>
        <w:t>3.4 Profile Matching and Talent Search</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pStyle w:val="Heading5"/>
        <w:keepNext/>
      </w:pPr>
      <w:r>
        <w:rPr>
          <w:rFonts w:ascii="Calibri" w:hAnsi="Calibri"/>
          <w:b w:val="0"/>
          <w:sz w:val="22"/>
        </w:rPr>
        <w:t>4.2 Progress Tracking and Check-ins</w:t>
      </w:r>
    </w:p>
    <w:p>
      <w:pPr>
        <w:pStyle w:val="Heading5"/>
        <w:keepNext/>
      </w:pPr>
      <w:r>
        <w:rPr>
          <w:rFonts w:ascii="Calibri" w:hAnsi="Calibri"/>
          <w:b w:val="0"/>
          <w:sz w:val="22"/>
        </w:rPr>
        <w:t>4.3 Goal Sharing and Cross-Team Alignment</w:t>
      </w:r>
    </w:p>
    <w:p>
      <w:pPr>
        <w:pStyle w:val="Heading5"/>
        <w:keepNext/>
      </w:pPr>
      <w:r>
        <w:rPr>
          <w:rFonts w:ascii="Calibri" w:hAnsi="Calibri"/>
          <w:b w:val="0"/>
          <w:sz w:val="22"/>
        </w:rPr>
        <w:t>4.4 Goal and Performance Integration</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pStyle w:val="Heading5"/>
        <w:keepNext/>
      </w:pPr>
      <w:r>
        <w:rPr>
          <w:rFonts w:ascii="Calibri" w:hAnsi="Calibri"/>
          <w:b w:val="0"/>
          <w:sz w:val="22"/>
        </w:rPr>
        <w:t>5.2 Competency Assessment</w:t>
      </w:r>
    </w:p>
    <w:p>
      <w:pPr>
        <w:pStyle w:val="Heading5"/>
        <w:keepNext/>
      </w:pPr>
      <w:r>
        <w:rPr>
          <w:rFonts w:ascii="Calibri" w:hAnsi="Calibri"/>
          <w:b w:val="0"/>
          <w:sz w:val="22"/>
        </w:rPr>
        <w:t>5.3 360-Degree Feedback</w:t>
      </w:r>
    </w:p>
    <w:p>
      <w:pPr>
        <w:pStyle w:val="Heading5"/>
        <w:keepNext/>
      </w:pPr>
      <w:r>
        <w:rPr>
          <w:rFonts w:ascii="Calibri" w:hAnsi="Calibri"/>
          <w:b w:val="0"/>
          <w:sz w:val="22"/>
        </w:rPr>
        <w:t>5.4 Performance Calibration</w:t>
      </w:r>
    </w:p>
    <w:p>
      <w:pPr>
        <w:pStyle w:val="Heading5"/>
        <w:keepNext/>
      </w:pPr>
      <w:r>
        <w:rPr>
          <w:rFonts w:ascii="Calibri" w:hAnsi="Calibri"/>
          <w:b w:val="0"/>
          <w:sz w:val="22"/>
        </w:rPr>
        <w:t>5.5 Performance and Compensation Integration</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pStyle w:val="Heading5"/>
        <w:keepNext/>
      </w:pPr>
      <w:r>
        <w:rPr>
          <w:rFonts w:ascii="Calibri" w:hAnsi="Calibri"/>
          <w:b w:val="0"/>
          <w:sz w:val="22"/>
        </w:rPr>
        <w:t>6.2 Succession Planning</w:t>
      </w:r>
    </w:p>
    <w:p>
      <w:pPr>
        <w:pStyle w:val="Heading5"/>
        <w:keepNext/>
      </w:pPr>
      <w:r>
        <w:rPr>
          <w:rFonts w:ascii="Calibri" w:hAnsi="Calibri"/>
          <w:b w:val="0"/>
          <w:sz w:val="22"/>
        </w:rPr>
        <w:t>6.3 Succession and Talent Review Integration</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pStyle w:val="Heading5"/>
        <w:keepNext/>
      </w:pPr>
      <w:r>
        <w:rPr>
          <w:rFonts w:ascii="Calibri" w:hAnsi="Calibri"/>
          <w:b w:val="0"/>
          <w:sz w:val="22"/>
        </w:rPr>
        <w:t>7.2 Development Plans</w:t>
      </w:r>
    </w:p>
    <w:p>
      <w:pPr>
        <w:pStyle w:val="Heading5"/>
        <w:keepNext/>
      </w:pPr>
      <w:r>
        <w:rPr>
          <w:rFonts w:ascii="Calibri" w:hAnsi="Calibri"/>
          <w:b w:val="0"/>
          <w:sz w:val="22"/>
        </w:rPr>
        <w:t>7.3 Internal Opportunity Marketplace</w:t>
      </w:r>
    </w:p>
    <w:p>
      <w:pPr>
        <w:pStyle w:val="Heading5"/>
        <w:keepNext/>
      </w:pPr>
      <w:r>
        <w:rPr>
          <w:rFonts w:ascii="Calibri" w:hAnsi="Calibri"/>
          <w:b w:val="0"/>
          <w:sz w:val="22"/>
        </w:rPr>
        <w:t>7.4 Mentoring</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pStyle w:val="Heading5"/>
        <w:keepNext/>
      </w:pPr>
      <w:r>
        <w:rPr>
          <w:rFonts w:ascii="Calibri" w:hAnsi="Calibri"/>
          <w:b w:val="0"/>
          <w:sz w:val="22"/>
        </w:rPr>
        <w:t>8.2 Configuration Capability</w:t>
      </w:r>
    </w:p>
    <w:p>
      <w:pPr>
        <w:pStyle w:val="Heading5"/>
        <w:keepNext/>
      </w:pPr>
      <w:r>
        <w:rPr>
          <w:rFonts w:ascii="Calibri" w:hAnsi="Calibri"/>
          <w:b w:val="0"/>
          <w:sz w:val="22"/>
        </w:rPr>
        <w:t>8.3 Delivery Sequencing</w:t>
      </w:r>
    </w:p>
    <w:p>
      <w:pPr>
        <w:pStyle w:val="Heading5"/>
        <w:keepNext/>
      </w:pPr>
      <w:r>
        <w:rPr>
          <w:rFonts w:ascii="Calibri" w:hAnsi="Calibri"/>
          <w:b w:val="0"/>
          <w:sz w:val="22"/>
        </w:rPr>
        <w:t>8.4 Talent Design Workshops</w:t>
      </w:r>
    </w:p>
    <w:p>
      <w:pPr>
        <w:pStyle w:val="Heading5"/>
        <w:keepNext/>
      </w:pPr>
      <w:r>
        <w:rPr>
          <w:rFonts w:ascii="Calibri" w:hAnsi="Calibri"/>
          <w:b w:val="0"/>
          <w:sz w:val="22"/>
        </w:rPr>
        <w:t>8.5 Post-Go-Live and Managed Services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pStyle w:val="Heading5"/>
        <w:keepNext/>
      </w:pPr>
      <w:r>
        <w:rPr>
          <w:rFonts w:ascii="Calibri" w:hAnsi="Calibri"/>
          <w:b w:val="0"/>
          <w:sz w:val="22"/>
        </w:rPr>
        <w:t>9.2 Additional Oracle HCM Implementations</w:t>
      </w:r>
    </w:p>
    <w:p>
      <w:pPr>
        <w:pStyle w:val="Heading5"/>
        <w:keepNext/>
      </w:pPr>
      <w:r>
        <w:rPr>
          <w:rFonts w:ascii="Calibri" w:hAnsi="Calibri"/>
          <w:b w:val="0"/>
          <w:sz w:val="22"/>
        </w:rPr>
        <w:t>9.3 Mr Price Group — Oracle HCM Support</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pStyle w:val="Heading5"/>
        <w:keepNext/>
      </w:pPr>
      <w:r>
        <w:rPr>
          <w:rFonts w:ascii="Calibri" w:hAnsi="Calibri"/>
          <w:b w:val="0"/>
          <w:sz w:val="22"/>
        </w:rPr>
        <w:t>10.2 HCM Core Integration (Mandatory)</w:t>
      </w:r>
    </w:p>
    <w:p>
      <w:pPr>
        <w:pStyle w:val="Heading5"/>
        <w:keepNext/>
      </w:pPr>
      <w:r>
        <w:rPr>
          <w:rFonts w:ascii="Calibri" w:hAnsi="Calibri"/>
          <w:b w:val="0"/>
          <w:sz w:val="22"/>
        </w:rPr>
        <w:t>10.3 Performance to Compensation Integration</w:t>
      </w:r>
    </w:p>
    <w:p>
      <w:pPr>
        <w:pStyle w:val="Heading5"/>
        <w:keepNext/>
      </w:pPr>
      <w:r>
        <w:rPr>
          <w:rFonts w:ascii="Calibri" w:hAnsi="Calibri"/>
          <w:b w:val="0"/>
          <w:sz w:val="22"/>
        </w:rPr>
        <w:t>10.4 Talent to Learning Integration</w:t>
      </w:r>
    </w:p>
    <w:p>
      <w:pPr>
        <w:pStyle w:val="Heading5"/>
        <w:keepNext/>
      </w:pPr>
      <w:r>
        <w:rPr>
          <w:rFonts w:ascii="Calibri" w:hAnsi="Calibri"/>
          <w:b w:val="0"/>
          <w:sz w:val="22"/>
        </w:rPr>
        <w:t>10.5 Reporting and Analytics</w:t>
      </w: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pStyle w:val="Heading5"/>
        <w:keepNext/>
      </w:pPr>
      <w:r>
        <w:rPr>
          <w:rFonts w:ascii="Calibri" w:hAnsi="Calibri"/>
          <w:b w:val="0"/>
          <w:sz w:val="22"/>
        </w:rPr>
        <w:t>11.2 Performance Cycle Timing</w:t>
      </w:r>
    </w:p>
    <w:p>
      <w:pPr>
        <w:pStyle w:val="Heading5"/>
        <w:keepNext/>
      </w:pPr>
      <w:r>
        <w:rPr>
          <w:rFonts w:ascii="Calibri" w:hAnsi="Calibri"/>
          <w:b w:val="0"/>
          <w:sz w:val="22"/>
        </w:rPr>
        <w:t>11.3 Change Management for Talent Adoption</w:t>
      </w:r>
    </w:p>
    <w:p>
      <w:pPr>
        <w:pStyle w:val="Heading5"/>
        <w:keepNext/>
      </w:pPr>
      <w:r>
        <w:rPr>
          <w:rFonts w:ascii="Calibri" w:hAnsi="Calibri"/>
          <w:b w:val="0"/>
          <w:sz w:val="22"/>
        </w:rPr>
        <w:t>11.4 Testing</w:t>
      </w:r>
    </w:p>
    <w:p>
      <w:pPr>
        <w:pBdr>
          <w:bottom w:val="single" w:sz="4" w:space="1" w:color="CCCCCC"/>
        </w:pBdr>
        <w:spacing w:before="80" w:after="80"/>
      </w:pPr>
    </w:p>
    <w:p>
      <w:pPr>
        <w:pStyle w:val="Heading4"/>
        <w:keepNext/>
      </w:pPr>
      <w:r>
        <w:rPr>
          <w:rFonts w:ascii="Calibri" w:hAnsi="Calibri"/>
          <w:b w:val="0"/>
          <w:sz w:val="22"/>
        </w:rPr>
        <w:t>Section 12 — Risk Register</w:t>
      </w:r>
    </w:p>
    <w:p>
      <w:pPr>
        <w:pBdr>
          <w:bottom w:val="single" w:sz="4" w:space="1" w:color="CCCCCC"/>
        </w:pBdr>
        <w:spacing w:before="80" w:after="80"/>
      </w:pPr>
    </w:p>
    <w:p>
      <w:pPr>
        <w:pStyle w:val="Heading4"/>
        <w:keepNext/>
      </w:pPr>
      <w:r>
        <w:rPr>
          <w:rFonts w:ascii="Calibri" w:hAnsi="Calibri"/>
          <w:b w:val="0"/>
          <w:sz w:val="22"/>
        </w:rPr>
        <w:t>Section 13 — Assumptions Register</w:t>
      </w:r>
    </w:p>
    <w:p>
      <w:pPr>
        <w:pBdr>
          <w:bottom w:val="single" w:sz="4" w:space="1" w:color="CCCCCC"/>
        </w:pBdr>
        <w:spacing w:before="80" w:after="80"/>
      </w:pPr>
    </w:p>
    <w:p>
      <w:pPr>
        <w:pStyle w:val="Heading4"/>
        <w:keepNext/>
      </w:pPr>
      <w:r>
        <w:rPr>
          <w:rFonts w:ascii="Calibri" w:hAnsi="Calibri"/>
          <w:b w:val="0"/>
          <w:sz w:val="22"/>
        </w:rPr>
        <w:t>Section A — Source Mapping Table</w:t>
      </w: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p>
      <w:pPr>
        <w:pStyle w:val="Heading5"/>
        <w:keepNext/>
      </w:pPr>
      <w:r>
        <w:rPr>
          <w:rFonts w:ascii="Calibri" w:hAnsi="Calibri"/>
          <w:b w:val="0"/>
          <w:sz w:val="22"/>
        </w:rPr>
        <w:t>B.2 Framing Check</w:t>
      </w:r>
    </w:p>
    <w:p>
      <w:pPr>
        <w:pStyle w:val="Heading5"/>
        <w:keepNext/>
      </w:pPr>
      <w:r>
        <w:rPr>
          <w:rFonts w:ascii="Calibri" w:hAnsi="Calibri"/>
          <w:b w:val="0"/>
          <w:sz w:val="22"/>
        </w:rPr>
        <w:t>B.3 Source Traceability Check</w:t>
      </w:r>
    </w:p>
    <w:p>
      <w:pPr>
        <w:pStyle w:val="Heading5"/>
        <w:keepNext/>
      </w:pPr>
      <w:r>
        <w:rPr>
          <w:rFonts w:ascii="Calibri" w:hAnsi="Calibri"/>
          <w:b w:val="0"/>
          <w:sz w:val="22"/>
        </w:rPr>
        <w:t>B.4 Open Items — ALL CLOSED</w:t>
      </w: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pStyle w:val="Heading5"/>
        <w:keepNext/>
      </w:pPr>
      <w:r>
        <w:rPr>
          <w:rFonts w:ascii="Calibri" w:hAnsi="Calibri"/>
          <w:b w:val="0"/>
          <w:sz w:val="22"/>
        </w:rPr>
        <w:t>3.2 Taleo Recruiting — Legacy Platform Experience</w:t>
      </w:r>
    </w:p>
    <w:p>
      <w:pPr>
        <w:pStyle w:val="Heading5"/>
        <w:keepNext/>
      </w:pPr>
      <w:r>
        <w:rPr>
          <w:rFonts w:ascii="Calibri" w:hAnsi="Calibri"/>
          <w:b w:val="0"/>
          <w:sz w:val="22"/>
        </w:rPr>
        <w:t>3.3 Internal Mobility</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pStyle w:val="Heading5"/>
        <w:keepNext/>
      </w:pPr>
      <w:r>
        <w:rPr>
          <w:rFonts w:ascii="Calibri" w:hAnsi="Calibri"/>
          <w:b w:val="0"/>
          <w:sz w:val="22"/>
        </w:rPr>
        <w:t>4.1 Job Requisition Configuration</w:t>
      </w:r>
    </w:p>
    <w:p>
      <w:pPr>
        <w:pStyle w:val="Heading5"/>
        <w:keepNext/>
      </w:pPr>
      <w:r>
        <w:rPr>
          <w:rFonts w:ascii="Calibri" w:hAnsi="Calibri"/>
          <w:b w:val="0"/>
          <w:sz w:val="22"/>
        </w:rPr>
        <w:t>4.2 Vacancy Management and Hiring Workflows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pStyle w:val="Heading5"/>
        <w:keepNext/>
      </w:pPr>
      <w:r>
        <w:rPr>
          <w:rFonts w:ascii="Calibri" w:hAnsi="Calibri"/>
          <w:b w:val="0"/>
          <w:sz w:val="22"/>
        </w:rPr>
        <w:t>5.1 Branded Career Sites and Candidate Portals</w:t>
      </w:r>
    </w:p>
    <w:p>
      <w:pPr>
        <w:pStyle w:val="Heading5"/>
        <w:keepNext/>
      </w:pPr>
      <w:r>
        <w:rPr>
          <w:rFonts w:ascii="Calibri" w:hAnsi="Calibri"/>
          <w:b w:val="0"/>
          <w:sz w:val="22"/>
        </w:rPr>
        <w:t>5.2 Multi-Channel Job Posting and Candidate Sourcing</w:t>
      </w:r>
    </w:p>
    <w:p>
      <w:pPr>
        <w:pStyle w:val="Heading5"/>
        <w:keepNext/>
      </w:pPr>
      <w:r>
        <w:rPr>
          <w:rFonts w:ascii="Calibri" w:hAnsi="Calibri"/>
          <w:b w:val="0"/>
          <w:sz w:val="22"/>
        </w:rPr>
        <w:t>5.3 Employee Referral Programme</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pStyle w:val="Heading5"/>
        <w:keepNext/>
      </w:pPr>
      <w:r>
        <w:rPr>
          <w:rFonts w:ascii="Calibri" w:hAnsi="Calibri"/>
          <w:b w:val="0"/>
          <w:sz w:val="22"/>
        </w:rPr>
        <w:t>6.2 Interview Management</w:t>
      </w:r>
    </w:p>
    <w:p>
      <w:pPr>
        <w:pBdr>
          <w:bottom w:val="single" w:sz="4" w:space="1" w:color="CCCCCC"/>
        </w:pBdr>
        <w:spacing w:before="80" w:after="80"/>
      </w:pPr>
    </w:p>
    <w:p>
      <w:pPr>
        <w:pStyle w:val="Heading4"/>
        <w:keepNext/>
      </w:pPr>
      <w:r>
        <w:rPr>
          <w:rFonts w:ascii="Calibri" w:hAnsi="Calibri"/>
          <w:b w:val="0"/>
          <w:sz w:val="22"/>
        </w:rPr>
        <w:t>Section 7: Offer Management</w:t>
      </w:r>
    </w:p>
    <w:p>
      <w:pPr>
        <w:pStyle w:val="Heading5"/>
        <w:keepNext/>
      </w:pPr>
      <w:r>
        <w:rPr>
          <w:rFonts w:ascii="Calibri" w:hAnsi="Calibri"/>
          <w:b w:val="0"/>
          <w:sz w:val="22"/>
        </w:rPr>
        <w:t>7.1 Offer Letter Generation and Approval</w:t>
      </w:r>
    </w:p>
    <w:p>
      <w:pPr>
        <w:pStyle w:val="Heading5"/>
        <w:keepNext/>
      </w:pPr>
      <w:r>
        <w:rPr>
          <w:rFonts w:ascii="Calibri" w:hAnsi="Calibri"/>
          <w:b w:val="0"/>
          <w:sz w:val="22"/>
        </w:rPr>
        <w:t>7.2 Transition from Offer to Onboarding</w:t>
      </w:r>
    </w:p>
    <w:p>
      <w:pPr>
        <w:pBdr>
          <w:bottom w:val="single" w:sz="4" w:space="1" w:color="CCCCCC"/>
        </w:pBdr>
        <w:spacing w:before="80" w:after="80"/>
      </w:pPr>
    </w:p>
    <w:p>
      <w:pPr>
        <w:pStyle w:val="Heading4"/>
        <w:keepNext/>
      </w:pPr>
      <w:r>
        <w:rPr>
          <w:rFonts w:ascii="Calibri" w:hAnsi="Calibri"/>
          <w:b w:val="0"/>
          <w:sz w:val="22"/>
        </w:rPr>
        <w:t>Section 8: Onboarding and Preboarding</w:t>
      </w:r>
    </w:p>
    <w:p>
      <w:pPr>
        <w:pStyle w:val="Heading5"/>
        <w:keepNext/>
      </w:pPr>
      <w:r>
        <w:rPr>
          <w:rFonts w:ascii="Calibri" w:hAnsi="Calibri"/>
          <w:b w:val="0"/>
          <w:sz w:val="22"/>
        </w:rPr>
        <w:t>8.1 Preboarding — From Offer Acceptance to Start Date</w:t>
      </w:r>
    </w:p>
    <w:p>
      <w:pPr>
        <w:pStyle w:val="Heading5"/>
        <w:keepNext/>
      </w:pPr>
      <w:r>
        <w:rPr>
          <w:rFonts w:ascii="Calibri" w:hAnsi="Calibri"/>
          <w:b w:val="0"/>
          <w:sz w:val="22"/>
        </w:rPr>
        <w:t>8.2 Structured Onboarding Workflows</w:t>
      </w:r>
    </w:p>
    <w:p>
      <w:pPr>
        <w:pStyle w:val="Heading5"/>
        <w:keepNext/>
      </w:pPr>
      <w:r>
        <w:rPr>
          <w:rFonts w:ascii="Calibri" w:hAnsi="Calibri"/>
          <w:b w:val="0"/>
          <w:sz w:val="22"/>
        </w:rPr>
        <w:t>8.3 Onboarding Reporting</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pStyle w:val="Heading5"/>
        <w:keepNext/>
      </w:pPr>
      <w:r>
        <w:rPr>
          <w:rFonts w:ascii="Calibri" w:hAnsi="Calibri"/>
          <w:b w:val="0"/>
          <w:sz w:val="22"/>
        </w:rPr>
        <w:t>9.2 Recruiting Cloud Delivery Methodology</w:t>
      </w:r>
    </w:p>
    <w:p>
      <w:pPr>
        <w:pStyle w:val="Heading5"/>
        <w:keepNext/>
      </w:pPr>
      <w:r>
        <w:rPr>
          <w:rFonts w:ascii="Calibri" w:hAnsi="Calibri"/>
          <w:b w:val="0"/>
          <w:sz w:val="22"/>
        </w:rPr>
        <w:t>9.3 Resource and Delivery Model</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p>
      <w:pPr>
        <w:pStyle w:val="Heading5"/>
        <w:keepNext/>
      </w:pPr>
      <w:r>
        <w:rPr>
          <w:rFonts w:ascii="Calibri" w:hAnsi="Calibri"/>
          <w:b w:val="0"/>
          <w:sz w:val="22"/>
        </w:rPr>
        <w:t>10.2 Mining Sector — Active Oracle Recruiting Cloud Implementation (Pipeline Evidence)</w:t>
      </w:r>
    </w:p>
    <w:p>
      <w:pPr>
        <w:pStyle w:val="Heading5"/>
        <w:keepNext/>
      </w:pPr>
      <w:r>
        <w:rPr>
          <w:rFonts w:ascii="Calibri" w:hAnsi="Calibri"/>
          <w:b w:val="0"/>
          <w:sz w:val="22"/>
        </w:rPr>
        <w:t>10.3 Oracle Taleo Recruiting — Historical Platform Experience</w:t>
      </w:r>
    </w:p>
    <w:p>
      <w:pPr>
        <w:pBdr>
          <w:bottom w:val="single" w:sz="4" w:space="1" w:color="CCCCCC"/>
        </w:pBdr>
        <w:spacing w:before="80" w:after="80"/>
      </w:pPr>
    </w:p>
    <w:p>
      <w:pPr>
        <w:pStyle w:val="Heading4"/>
        <w:keepNext/>
      </w:pPr>
      <w:r>
        <w:rPr>
          <w:rFonts w:ascii="Calibri" w:hAnsi="Calibri"/>
          <w:b w:val="0"/>
          <w:sz w:val="22"/>
        </w:rPr>
        <w:t>Section 11: Integration Architecture</w:t>
      </w:r>
    </w:p>
    <w:p>
      <w:pPr>
        <w:pStyle w:val="Heading5"/>
        <w:keepNext/>
      </w:pPr>
      <w:r>
        <w:rPr>
          <w:rFonts w:ascii="Calibri" w:hAnsi="Calibri"/>
          <w:b w:val="0"/>
          <w:sz w:val="22"/>
        </w:rPr>
        <w:t>11.1 Standard Recruiting Cloud Integration Points</w:t>
      </w:r>
    </w:p>
    <w:p>
      <w:pPr>
        <w:pStyle w:val="Heading5"/>
        <w:keepNext/>
      </w:pPr>
      <w:r>
        <w:rPr>
          <w:rFonts w:ascii="Calibri" w:hAnsi="Calibri"/>
          <w:b w:val="0"/>
          <w:sz w:val="22"/>
        </w:rPr>
        <w:t>11.2 REST API Availability</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pStyle w:val="Heading5"/>
        <w:keepNext/>
      </w:pPr>
      <w:r>
        <w:rPr>
          <w:rFonts w:ascii="Calibri" w:hAnsi="Calibri"/>
          <w:b w:val="0"/>
          <w:sz w:val="22"/>
        </w:rPr>
        <w:t>12.2 Oracle's Modern Best Practices Delivery Phases — Recruiting Cloud</w:t>
      </w:r>
    </w:p>
    <w:p>
      <w:pPr>
        <w:pStyle w:val="Heading5"/>
        <w:keepNext/>
      </w:pPr>
      <w:r>
        <w:rPr>
          <w:rFonts w:ascii="Calibri" w:hAnsi="Calibri"/>
          <w:b w:val="0"/>
          <w:sz w:val="22"/>
        </w:rPr>
        <w:t>12.3 Standard Implementation Assumptions</w:t>
      </w:r>
    </w:p>
    <w:p>
      <w:pPr>
        <w:pBdr>
          <w:bottom w:val="single" w:sz="4" w:space="1" w:color="CCCCCC"/>
        </w:pBdr>
        <w:spacing w:before="80" w:after="80"/>
      </w:pPr>
    </w:p>
    <w:p>
      <w:pPr>
        <w:pStyle w:val="Heading4"/>
        <w:keepNext/>
      </w:pPr>
      <w:r>
        <w:rPr>
          <w:rFonts w:ascii="Calibri" w:hAnsi="Calibri"/>
          <w:b w:val="0"/>
          <w:sz w:val="22"/>
        </w:rPr>
        <w:t>Section 13: Risk Register</w:t>
      </w:r>
    </w:p>
    <w:p>
      <w:pPr>
        <w:pBdr>
          <w:bottom w:val="single" w:sz="4" w:space="1" w:color="CCCCCC"/>
        </w:pBdr>
        <w:spacing w:before="80" w:after="80"/>
      </w:pPr>
    </w:p>
    <w:p>
      <w:pPr>
        <w:pStyle w:val="Heading4"/>
        <w:keepNext/>
      </w:pPr>
      <w:r>
        <w:rPr>
          <w:rFonts w:ascii="Calibri" w:hAnsi="Calibri"/>
          <w:b w:val="0"/>
          <w:sz w:val="22"/>
        </w:rPr>
        <w:t>Section 14: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pStyle w:val="Heading5"/>
        <w:keepNext/>
      </w:pPr>
      <w:r>
        <w:rPr>
          <w:rFonts w:ascii="Calibri" w:hAnsi="Calibri"/>
          <w:b w:val="0"/>
          <w:sz w:val="22"/>
        </w:rPr>
        <w:t>3.2 Course Catalog and Content Management</w:t>
      </w: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pStyle w:val="Heading5"/>
        <w:keepNext/>
      </w:pPr>
      <w:r>
        <w:rPr>
          <w:rFonts w:ascii="Calibri" w:hAnsi="Calibri"/>
          <w:b w:val="0"/>
          <w:sz w:val="22"/>
        </w:rPr>
        <w:t>4.2 Compliance Training</w:t>
      </w: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pStyle w:val="Heading5"/>
        <w:keepNext/>
      </w:pPr>
      <w:r>
        <w:rPr>
          <w:rFonts w:ascii="Calibri" w:hAnsi="Calibri"/>
          <w:b w:val="0"/>
          <w:sz w:val="22"/>
        </w:rPr>
        <w:t>5.2 Certification Management</w:t>
      </w: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pStyle w:val="Heading5"/>
        <w:keepNext/>
      </w:pPr>
      <w:r>
        <w:rPr>
          <w:rFonts w:ascii="Calibri" w:hAnsi="Calibri"/>
          <w:b w:val="0"/>
          <w:sz w:val="22"/>
        </w:rPr>
        <w:t>6.2 Mobile Learning and Offline Access</w:t>
      </w: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pStyle w:val="Heading5"/>
        <w:keepNext/>
      </w:pPr>
      <w:r>
        <w:rPr>
          <w:rFonts w:ascii="Calibri" w:hAnsi="Calibri"/>
          <w:b w:val="0"/>
          <w:sz w:val="22"/>
        </w:rPr>
        <w:t>8.2 AI-Enabled Skills Development</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pStyle w:val="Heading5"/>
        <w:keepNext/>
      </w:pPr>
      <w:r>
        <w:rPr>
          <w:rFonts w:ascii="Calibri" w:hAnsi="Calibri"/>
          <w:b w:val="0"/>
          <w:sz w:val="22"/>
        </w:rPr>
        <w:t>9.1 Oracle Fusion Learning Cloud — Built-In Tracking</w:t>
      </w:r>
    </w:p>
    <w:p>
      <w:pPr>
        <w:pStyle w:val="Heading5"/>
        <w:keepNext/>
      </w:pPr>
      <w:r>
        <w:rPr>
          <w:rFonts w:ascii="Calibri" w:hAnsi="Calibri"/>
          <w:b w:val="0"/>
          <w:sz w:val="22"/>
        </w:rPr>
        <w:t>9.2 Oracle HCM Analytics — Advanced Learning Analytics</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pStyle w:val="Heading5"/>
        <w:keepNext/>
      </w:pPr>
      <w:r>
        <w:rPr>
          <w:rFonts w:ascii="Calibri" w:hAnsi="Calibri"/>
          <w:b w:val="0"/>
          <w:sz w:val="22"/>
        </w:rPr>
        <w:t>10.2 Learning Cloud Delivery Approach</w:t>
      </w:r>
    </w:p>
    <w:p>
      <w:pPr>
        <w:pStyle w:val="Heading5"/>
        <w:keepNext/>
      </w:pPr>
      <w:r>
        <w:rPr>
          <w:rFonts w:ascii="Calibri" w:hAnsi="Calibri"/>
          <w:b w:val="0"/>
          <w:sz w:val="22"/>
        </w:rPr>
        <w:t>10.3 Resource and Delivery Model</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p>
      <w:pPr>
        <w:pStyle w:val="Heading5"/>
        <w:keepNext/>
      </w:pPr>
      <w:r>
        <w:rPr>
          <w:rFonts w:ascii="Calibri" w:hAnsi="Calibri"/>
          <w:b w:val="0"/>
          <w:sz w:val="22"/>
        </w:rPr>
        <w:t>11.2 Additional Oracle Learning Cloud Implementation Evidence (Internal)</w:t>
      </w:r>
    </w:p>
    <w:p>
      <w:pPr>
        <w:pBdr>
          <w:bottom w:val="single" w:sz="4" w:space="1" w:color="CCCCCC"/>
        </w:pBdr>
        <w:spacing w:before="80" w:after="80"/>
      </w:pPr>
    </w:p>
    <w:p>
      <w:pPr>
        <w:pStyle w:val="Heading4"/>
        <w:keepNext/>
      </w:pPr>
      <w:r>
        <w:rPr>
          <w:rFonts w:ascii="Calibri" w:hAnsi="Calibri"/>
          <w:b w:val="0"/>
          <w:sz w:val="22"/>
        </w:rPr>
        <w:t>Section 12: Integration Architecture</w:t>
      </w:r>
    </w:p>
    <w:p>
      <w:pPr>
        <w:pStyle w:val="Heading5"/>
        <w:keepNext/>
      </w:pPr>
      <w:r>
        <w:rPr>
          <w:rFonts w:ascii="Calibri" w:hAnsi="Calibri"/>
          <w:b w:val="0"/>
          <w:sz w:val="22"/>
        </w:rPr>
        <w:t>12.1 Standard Learning Cloud Integration Points</w:t>
      </w:r>
    </w:p>
    <w:p>
      <w:pPr>
        <w:pStyle w:val="Heading5"/>
        <w:keepNext/>
      </w:pPr>
      <w:r>
        <w:rPr>
          <w:rFonts w:ascii="Calibri" w:hAnsi="Calibri"/>
          <w:b w:val="0"/>
          <w:sz w:val="22"/>
        </w:rPr>
        <w:t>12.2 REST API and Data Loader Support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pStyle w:val="Heading5"/>
        <w:keepNext/>
      </w:pPr>
      <w:r>
        <w:rPr>
          <w:rFonts w:ascii="Calibri" w:hAnsi="Calibri"/>
          <w:b w:val="0"/>
          <w:sz w:val="22"/>
        </w:rPr>
        <w:t>13.2 Oracle's Modern Best Practices Delivery Phases — Learning Cloud</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pStyle w:val="Heading5"/>
        <w:keepNext/>
      </w:pPr>
      <w:r>
        <w:rPr>
          <w:rFonts w:ascii="Calibri" w:hAnsi="Calibri"/>
          <w:b w:val="0"/>
          <w:sz w:val="22"/>
        </w:rPr>
        <w:t>2.2 Critical Licensing Boundary</w:t>
      </w:r>
    </w:p>
    <w:p>
      <w:pPr>
        <w:pStyle w:val="Heading5"/>
        <w:keepNext/>
      </w:pPr>
      <w:r>
        <w:rPr>
          <w:rFonts w:ascii="Calibri" w:hAnsi="Calibri"/>
          <w:b w:val="0"/>
          <w:sz w:val="22"/>
        </w:rPr>
        <w:t>2.3 Fusion Analytics Warehouse (FAW)</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p>
      <w:pPr>
        <w:pStyle w:val="Heading5"/>
        <w:keepNext/>
      </w:pPr>
      <w:r>
        <w:rPr>
          <w:rFonts w:ascii="Calibri" w:hAnsi="Calibri"/>
          <w:b w:val="0"/>
          <w:sz w:val="22"/>
        </w:rPr>
        <w:t>3.3 OTBI in APPSolve Implementations</w:t>
      </w:r>
    </w:p>
    <w:p>
      <w:pPr>
        <w:pStyle w:val="Heading5"/>
        <w:keepNext/>
      </w:pPr>
      <w:r>
        <w:rPr>
          <w:rFonts w:ascii="Calibri" w:hAnsi="Calibri"/>
          <w:b w:val="0"/>
          <w:sz w:val="22"/>
        </w:rPr>
        <w:t>3.4 Module-Level OTBI Reporting Coverage</w:t>
      </w: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p>
      <w:pPr>
        <w:pStyle w:val="Heading5"/>
        <w:keepNext/>
      </w:pPr>
      <w:r>
        <w:rPr>
          <w:rFonts w:ascii="Calibri" w:hAnsi="Calibri"/>
          <w:b w:val="0"/>
          <w:sz w:val="22"/>
        </w:rPr>
        <w:t>4.3 BI Publisher in APPSolve Implementations</w:t>
      </w: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pStyle w:val="Heading5"/>
        <w:keepNext/>
      </w:pPr>
      <w:r>
        <w:rPr>
          <w:rFonts w:ascii="Calibri" w:hAnsi="Calibri"/>
          <w:b w:val="0"/>
          <w:sz w:val="22"/>
        </w:rPr>
        <w:t>5.2 Oracle HCM Analytics Value Proposition</w:t>
      </w: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pStyle w:val="Heading5"/>
        <w:keepNext/>
      </w:pPr>
      <w:r>
        <w:rPr>
          <w:rFonts w:ascii="Calibri" w:hAnsi="Calibri"/>
          <w:b w:val="0"/>
          <w:sz w:val="22"/>
        </w:rPr>
        <w:t>6.2 Self-Service Data Exploration</w:t>
      </w: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pStyle w:val="Heading5"/>
        <w:keepNext/>
      </w:pPr>
      <w:r>
        <w:rPr>
          <w:rFonts w:ascii="Calibri" w:hAnsi="Calibri"/>
          <w:b w:val="0"/>
          <w:sz w:val="22"/>
        </w:rPr>
        <w:t>7.1 Machine Learning and Predictive Analytics</w:t>
      </w:r>
    </w:p>
    <w:p>
      <w:pPr>
        <w:pStyle w:val="Heading5"/>
        <w:keepNext/>
      </w:pPr>
      <w:r>
        <w:rPr>
          <w:rFonts w:ascii="Calibri" w:hAnsi="Calibri"/>
          <w:b w:val="0"/>
          <w:sz w:val="22"/>
        </w:rPr>
        <w:t>7.2 Workforce Intelligence — Strategic Insights</w:t>
      </w:r>
    </w:p>
    <w:p>
      <w:pPr>
        <w:pStyle w:val="Heading5"/>
        <w:keepNext/>
      </w:pPr>
      <w:r>
        <w:rPr>
          <w:rFonts w:ascii="Calibri" w:hAnsi="Calibri"/>
          <w:b w:val="0"/>
          <w:sz w:val="22"/>
        </w:rPr>
        <w:t>7.3 Approved Positioning for Predictive Analytics</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pStyle w:val="Heading5"/>
        <w:keepNext/>
      </w:pPr>
      <w:r>
        <w:rPr>
          <w:rFonts w:ascii="Calibri" w:hAnsi="Calibri"/>
          <w:b w:val="0"/>
          <w:sz w:val="22"/>
        </w:rPr>
        <w:t>11.2 Delivery Approach — OTBI and BI Publisher</w:t>
      </w:r>
    </w:p>
    <w:p>
      <w:pPr>
        <w:pStyle w:val="Heading5"/>
        <w:keepNext/>
      </w:pPr>
      <w:r>
        <w:rPr>
          <w:rFonts w:ascii="Calibri" w:hAnsi="Calibri"/>
          <w:b w:val="0"/>
          <w:sz w:val="22"/>
        </w:rPr>
        <w:t>11.3 Delivery Approach — Oracle HCM Analytics (OAX)</w:t>
      </w:r>
    </w:p>
    <w:p>
      <w:pPr>
        <w:pStyle w:val="Heading5"/>
        <w:keepNext/>
      </w:pPr>
      <w:r>
        <w:rPr>
          <w:rFonts w:ascii="Calibri" w:hAnsi="Calibri"/>
          <w:b w:val="0"/>
          <w:sz w:val="22"/>
        </w:rPr>
        <w:t>11.4 Resource and Delivery Model</w:t>
      </w: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p>
      <w:pPr>
        <w:pStyle w:val="Heading5"/>
        <w:keepNext/>
      </w:pPr>
      <w:r>
        <w:rPr>
          <w:rFonts w:ascii="Calibri" w:hAnsi="Calibri"/>
          <w:b w:val="0"/>
          <w:sz w:val="22"/>
        </w:rPr>
        <w:t>12.2 OTBI and BI Publisher Developer Capability (RedPath Mining — active pipeline)</w:t>
      </w:r>
    </w:p>
    <w:p>
      <w:pPr>
        <w:pStyle w:val="Heading5"/>
        <w:keepNext/>
      </w:pPr>
      <w:r>
        <w:rPr>
          <w:rFonts w:ascii="Calibri" w:hAnsi="Calibri"/>
          <w:b w:val="0"/>
          <w:sz w:val="22"/>
        </w:rPr>
        <w:t>12.3 Oracle HCM Analytics (OAX) — Reference Position</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pStyle w:val="Heading5"/>
        <w:keepNext/>
      </w:pPr>
      <w:r>
        <w:rPr>
          <w:rFonts w:ascii="Calibri" w:hAnsi="Calibri"/>
          <w:b w:val="0"/>
          <w:sz w:val="22"/>
        </w:rPr>
        <w:t>13.2 Oracle's Modern Best Practices Alignment</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pStyle w:val="Heading5"/>
        <w:keepNext/>
      </w:pPr>
      <w:r>
        <w:rPr>
          <w:rFonts w:ascii="Calibri" w:hAnsi="Calibri"/>
          <w:b w:val="0"/>
          <w:sz w:val="22"/>
        </w:rPr>
        <w:t>2.2 Absence Management within Workforce Management</w:t>
      </w:r>
    </w:p>
    <w:p>
      <w:pPr>
        <w:pStyle w:val="Heading5"/>
        <w:keepNext/>
      </w:pPr>
      <w:r>
        <w:rPr>
          <w:rFonts w:ascii="Calibri" w:hAnsi="Calibri"/>
          <w:b w:val="0"/>
          <w:sz w:val="22"/>
        </w:rPr>
        <w:t>2.3 Integration Architecture</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p>
      <w:pPr>
        <w:pStyle w:val="Heading5"/>
        <w:keepNext/>
      </w:pPr>
      <w:r>
        <w:rPr>
          <w:rFonts w:ascii="Calibri" w:hAnsi="Calibri"/>
          <w:b w:val="0"/>
          <w:sz w:val="22"/>
        </w:rPr>
        <w:t>3.3 South African Legislative Absence Requirements</w:t>
      </w:r>
    </w:p>
    <w:p>
      <w:pPr>
        <w:pStyle w:val="Heading5"/>
        <w:keepNext/>
      </w:pPr>
      <w:r>
        <w:rPr>
          <w:rFonts w:ascii="Calibri" w:hAnsi="Calibri"/>
          <w:b w:val="0"/>
          <w:sz w:val="22"/>
        </w:rPr>
        <w:t>3.4 Employee and Manager Self-Service</w:t>
      </w:r>
    </w:p>
    <w:p>
      <w:pPr>
        <w:pStyle w:val="Heading5"/>
        <w:keepNext/>
      </w:pPr>
      <w:r>
        <w:rPr>
          <w:rFonts w:ascii="Calibri" w:hAnsi="Calibri"/>
          <w:b w:val="0"/>
          <w:sz w:val="22"/>
        </w:rPr>
        <w:t>3.5 APPSolve Absence Management Delivery</w:t>
      </w: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pStyle w:val="Heading5"/>
        <w:keepNext/>
      </w:pPr>
      <w:r>
        <w:rPr>
          <w:rFonts w:ascii="Calibri" w:hAnsi="Calibri"/>
          <w:b w:val="0"/>
          <w:sz w:val="22"/>
        </w:rPr>
        <w:t>4.2 Oracle Time and Labor Capabilities</w:t>
      </w:r>
    </w:p>
    <w:p>
      <w:pPr>
        <w:pStyle w:val="Heading5"/>
        <w:keepNext/>
      </w:pPr>
      <w:r>
        <w:rPr>
          <w:rFonts w:ascii="Calibri" w:hAnsi="Calibri"/>
          <w:b w:val="0"/>
          <w:sz w:val="22"/>
        </w:rPr>
        <w:t>4.3 Time and Labor Rules Engine</w:t>
      </w:r>
    </w:p>
    <w:p>
      <w:pPr>
        <w:pStyle w:val="Heading5"/>
        <w:keepNext/>
      </w:pPr>
      <w:r>
        <w:rPr>
          <w:rFonts w:ascii="Calibri" w:hAnsi="Calibri"/>
          <w:b w:val="0"/>
          <w:sz w:val="22"/>
        </w:rPr>
        <w:t>4.4 Time and Labor in APPSolve Implementations</w:t>
      </w: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pStyle w:val="Heading5"/>
        <w:keepNext/>
      </w:pPr>
      <w:r>
        <w:rPr>
          <w:rFonts w:ascii="Calibri" w:hAnsi="Calibri"/>
          <w:b w:val="0"/>
          <w:sz w:val="22"/>
        </w:rPr>
        <w:t>5.2 Oracle Workforce Scheduling Capabilities</w:t>
      </w:r>
    </w:p>
    <w:p>
      <w:pPr>
        <w:pStyle w:val="Heading5"/>
        <w:keepNext/>
      </w:pPr>
      <w:r>
        <w:rPr>
          <w:rFonts w:ascii="Calibri" w:hAnsi="Calibri"/>
          <w:b w:val="0"/>
          <w:sz w:val="22"/>
        </w:rPr>
        <w:t>5.3 Oracle Workforce Scheduling — APPSolve Positioning</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pStyle w:val="Heading5"/>
        <w:keepNext/>
      </w:pPr>
      <w:r>
        <w:rPr>
          <w:rFonts w:ascii="Calibri" w:hAnsi="Calibri"/>
          <w:b w:val="0"/>
          <w:sz w:val="22"/>
        </w:rPr>
        <w:t>2.2 Relationship to Oracle Talent Management Suite (W3S1-002)</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pStyle w:val="Heading5"/>
        <w:keepNext/>
      </w:pPr>
      <w:r>
        <w:rPr>
          <w:rFonts w:ascii="Calibri" w:hAnsi="Calibri"/>
          <w:b w:val="0"/>
          <w:sz w:val="22"/>
        </w:rPr>
        <w:t>2.2 Integration with Oracle HCM Core</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13. Oracle Fusion ERP Capability</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Heading5"/>
        <w:keepNext/>
      </w:pPr>
      <w:r>
        <w:rPr>
          <w:rFonts w:ascii="Calibri" w:hAnsi="Calibri"/>
          <w:b w:val="0"/>
          <w:sz w:val="22"/>
        </w:rPr>
        <w:t>3.5 Oracle Journeys</w:t>
      </w:r>
    </w:p>
    <w:p>
      <w:pPr>
        <w:pStyle w:val="Heading5"/>
        <w:keepNext/>
      </w:pPr>
      <w:r>
        <w:rPr>
          <w:rFonts w:ascii="Calibri" w:hAnsi="Calibri"/>
          <w:b w:val="0"/>
          <w:sz w:val="22"/>
        </w:rPr>
        <w:t>3.6 Payroll Interface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pStyle w:val="Heading5"/>
        <w:keepNext/>
      </w:pPr>
      <w:r>
        <w:rPr>
          <w:rFonts w:ascii="Calibri" w:hAnsi="Calibri"/>
          <w:b w:val="0"/>
          <w:sz w:val="22"/>
        </w:rPr>
        <w:t>3.7 Workforce Directory Management</w:t>
      </w:r>
    </w:p>
    <w:p>
      <w:pPr>
        <w:pStyle w:val="Heading5"/>
        <w:keepNext/>
      </w:pPr>
      <w:r>
        <w:rPr>
          <w:rFonts w:ascii="Calibri" w:hAnsi="Calibri"/>
          <w:b w:val="0"/>
          <w:sz w:val="22"/>
        </w:rPr>
        <w:t>3.8 Workforce Modelling and Predictions</w:t>
      </w:r>
    </w:p>
    <w:p>
      <w:pPr>
        <w:pStyle w:val="Heading5"/>
        <w:keepNext/>
      </w:pPr>
      <w:r>
        <w:rPr>
          <w:rFonts w:ascii="Calibri" w:hAnsi="Calibri"/>
          <w:b w:val="0"/>
          <w:sz w:val="22"/>
        </w:rPr>
        <w:t>3.9 Work Life Solutions</w:t>
      </w:r>
    </w:p>
    <w:p>
      <w:pPr>
        <w:pStyle w:val="Heading5"/>
        <w:keepNext/>
      </w:pPr>
      <w:r>
        <w:rPr>
          <w:rFonts w:ascii="Calibri" w:hAnsi="Calibri"/>
          <w:b w:val="0"/>
          <w:sz w:val="22"/>
        </w:rPr>
        <w:t>3.10 Oracle Transactional Business Intelligence (OTBI)</w:t>
      </w:r>
    </w:p>
    <w:p>
      <w:pPr>
        <w:pStyle w:val="Heading5"/>
        <w:keepNext/>
      </w:pPr>
      <w:r>
        <w:rPr>
          <w:rFonts w:ascii="Calibri" w:hAnsi="Calibri"/>
          <w:b w:val="0"/>
          <w:sz w:val="22"/>
        </w:rPr>
        <w:t>3.11 Transparent Data Encryption (TDE)</w:t>
      </w:r>
    </w:p>
    <w:p>
      <w:pPr>
        <w:pStyle w:val="Heading5"/>
        <w:keepNext/>
      </w:pPr>
      <w:r>
        <w:rPr>
          <w:rFonts w:ascii="Calibri" w:hAnsi="Calibri"/>
          <w:b w:val="0"/>
          <w:sz w:val="22"/>
        </w:rPr>
        <w:t>3.12 Workforce Compensation</w:t>
      </w:r>
    </w:p>
    <w:p>
      <w:pPr>
        <w:pStyle w:val="Heading5"/>
        <w:keepNext/>
      </w:pPr>
      <w:r>
        <w:rPr>
          <w:rFonts w:ascii="Calibri" w:hAnsi="Calibri"/>
          <w:b w:val="0"/>
          <w:sz w:val="22"/>
        </w:rPr>
        <w:t>3.13 Oracle Recruiting Cloud</w:t>
      </w:r>
    </w:p>
    <w:p>
      <w:pPr>
        <w:pStyle w:val="Heading5"/>
        <w:keepNext/>
      </w:pPr>
      <w:r>
        <w:rPr>
          <w:rFonts w:ascii="Calibri" w:hAnsi="Calibri"/>
          <w:b w:val="0"/>
          <w:sz w:val="22"/>
        </w:rPr>
        <w:t>3.14 Talent Management</w:t>
      </w:r>
    </w:p>
    <w:p>
      <w:pPr>
        <w:pStyle w:val="Heading5"/>
        <w:keepNext/>
      </w:pPr>
      <w:r>
        <w:rPr>
          <w:rFonts w:ascii="Calibri" w:hAnsi="Calibri"/>
          <w:b w:val="0"/>
          <w:sz w:val="22"/>
        </w:rPr>
        <w:t>3.15 Oracle Learning Cloud</w:t>
      </w:r>
    </w:p>
    <w:p>
      <w:pPr>
        <w:pStyle w:val="Heading5"/>
        <w:keepNext/>
      </w:pPr>
      <w:r>
        <w:rPr>
          <w:rFonts w:ascii="Calibri" w:hAnsi="Calibri"/>
          <w:b w:val="0"/>
          <w:sz w:val="22"/>
        </w:rPr>
        <w:t>3.16 HCM Analytics</w:t>
      </w:r>
    </w:p>
    <w:p>
      <w:pPr>
        <w:pStyle w:val="Heading5"/>
        <w:keepNext/>
      </w:pPr>
      <w:r>
        <w:rPr>
          <w:rFonts w:ascii="Calibri" w:hAnsi="Calibri"/>
          <w:b w:val="0"/>
          <w:sz w:val="22"/>
        </w:rPr>
        <w:t>3.17 Time and Labor / Workforce Scheduling</w:t>
      </w:r>
    </w:p>
    <w:p>
      <w:pPr>
        <w:pStyle w:val="Heading5"/>
        <w:keepNext/>
      </w:pPr>
      <w:r>
        <w:rPr>
          <w:rFonts w:ascii="Calibri" w:hAnsi="Calibri"/>
          <w:b w:val="0"/>
          <w:sz w:val="22"/>
        </w:rPr>
        <w:t>3.18 HR Help Desk / Oracle Digital Assistant</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pStyle w:val="Heading5"/>
        <w:keepNext/>
      </w:pPr>
      <w:r>
        <w:rPr>
          <w:rFonts w:ascii="Calibri" w:hAnsi="Calibri"/>
          <w:b w:val="0"/>
          <w:sz w:val="22"/>
        </w:rPr>
        <w:t>4.1 Financial Management Modules</w:t>
      </w:r>
    </w:p>
    <w:p>
      <w:pPr>
        <w:pStyle w:val="Heading5"/>
        <w:keepNext/>
      </w:pPr>
      <w:r>
        <w:rPr>
          <w:rFonts w:ascii="Calibri" w:hAnsi="Calibri"/>
          <w:b w:val="0"/>
          <w:sz w:val="22"/>
        </w:rPr>
        <w:t>4.2 Financial Reporting</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 Oracle Fusion Procurement</w:t>
      </w:r>
    </w:p>
    <w:p>
      <w:pPr>
        <w:pStyle w:val="Heading5"/>
        <w:keepNext/>
      </w:pPr>
      <w:r>
        <w:rPr>
          <w:rFonts w:ascii="Calibri" w:hAnsi="Calibri"/>
          <w:b w:val="0"/>
          <w:sz w:val="22"/>
        </w:rPr>
        <w:t>5.1 Core Procurement Capabilities</w:t>
      </w:r>
    </w:p>
    <w:p>
      <w:pPr>
        <w:pStyle w:val="Heading5"/>
        <w:keepNext/>
      </w:pPr>
      <w:r>
        <w:rPr>
          <w:rFonts w:ascii="Calibri" w:hAnsi="Calibri"/>
          <w:b w:val="0"/>
          <w:sz w:val="22"/>
        </w:rPr>
        <w:t>5.2 Self-Service Procurement</w:t>
      </w:r>
    </w:p>
    <w:p>
      <w:pPr>
        <w:pStyle w:val="Heading5"/>
        <w:keepNext/>
      </w:pPr>
      <w:r>
        <w:rPr>
          <w:rFonts w:ascii="Calibri" w:hAnsi="Calibri"/>
          <w:b w:val="0"/>
          <w:sz w:val="22"/>
        </w:rPr>
        <w:t>5.3 Procurement Client Evidence</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pStyle w:val="Heading5"/>
        <w:keepNext/>
      </w:pPr>
      <w:r>
        <w:rPr>
          <w:rFonts w:ascii="Calibri" w:hAnsi="Calibri"/>
          <w:b w:val="0"/>
          <w:sz w:val="22"/>
        </w:rPr>
        <w:t>6.1 SCM Core Capabilities</w:t>
      </w:r>
    </w:p>
    <w:p>
      <w:pPr>
        <w:pStyle w:val="Heading5"/>
        <w:keepNext/>
      </w:pPr>
      <w:r>
        <w:rPr>
          <w:rFonts w:ascii="Calibri" w:hAnsi="Calibri"/>
          <w:b w:val="0"/>
          <w:sz w:val="22"/>
        </w:rPr>
        <w:t>6.2 Order Management</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 Oracle Fusion Projects / PPM</w:t>
      </w:r>
    </w:p>
    <w:p>
      <w:pPr>
        <w:pStyle w:val="Heading5"/>
        <w:keepNext/>
      </w:pPr>
      <w:r>
        <w:rPr>
          <w:rFonts w:ascii="Calibri" w:hAnsi="Calibri"/>
          <w:b w:val="0"/>
          <w:sz w:val="22"/>
        </w:rPr>
        <w:t>7.1 Project Financials</w:t>
      </w:r>
    </w:p>
    <w:p>
      <w:pPr>
        <w:pStyle w:val="Heading5"/>
        <w:keepNext/>
      </w:pPr>
      <w:r>
        <w:rPr>
          <w:rFonts w:ascii="Calibri" w:hAnsi="Calibri"/>
          <w:b w:val="0"/>
          <w:sz w:val="22"/>
        </w:rPr>
        <w:t>7.2 Project Contract Billing</w:t>
      </w:r>
    </w:p>
    <w:p>
      <w:pPr>
        <w:pStyle w:val="Heading5"/>
        <w:keepNext/>
      </w:pPr>
      <w:r>
        <w:rPr>
          <w:rFonts w:ascii="Calibri" w:hAnsi="Calibri"/>
          <w:b w:val="0"/>
          <w:sz w:val="22"/>
        </w:rPr>
        <w:t>7.3 Project Management</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 Oracle Analytics</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pStyle w:val="Heading5"/>
        <w:keepNext/>
      </w:pPr>
      <w:r>
        <w:rPr>
          <w:rFonts w:ascii="Calibri" w:hAnsi="Calibri"/>
          <w:b w:val="0"/>
          <w:sz w:val="22"/>
        </w:rPr>
        <w:t>OIC as APPSolve Standard</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pStyle w:val="Heading5"/>
        <w:keepNext/>
      </w:pPr>
      <w:r>
        <w:rPr>
          <w:rFonts w:ascii="Calibri" w:hAnsi="Calibri"/>
          <w:b w:val="0"/>
          <w:sz w:val="22"/>
        </w:rPr>
        <w:t>OIC Core Capabilities</w:t>
      </w:r>
    </w:p>
    <w:p>
      <w:pPr>
        <w:pStyle w:val="Heading5"/>
        <w:keepNext/>
      </w:pPr>
      <w:r>
        <w:rPr>
          <w:rFonts w:ascii="Calibri" w:hAnsi="Calibri"/>
          <w:b w:val="0"/>
          <w:sz w:val="22"/>
        </w:rPr>
        <w:t>Integration Patterns Delivered</w:t>
      </w:r>
    </w:p>
    <w:p>
      <w:pPr>
        <w:pBdr>
          <w:bottom w:val="single" w:sz="4" w:space="1" w:color="CCCCCC"/>
        </w:pBdr>
        <w:spacing w:before="80" w:after="80"/>
      </w:pPr>
    </w:p>
    <w:p>
      <w:pPr>
        <w:pStyle w:val="Heading4"/>
        <w:keepNext/>
      </w:pPr>
      <w:r>
        <w:rPr>
          <w:rFonts w:ascii="Calibri" w:hAnsi="Calibri"/>
          <w:b w:val="0"/>
          <w:sz w:val="22"/>
        </w:rPr>
        <w:t>Section 10 — Security and Compliance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p>
      <w:pPr>
        <w:pStyle w:val="Heading5"/>
        <w:keepNext/>
      </w:pPr>
      <w:r>
        <w:rPr>
          <w:rFonts w:ascii="Calibri" w:hAnsi="Calibri"/>
          <w:b w:val="0"/>
          <w:sz w:val="22"/>
        </w:rPr>
        <w:t>NOT Available for Reference</w:t>
      </w:r>
    </w:p>
    <w:p>
      <w:pPr>
        <w:pStyle w:val="Heading5"/>
        <w:keepNext/>
      </w:pPr>
      <w:r>
        <w:rPr>
          <w:rFonts w:ascii="Calibri" w:hAnsi="Calibri"/>
          <w:b w:val="0"/>
          <w:sz w:val="22"/>
        </w:rPr>
        <w:t>Additional EBS Sector Capability (Not Oracle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p>
      <w:pPr>
        <w:pBdr>
          <w:bottom w:val="single" w:sz="4" w:space="1" w:color="CCCCCC"/>
        </w:pBdr>
        <w:spacing w:before="80" w:after="80"/>
      </w:pPr>
    </w:p>
    <w:p>
      <w:pPr>
        <w:pStyle w:val="Heading4"/>
        <w:keepNext/>
      </w:pPr>
      <w:r>
        <w:rPr>
          <w:rFonts w:ascii="Calibri" w:hAnsi="Calibri"/>
          <w:b w:val="0"/>
          <w:sz w:val="22"/>
        </w:rPr>
        <w:t>Assumptions Register</w:t>
      </w:r>
    </w:p>
    <w:p>
      <w:pPr>
        <w:pBdr>
          <w:bottom w:val="single" w:sz="4" w:space="1" w:color="CCCCCC"/>
        </w:pBdr>
        <w:spacing w:before="80" w:after="80"/>
      </w:pPr>
    </w:p>
    <w:p>
      <w:pPr>
        <w:pStyle w:val="Heading4"/>
        <w:keepNext/>
      </w:pPr>
      <w:r>
        <w:rPr>
          <w:rFonts w:ascii="Calibri" w:hAnsi="Calibri"/>
          <w:b w:val="0"/>
          <w:sz w:val="22"/>
        </w:rPr>
        <w:t>Factual Risk Assessment</w:t>
      </w:r>
    </w:p>
    <w:p>
      <w:pPr>
        <w:pBdr>
          <w:bottom w:val="single" w:sz="4" w:space="1" w:color="CCCCCC"/>
        </w:pBdr>
        <w:spacing w:before="80" w:after="80"/>
      </w:pPr>
    </w:p>
    <w:p>
      <w:pPr>
        <w:pStyle w:val="Heading4"/>
        <w:keepNext/>
      </w:pPr>
      <w:r>
        <w:rPr>
          <w:rFonts w:ascii="Calibri" w:hAnsi="Calibri"/>
          <w:b w:val="0"/>
          <w:sz w:val="22"/>
        </w:rPr>
        <w:t>Extraction Quality Assessment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14. Oracle OIC / Integration Capability</w:t>
      </w:r>
    </w:p>
    <w:p>
      <w:pPr>
        <w:pStyle w:val="Heading3"/>
        <w:keepNext/>
      </w:pPr>
      <w:r>
        <w:rPr>
          <w:rFonts w:ascii="Calibri" w:hAnsi="Calibri"/>
          <w:b w:val="0"/>
          <w:sz w:val="26"/>
        </w:rPr>
        <w:t>Oracle HCM Payroll Interface &amp; Integration</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W3S1-009-ORA-PayrollInterface-Integration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p>
      <w:pPr>
        <w:pStyle w:val="Heading5"/>
        <w:keepNext/>
      </w:pPr>
      <w:r>
        <w:rPr>
          <w:rFonts w:ascii="Calibri" w:hAnsi="Calibri"/>
          <w:b w:val="0"/>
          <w:sz w:val="22"/>
        </w:rPr>
        <w:t>7.3 POPIA Compliance in Payroll Integration</w:t>
      </w: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pStyle w:val="Heading5"/>
        <w:keepNext/>
      </w:pPr>
      <w:r>
        <w:rPr>
          <w:rFonts w:ascii="Calibri" w:hAnsi="Calibri"/>
          <w:b w:val="0"/>
          <w:sz w:val="22"/>
        </w:rPr>
        <w:t>8.2 Validation Run Design</w:t>
      </w:r>
    </w:p>
    <w:p>
      <w:pPr>
        <w:pStyle w:val="Heading5"/>
        <w:keepNext/>
      </w:pPr>
      <w:r>
        <w:rPr>
          <w:rFonts w:ascii="Calibri" w:hAnsi="Calibri"/>
          <w:b w:val="0"/>
          <w:sz w:val="22"/>
        </w:rPr>
        <w:t>8.3 Parallel Payroll Runs</w:t>
      </w:r>
    </w:p>
    <w:p>
      <w:pPr>
        <w:pStyle w:val="Heading5"/>
        <w:keepNext/>
      </w:pPr>
      <w:r>
        <w:rPr>
          <w:rFonts w:ascii="Calibri" w:hAnsi="Calibri"/>
          <w:b w:val="0"/>
          <w:sz w:val="22"/>
        </w:rPr>
        <w:t>8.4 Go/No-Go Gate</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pStyle w:val="Heading5"/>
        <w:keepNext/>
      </w:pPr>
      <w:r>
        <w:rPr>
          <w:rFonts w:ascii="Calibri" w:hAnsi="Calibri"/>
          <w:b w:val="0"/>
          <w:sz w:val="22"/>
        </w:rPr>
        <w:t>9.2 Exception Management Workflow</w:t>
      </w:r>
    </w:p>
    <w:p>
      <w:pPr>
        <w:pStyle w:val="Heading5"/>
        <w:keepNext/>
      </w:pPr>
      <w:r>
        <w:rPr>
          <w:rFonts w:ascii="Calibri" w:hAnsi="Calibri"/>
          <w:b w:val="0"/>
          <w:sz w:val="22"/>
        </w:rPr>
        <w:t>9.3 Operational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p>
      <w:pPr>
        <w:pStyle w:val="Heading5"/>
        <w:keepNext/>
      </w:pPr>
      <w:r>
        <w:rPr>
          <w:rFonts w:ascii="Calibri" w:hAnsi="Calibri"/>
          <w:b w:val="0"/>
          <w:sz w:val="22"/>
        </w:rPr>
        <w:t>10.2 Access Controls</w:t>
      </w: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pStyle w:val="Heading5"/>
        <w:keepNext/>
      </w:pPr>
      <w:r>
        <w:rPr>
          <w:rFonts w:ascii="Calibri" w:hAnsi="Calibri"/>
          <w:b w:val="0"/>
          <w:sz w:val="22"/>
        </w:rPr>
        <w:t>12.2 Integration Team Structure</w:t>
      </w:r>
    </w:p>
    <w:p>
      <w:pPr>
        <w:pStyle w:val="Heading5"/>
        <w:keepNext/>
      </w:pPr>
      <w:r>
        <w:rPr>
          <w:rFonts w:ascii="Calibri" w:hAnsi="Calibri"/>
          <w:b w:val="0"/>
          <w:sz w:val="22"/>
        </w:rPr>
        <w:t>12.3 Delivery Principles</w:t>
      </w: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p>
      <w:pPr>
        <w:pStyle w:val="Heading5"/>
        <w:keepNext/>
      </w:pPr>
      <w:r>
        <w:rPr>
          <w:rFonts w:ascii="Calibri" w:hAnsi="Calibri"/>
          <w:b w:val="0"/>
          <w:sz w:val="22"/>
        </w:rPr>
        <w:t>14.2 Assumptions Register</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21. Project Governance</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Oracle's Modern Best Practices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Oracle's Modern Best Practices Alignment</w:t>
      </w:r>
    </w:p>
    <w:p>
      <w:pPr/>
      <w:r>
        <w:rPr>
          <w:rFonts w:ascii="Calibri" w:hAnsi="Calibri"/>
          <w:b w:val="0"/>
          <w:sz w:val="22"/>
        </w:rPr>
        <w:t>Every APPSolve Oracle implementation is structured according to the Oracle's Modern Best Practices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Oracle's Modern Best Practices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pStyle w:val="Heading5"/>
        <w:keepNext/>
      </w:pPr>
      <w:r>
        <w:rPr>
          <w:rFonts w:ascii="Calibri" w:hAnsi="Calibri"/>
          <w:b w:val="0"/>
          <w:sz w:val="22"/>
        </w:rPr>
        <w:t>5.1 Scope Confirmation</w:t>
      </w:r>
    </w:p>
    <w:p>
      <w:pPr>
        <w:pStyle w:val="Heading5"/>
        <w:keepNext/>
      </w:pPr>
      <w:r>
        <w:rPr>
          <w:rFonts w:ascii="Calibri" w:hAnsi="Calibri"/>
          <w:b w:val="0"/>
          <w:sz w:val="22"/>
        </w:rPr>
        <w:t>5.2 Oracle Modern Best Practices Alignment</w:t>
      </w:r>
    </w:p>
    <w:p>
      <w:pPr>
        <w:pStyle w:val="Heading5"/>
        <w:keepNext/>
      </w:pPr>
      <w:r>
        <w:rPr>
          <w:rFonts w:ascii="Calibri" w:hAnsi="Calibri"/>
          <w:b w:val="0"/>
          <w:sz w:val="22"/>
        </w:rPr>
        <w:t>5.3 Data Requirements and Assessment</w:t>
      </w:r>
    </w:p>
    <w:p>
      <w:pPr>
        <w:pStyle w:val="Heading5"/>
        <w:keepNext/>
      </w:pPr>
      <w:r>
        <w:rPr>
          <w:rFonts w:ascii="Calibri" w:hAnsi="Calibri"/>
          <w:b w:val="0"/>
          <w:sz w:val="22"/>
        </w:rPr>
        <w:t>5.4 Workshop Scheduling and Environment Preparation</w:t>
      </w:r>
    </w:p>
    <w:p>
      <w:pPr>
        <w:pBdr>
          <w:bottom w:val="single" w:sz="4" w:space="1" w:color="CCCCCC"/>
        </w:pBdr>
        <w:spacing w:before="80" w:after="80"/>
      </w:pPr>
    </w:p>
    <w:p>
      <w:pPr>
        <w:pStyle w:val="Heading4"/>
        <w:keepNext/>
      </w:pPr>
      <w:r>
        <w:rPr>
          <w:rFonts w:ascii="Calibri" w:hAnsi="Calibri"/>
          <w:b w:val="0"/>
          <w:sz w:val="22"/>
        </w:rPr>
        <w:t>6. Prototype Phase</w:t>
      </w:r>
    </w:p>
    <w:p>
      <w:pPr>
        <w:pStyle w:val="Heading5"/>
        <w:keepNext/>
      </w:pPr>
      <w:r>
        <w:rPr>
          <w:rFonts w:ascii="Calibri" w:hAnsi="Calibri"/>
          <w:b w:val="0"/>
          <w:sz w:val="22"/>
        </w:rPr>
        <w:t>6.1 Design Governance</w:t>
      </w:r>
    </w:p>
    <w:p>
      <w:pPr>
        <w:pStyle w:val="Heading5"/>
        <w:keepNext/>
      </w:pPr>
      <w:r>
        <w:rPr>
          <w:rFonts w:ascii="Calibri" w:hAnsi="Calibri"/>
          <w:b w:val="0"/>
          <w:sz w:val="22"/>
        </w:rPr>
        <w:t>6.2 High-Level Design Workshops (Prototype 0)</w:t>
      </w:r>
    </w:p>
    <w:p>
      <w:pPr>
        <w:pStyle w:val="Heading5"/>
        <w:keepNext/>
      </w:pPr>
      <w:r>
        <w:rPr>
          <w:rFonts w:ascii="Calibri" w:hAnsi="Calibri"/>
          <w:b w:val="0"/>
          <w:sz w:val="22"/>
        </w:rPr>
        <w:t>6.3 Prototype 1 — CRP1</w:t>
      </w:r>
    </w:p>
    <w:p>
      <w:pPr>
        <w:pStyle w:val="Heading5"/>
        <w:keepNext/>
      </w:pPr>
      <w:r>
        <w:rPr>
          <w:rFonts w:ascii="Calibri" w:hAnsi="Calibri"/>
          <w:b w:val="0"/>
          <w:sz w:val="22"/>
        </w:rPr>
        <w:t>6.4 Detailed Design Workshops</w:t>
      </w:r>
    </w:p>
    <w:p>
      <w:pPr>
        <w:pStyle w:val="Heading5"/>
        <w:keepNext/>
      </w:pPr>
      <w:r>
        <w:rPr>
          <w:rFonts w:ascii="Calibri" w:hAnsi="Calibri"/>
          <w:b w:val="0"/>
          <w:sz w:val="22"/>
        </w:rPr>
        <w:t>6.5 Prototype 2 — CRP2</w:t>
      </w:r>
    </w:p>
    <w:p>
      <w:pPr>
        <w:pStyle w:val="Heading5"/>
        <w:keepNext/>
      </w:pPr>
      <w:r>
        <w:rPr>
          <w:rFonts w:ascii="Calibri" w:hAnsi="Calibri"/>
          <w:b w:val="0"/>
          <w:sz w:val="22"/>
        </w:rPr>
        <w:t>6.6 System Integration Testing (SIT)</w:t>
      </w:r>
    </w:p>
    <w:p>
      <w:pPr>
        <w:pBdr>
          <w:bottom w:val="single" w:sz="4" w:space="1" w:color="CCCCCC"/>
        </w:pBdr>
        <w:spacing w:before="80" w:after="80"/>
      </w:pPr>
    </w:p>
    <w:p>
      <w:pPr>
        <w:pStyle w:val="Heading4"/>
        <w:keepNext/>
      </w:pPr>
      <w:r>
        <w:rPr>
          <w:rFonts w:ascii="Calibri" w:hAnsi="Calibri"/>
          <w:b w:val="0"/>
          <w:sz w:val="22"/>
        </w:rPr>
        <w:t>7. Validate Phase</w:t>
      </w:r>
    </w:p>
    <w:p>
      <w:pPr>
        <w:pStyle w:val="Heading5"/>
        <w:keepNext/>
      </w:pPr>
      <w:r>
        <w:rPr>
          <w:rFonts w:ascii="Calibri" w:hAnsi="Calibri"/>
          <w:b w:val="0"/>
          <w:sz w:val="22"/>
        </w:rPr>
        <w:t>7.1 Production-to-Test Copy</w:t>
      </w:r>
    </w:p>
    <w:p>
      <w:pPr>
        <w:pStyle w:val="Heading5"/>
        <w:keepNext/>
      </w:pPr>
      <w:r>
        <w:rPr>
          <w:rFonts w:ascii="Calibri" w:hAnsi="Calibri"/>
          <w:b w:val="0"/>
          <w:sz w:val="22"/>
        </w:rPr>
        <w:t>7.2 Final Validation</w:t>
      </w:r>
    </w:p>
    <w:p>
      <w:pPr>
        <w:pStyle w:val="Heading5"/>
        <w:keepNext/>
      </w:pPr>
      <w:r>
        <w:rPr>
          <w:rFonts w:ascii="Calibri" w:hAnsi="Calibri"/>
          <w:b w:val="0"/>
          <w:sz w:val="22"/>
        </w:rPr>
        <w:t>7.3 Documentation Finalisation</w:t>
      </w:r>
    </w:p>
    <w:p>
      <w:pPr>
        <w:pStyle w:val="Heading5"/>
        <w:keepNext/>
      </w:pPr>
      <w:r>
        <w:rPr>
          <w:rFonts w:ascii="Calibri" w:hAnsi="Calibri"/>
          <w:b w:val="0"/>
          <w:sz w:val="22"/>
        </w:rPr>
        <w:t>7.4 Go-Live Preparation</w:t>
      </w:r>
    </w:p>
    <w:p>
      <w:pPr>
        <w:pBdr>
          <w:bottom w:val="single" w:sz="4" w:space="1" w:color="CCCCCC"/>
        </w:pBdr>
        <w:spacing w:before="80" w:after="80"/>
      </w:pPr>
    </w:p>
    <w:p>
      <w:pPr>
        <w:pStyle w:val="Heading4"/>
        <w:keepNext/>
      </w:pPr>
      <w:r>
        <w:rPr>
          <w:rFonts w:ascii="Calibri" w:hAnsi="Calibri"/>
          <w:b w:val="0"/>
          <w:sz w:val="22"/>
        </w:rPr>
        <w:t>8. Deploy Phase</w:t>
      </w:r>
    </w:p>
    <w:p>
      <w:pPr>
        <w:pStyle w:val="Heading5"/>
        <w:keepNext/>
      </w:pPr>
      <w:r>
        <w:rPr>
          <w:rFonts w:ascii="Calibri" w:hAnsi="Calibri"/>
          <w:b w:val="0"/>
          <w:sz w:val="22"/>
        </w:rPr>
        <w:t>8.1 Production Build</w:t>
      </w:r>
    </w:p>
    <w:p>
      <w:pPr>
        <w:pStyle w:val="Heading5"/>
        <w:keepNext/>
      </w:pPr>
      <w:r>
        <w:rPr>
          <w:rFonts w:ascii="Calibri" w:hAnsi="Calibri"/>
          <w:b w:val="0"/>
          <w:sz w:val="22"/>
        </w:rPr>
        <w:t>8.2 User Enablement</w:t>
      </w:r>
    </w:p>
    <w:p>
      <w:pPr>
        <w:pStyle w:val="Heading5"/>
        <w:keepNext/>
      </w:pPr>
      <w:r>
        <w:rPr>
          <w:rFonts w:ascii="Calibri" w:hAnsi="Calibri"/>
          <w:b w:val="0"/>
          <w:sz w:val="22"/>
        </w:rPr>
        <w:t>8.3 Go-Live Execution</w:t>
      </w:r>
    </w:p>
    <w:p>
      <w:pPr>
        <w:pBdr>
          <w:bottom w:val="single" w:sz="4" w:space="1" w:color="CCCCCC"/>
        </w:pBdr>
        <w:spacing w:before="80" w:after="80"/>
      </w:pPr>
    </w:p>
    <w:p>
      <w:pPr>
        <w:pStyle w:val="Heading4"/>
        <w:keepNext/>
      </w:pPr>
      <w:r>
        <w:rPr>
          <w:rFonts w:ascii="Calibri" w:hAnsi="Calibri"/>
          <w:b w:val="0"/>
          <w:sz w:val="22"/>
        </w:rPr>
        <w:t>9. Evolve / Hyper-care Phase</w:t>
      </w:r>
    </w:p>
    <w:p>
      <w:pPr>
        <w:pStyle w:val="Heading5"/>
        <w:keepNext/>
      </w:pPr>
      <w:r>
        <w:rPr>
          <w:rFonts w:ascii="Calibri" w:hAnsi="Calibri"/>
          <w:b w:val="0"/>
          <w:sz w:val="22"/>
        </w:rPr>
        <w:t>9.1 Hyper-care (~3 Months)</w:t>
      </w:r>
    </w:p>
    <w:p>
      <w:pPr>
        <w:pStyle w:val="Heading5"/>
        <w:keepNext/>
      </w:pPr>
      <w:r>
        <w:rPr>
          <w:rFonts w:ascii="Calibri" w:hAnsi="Calibri"/>
          <w:b w:val="0"/>
          <w:sz w:val="22"/>
        </w:rPr>
        <w:t>9.2 Critical Care (~6 Months)</w:t>
      </w:r>
    </w:p>
    <w:p>
      <w:pPr>
        <w:pStyle w:val="Heading5"/>
        <w:keepNext/>
      </w:pPr>
      <w:r>
        <w:rPr>
          <w:rFonts w:ascii="Calibri" w:hAnsi="Calibri"/>
          <w:b w:val="0"/>
          <w:sz w:val="22"/>
        </w:rPr>
        <w:t>9.3 Steady-State Transition</w:t>
      </w:r>
    </w:p>
    <w:p>
      <w:pPr>
        <w:pBdr>
          <w:bottom w:val="single" w:sz="4" w:space="1" w:color="CCCCCC"/>
        </w:pBdr>
        <w:spacing w:before="80" w:after="80"/>
      </w:pPr>
    </w:p>
    <w:p>
      <w:pPr>
        <w:pStyle w:val="Heading4"/>
        <w:keepNext/>
      </w:pPr>
      <w:r>
        <w:rPr>
          <w:rFonts w:ascii="Calibri" w:hAnsi="Calibri"/>
          <w:b w:val="0"/>
          <w:sz w:val="22"/>
        </w:rPr>
        <w:t>10. Project Governance Framework</w:t>
      </w:r>
    </w:p>
    <w:p>
      <w:pPr>
        <w:pStyle w:val="Heading5"/>
        <w:keepNext/>
      </w:pPr>
      <w:r>
        <w:rPr>
          <w:rFonts w:ascii="Calibri" w:hAnsi="Calibri"/>
          <w:b w:val="0"/>
          <w:sz w:val="22"/>
        </w:rPr>
        <w:t>10.1 Risk Management</w:t>
      </w:r>
    </w:p>
    <w:p>
      <w:pPr>
        <w:pStyle w:val="Heading5"/>
        <w:keepNext/>
      </w:pPr>
      <w:r>
        <w:rPr>
          <w:rFonts w:ascii="Calibri" w:hAnsi="Calibri"/>
          <w:b w:val="0"/>
          <w:sz w:val="22"/>
        </w:rPr>
        <w:t>10.2 Issue Management</w:t>
      </w:r>
    </w:p>
    <w:p>
      <w:pPr>
        <w:pStyle w:val="Heading5"/>
        <w:keepNext/>
      </w:pPr>
      <w:r>
        <w:rPr>
          <w:rFonts w:ascii="Calibri" w:hAnsi="Calibri"/>
          <w:b w:val="0"/>
          <w:sz w:val="22"/>
        </w:rPr>
        <w:t>10.3 Change Control</w:t>
      </w:r>
    </w:p>
    <w:p>
      <w:pPr>
        <w:pStyle w:val="Heading5"/>
        <w:keepNext/>
      </w:pPr>
      <w:r>
        <w:rPr>
          <w:rFonts w:ascii="Calibri" w:hAnsi="Calibri"/>
          <w:b w:val="0"/>
          <w:sz w:val="22"/>
        </w:rPr>
        <w:t>10.4 Configuration Management</w:t>
      </w:r>
    </w:p>
    <w:p>
      <w:pPr>
        <w:pStyle w:val="Heading5"/>
        <w:keepNext/>
      </w:pPr>
      <w:r>
        <w:rPr>
          <w:rFonts w:ascii="Calibri" w:hAnsi="Calibri"/>
          <w:b w:val="0"/>
          <w:sz w:val="22"/>
        </w:rPr>
        <w:t>10.5 Governance Integration with Client Structures</w:t>
      </w:r>
    </w:p>
    <w:p>
      <w:pPr>
        <w:pBdr>
          <w:bottom w:val="single" w:sz="4" w:space="1" w:color="CCCCCC"/>
        </w:pBdr>
        <w:spacing w:before="80" w:after="80"/>
      </w:pPr>
    </w:p>
    <w:p>
      <w:pPr>
        <w:pStyle w:val="Heading4"/>
        <w:keepNext/>
      </w:pPr>
      <w:r>
        <w:rPr>
          <w:rFonts w:ascii="Calibri" w:hAnsi="Calibri"/>
          <w:b w:val="0"/>
          <w:sz w:val="22"/>
        </w:rPr>
        <w:t>11. Oracle Delivery Accelerators</w:t>
      </w:r>
    </w:p>
    <w:p>
      <w:pPr>
        <w:pStyle w:val="Heading5"/>
        <w:keepNext/>
      </w:pPr>
      <w:r>
        <w:rPr>
          <w:rFonts w:ascii="Calibri" w:hAnsi="Calibri"/>
          <w:b w:val="0"/>
          <w:sz w:val="22"/>
        </w:rPr>
        <w:t>11.1 Oracle Integration Cloud (OIC)</w:t>
      </w:r>
    </w:p>
    <w:p>
      <w:pPr>
        <w:pStyle w:val="Heading5"/>
        <w:keepNext/>
      </w:pPr>
      <w:r>
        <w:rPr>
          <w:rFonts w:ascii="Calibri" w:hAnsi="Calibri"/>
          <w:b w:val="0"/>
          <w:sz w:val="22"/>
        </w:rPr>
        <w:t>11.2 Oracle FBDI (File Based Data Import)</w:t>
      </w:r>
    </w:p>
    <w:p>
      <w:pPr>
        <w:pStyle w:val="Heading5"/>
        <w:keepNext/>
      </w:pPr>
      <w:r>
        <w:rPr>
          <w:rFonts w:ascii="Calibri" w:hAnsi="Calibri"/>
          <w:b w:val="0"/>
          <w:sz w:val="22"/>
        </w:rPr>
        <w:t>11.3 Oracle Starter Configurator and Modern Best Practices</w:t>
      </w:r>
    </w:p>
    <w:p>
      <w:pPr>
        <w:pStyle w:val="Heading5"/>
        <w:keepNext/>
      </w:pPr>
      <w:r>
        <w:rPr>
          <w:rFonts w:ascii="Calibri" w:hAnsi="Calibri"/>
          <w:b w:val="0"/>
          <w:sz w:val="22"/>
        </w:rPr>
        <w:t>11.4 Oracle Guided Learning</w:t>
      </w:r>
    </w:p>
    <w:p>
      <w:pPr>
        <w:pStyle w:val="Heading5"/>
        <w:keepNext/>
      </w:pPr>
      <w:r>
        <w:rPr>
          <w:rFonts w:ascii="Calibri" w:hAnsi="Calibri"/>
          <w:b w:val="0"/>
          <w:sz w:val="22"/>
        </w:rPr>
        <w:t>11.5 Oracle University Training</w:t>
      </w:r>
    </w:p>
    <w:p>
      <w:pPr>
        <w:pStyle w:val="Heading5"/>
        <w:keepNext/>
      </w:pPr>
      <w:r>
        <w:rPr>
          <w:rFonts w:ascii="Calibri" w:hAnsi="Calibri"/>
          <w:b w:val="0"/>
          <w:sz w:val="22"/>
        </w:rPr>
        <w:t>11.6 Oracle's Modern Best Practices Documentation Standards</w:t>
      </w:r>
    </w:p>
    <w:p>
      <w:pPr>
        <w:pStyle w:val="Heading5"/>
        <w:keepNext/>
      </w:pPr>
      <w:r>
        <w:rPr>
          <w:rFonts w:ascii="Calibri" w:hAnsi="Calibri"/>
          <w:b w:val="0"/>
          <w:sz w:val="22"/>
        </w:rPr>
        <w:t>11.7 OCI Security Documentation</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pStyle w:val="Heading5"/>
        <w:keepNext/>
      </w:pPr>
      <w:r>
        <w:rPr>
          <w:rFonts w:ascii="Calibri" w:hAnsi="Calibri"/>
          <w:b w:val="0"/>
          <w:sz w:val="22"/>
        </w:rPr>
        <w:t>12.1 Module Sequencing</w:t>
      </w:r>
    </w:p>
    <w:p>
      <w:pPr>
        <w:pStyle w:val="Heading5"/>
        <w:keepNext/>
      </w:pPr>
      <w:r>
        <w:rPr>
          <w:rFonts w:ascii="Calibri" w:hAnsi="Calibri"/>
          <w:b w:val="0"/>
          <w:sz w:val="22"/>
        </w:rPr>
        <w:t>12.2 OIC as Mandatory Architecture Component</w:t>
      </w:r>
    </w:p>
    <w:p>
      <w:pPr>
        <w:pStyle w:val="Heading5"/>
        <w:keepNext/>
      </w:pPr>
      <w:r>
        <w:rPr>
          <w:rFonts w:ascii="Calibri" w:hAnsi="Calibri"/>
          <w:b w:val="0"/>
          <w:sz w:val="22"/>
        </w:rPr>
        <w:t>12.3 Oracle Quarterly Patch Cycle</w:t>
      </w:r>
    </w:p>
    <w:p>
      <w:pPr>
        <w:pStyle w:val="Heading5"/>
        <w:keepNext/>
      </w:pPr>
      <w:r>
        <w:rPr>
          <w:rFonts w:ascii="Calibri" w:hAnsi="Calibri"/>
          <w:b w:val="0"/>
          <w:sz w:val="22"/>
        </w:rPr>
        <w:t>12.4 Security and Role Design</w:t>
      </w:r>
    </w:p>
    <w:p>
      <w:pPr>
        <w:pStyle w:val="Heading5"/>
        <w:keepNext/>
      </w:pPr>
      <w:r>
        <w:rPr>
          <w:rFonts w:ascii="Calibri" w:hAnsi="Calibri"/>
          <w:b w:val="0"/>
          <w:sz w:val="22"/>
        </w:rPr>
        <w:t>12.5 Multi-Country and Blueprint Rollout</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pStyle w:val="Heading5"/>
        <w:keepNext/>
      </w:pPr>
      <w:r>
        <w:rPr>
          <w:rFonts w:ascii="Calibri" w:hAnsi="Calibri"/>
          <w:b w:val="0"/>
          <w:sz w:val="22"/>
        </w:rPr>
        <w:t>13.1 Oracle's Modern Best Practices on Oracle EBS</w:t>
      </w:r>
    </w:p>
    <w:p>
      <w:pPr>
        <w:pStyle w:val="Heading5"/>
        <w:keepNext/>
      </w:pPr>
      <w:r>
        <w:rPr>
          <w:rFonts w:ascii="Calibri" w:hAnsi="Calibri"/>
          <w:b w:val="0"/>
          <w:sz w:val="22"/>
        </w:rPr>
        <w:t>13.2 Customisation Assessment</w:t>
      </w:r>
    </w:p>
    <w:p>
      <w:pPr>
        <w:pStyle w:val="Heading5"/>
        <w:keepNext/>
      </w:pPr>
      <w:r>
        <w:rPr>
          <w:rFonts w:ascii="Calibri" w:hAnsi="Calibri"/>
          <w:b w:val="0"/>
          <w:sz w:val="22"/>
        </w:rPr>
        <w:t>13.3 EBS-to-OCI Migration</w:t>
      </w:r>
    </w:p>
    <w:p>
      <w:pPr>
        <w:pStyle w:val="Heading5"/>
        <w:keepNext/>
      </w:pPr>
      <w:r>
        <w:rPr>
          <w:rFonts w:ascii="Calibri" w:hAnsi="Calibri"/>
          <w:b w:val="0"/>
          <w:sz w:val="22"/>
        </w:rPr>
        <w:t>13.4 DBA Integration During Implementation</w:t>
      </w:r>
    </w:p>
    <w:p>
      <w:pPr>
        <w:pBdr>
          <w:bottom w:val="single" w:sz="4" w:space="1" w:color="CCCCCC"/>
        </w:pBdr>
        <w:spacing w:before="80" w:after="80"/>
      </w:pPr>
    </w:p>
    <w:p>
      <w:pPr>
        <w:pStyle w:val="Heading4"/>
        <w:keepNext/>
      </w:pPr>
      <w:r>
        <w:rPr>
          <w:rFonts w:ascii="Calibri" w:hAnsi="Calibri"/>
          <w:b w:val="0"/>
          <w:sz w:val="22"/>
        </w:rPr>
        <w:t>14. Transition to Support Services</w:t>
      </w:r>
    </w:p>
    <w:p>
      <w:pPr>
        <w:pStyle w:val="Heading5"/>
        <w:keepNext/>
      </w:pPr>
      <w:r>
        <w:rPr>
          <w:rFonts w:ascii="Calibri" w:hAnsi="Calibri"/>
          <w:b w:val="0"/>
          <w:sz w:val="22"/>
        </w:rPr>
        <w:t>14.1 Transition Planning</w:t>
      </w:r>
    </w:p>
    <w:p>
      <w:pPr>
        <w:pStyle w:val="Heading5"/>
        <w:keepNext/>
      </w:pPr>
      <w:r>
        <w:rPr>
          <w:rFonts w:ascii="Calibri" w:hAnsi="Calibri"/>
          <w:b w:val="0"/>
          <w:sz w:val="22"/>
        </w:rPr>
        <w:t>14.2 Knowledge Transfer</w:t>
      </w:r>
    </w:p>
    <w:p>
      <w:pPr>
        <w:pStyle w:val="Heading5"/>
        <w:keepNext/>
      </w:pPr>
      <w:r>
        <w:rPr>
          <w:rFonts w:ascii="Calibri" w:hAnsi="Calibri"/>
          <w:b w:val="0"/>
          <w:sz w:val="22"/>
        </w:rPr>
        <w:t>14.3 Steady-State Support Handover</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pStyle w:val="Heading5"/>
        <w:keepNext/>
      </w:pPr>
      <w:r>
        <w:rPr>
          <w:rFonts w:ascii="Calibri" w:hAnsi="Calibri"/>
          <w:b w:val="0"/>
          <w:sz w:val="22"/>
        </w:rPr>
        <w:t>15.2 Implementation Depth</w:t>
      </w:r>
    </w:p>
    <w:p>
      <w:pPr>
        <w:pStyle w:val="Heading5"/>
        <w:keepNext/>
      </w:pPr>
      <w:r>
        <w:rPr>
          <w:rFonts w:ascii="Calibri" w:hAnsi="Calibri"/>
          <w:b w:val="0"/>
          <w:sz w:val="22"/>
        </w:rPr>
        <w:t>15.3 OIC Integration Leadership</w:t>
      </w:r>
    </w:p>
    <w:p>
      <w:pPr>
        <w:pStyle w:val="Heading5"/>
        <w:keepNext/>
      </w:pPr>
      <w:r>
        <w:rPr>
          <w:rFonts w:ascii="Calibri" w:hAnsi="Calibri"/>
          <w:b w:val="0"/>
          <w:sz w:val="22"/>
        </w:rPr>
        <w:t>15.4 Local Presence and Delivery Model</w:t>
      </w:r>
    </w:p>
    <w:p>
      <w:pPr>
        <w:pStyle w:val="Heading5"/>
        <w:keepNext/>
      </w:pPr>
      <w:r>
        <w:rPr>
          <w:rFonts w:ascii="Calibri" w:hAnsi="Calibri"/>
          <w:b w:val="0"/>
          <w:sz w:val="22"/>
        </w:rPr>
        <w:t>15.5 Resource Stability</w:t>
      </w:r>
    </w:p>
    <w:p>
      <w:pPr>
        <w:pBdr>
          <w:bottom w:val="single" w:sz="4" w:space="1" w:color="CCCCCC"/>
        </w:pBdr>
        <w:spacing w:before="80" w:after="80"/>
      </w:pPr>
    </w:p>
    <w:p>
      <w:pPr>
        <w:pStyle w:val="Heading4"/>
        <w:keepNext/>
      </w:pPr>
      <w:r>
        <w:rPr>
          <w:rFonts w:ascii="Calibri" w:hAnsi="Calibri"/>
          <w:b w:val="0"/>
          <w:sz w:val="22"/>
        </w:rPr>
        <w:t>16. Conclusion</w:t>
      </w:r>
    </w:p>
    <w:p>
      <w:pPr>
        <w:pBdr>
          <w:bottom w:val="single" w:sz="4" w:space="1" w:color="CCCCCC"/>
        </w:pBdr>
        <w:spacing w:before="80" w:after="80"/>
      </w:pPr>
    </w:p>
    <w:p>
      <w:pPr>
        <w:pStyle w:val="Heading5"/>
        <w:keepNext/>
      </w:pPr>
      <w:r>
        <w:rPr>
          <w:rFonts w:ascii="Calibri" w:hAnsi="Calibri"/>
          <w:b w:val="0"/>
          <w:sz w:val="22"/>
        </w:rPr>
        <w:t>17.2 Pre-Tender Checks</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B — Fact Verification Summary</w:t>
      </w:r>
    </w:p>
    <w:p>
      <w:pPr>
        <w:pBdr>
          <w:bottom w:val="single" w:sz="4" w:space="1" w:color="CCCCCC"/>
        </w:pBdr>
        <w:spacing w:before="80" w:after="80"/>
      </w:pPr>
    </w:p>
    <w:p>
      <w:pPr/>
      <w:r>
        <w:rPr>
          <w:rFonts w:ascii="Calibri" w:hAnsi="Calibri"/>
          <w:b w:val="0"/>
          <w:sz w:val="22"/>
        </w:rPr>
        <w:t>_This section has been summarised for conciseness. Full detail is provided in Internal Review Pack._</w:t>
      </w:r>
    </w:p>
    <w:p>
      <w:pPr>
        <w:spacing w:before="0" w:after="0"/>
      </w:pPr>
      <w:r>
        <w:br w:type="page"/>
      </w:r>
    </w:p>
    <w:p>
      <w:pPr>
        <w:pStyle w:val="Heading2"/>
        <w:keepNext/>
      </w:pPr>
      <w:r>
        <w:t>20. Project Plan / Timeline</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t>22. RAID Framework</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RAID Framework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Risk register populated from Risk Library; review before submission</w:t>
            </w:r>
          </w:p>
        </w:tc>
      </w:tr>
    </w:tbl>
    <w:p>
      <w:pPr>
        <w:spacing w:before="0" w:after="120"/>
      </w:pPr>
    </w:p>
    <w:p>
      <w:pPr>
        <w:spacing w:before="0" w:after="0"/>
      </w:pPr>
      <w:r>
        <w:br w:type="page"/>
      </w:r>
    </w:p>
    <w:p>
      <w:pPr>
        <w:pStyle w:val="Heading2"/>
        <w:keepNext/>
      </w:pPr>
      <w:r>
        <w:t>23. Change Control Framework</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Change Control Framework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Do not expose CR thresholds or rates; EXCLUDED for AMS — use S-73</w:t>
            </w:r>
          </w:p>
        </w:tc>
      </w:tr>
    </w:tbl>
    <w:p>
      <w:pPr>
        <w:spacing w:before="0" w:after="120"/>
      </w:pPr>
    </w:p>
    <w:p>
      <w:pPr>
        <w:spacing w:before="0" w:after="0"/>
      </w:pPr>
      <w:r>
        <w:br w:type="page"/>
      </w:r>
    </w:p>
    <w:p>
      <w:pPr>
        <w:pStyle w:val="Heading2"/>
        <w:keepNext/>
      </w:pPr>
      <w:r>
        <w:t>25. Team Structure</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t>26. Key Assumptions (Body Section)</w:t>
      </w:r>
    </w:p>
    <w:p>
      <w:pPr>
        <w:pStyle w:val="Heading3"/>
        <w:keepNext/>
      </w:pPr>
      <w:r>
        <w:rPr>
          <w:rFonts w:ascii="Calibri" w:hAnsi="Calibri"/>
          <w:b w:val="0"/>
          <w:sz w:val="26"/>
        </w:rPr>
        <w:t>Oracle Fusion HCM Cloud — Core Platform</w:t>
      </w:r>
    </w:p>
    <w:p>
      <w:pPr/>
      <w:r>
        <w:rPr>
          <w:rFonts w:ascii="Calibri" w:hAnsi="Calibri"/>
          <w:b w:val="0"/>
          <w:sz w:val="22"/>
        </w:rPr>
        <w:t>This proposal is based on a standard Oracle Fusion HCM Cloud SaaS implementation scoped to Plennegy's confirmed legal entities, employee headcount, and module list. The following core assumptions govern all phases of the engagement.</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Recruiting Cloud</w:t>
      </w:r>
    </w:p>
    <w:p>
      <w:pPr/>
      <w:r>
        <w:rPr>
          <w:rFonts w:ascii="Calibri" w:hAnsi="Calibri"/>
          <w:b w:val="0"/>
          <w:sz w:val="22"/>
        </w:rPr>
        <w:t>The Oracle Recruiting Cloud implementation is scoped within the Phase 1 HCM delivery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Learning Cloud</w:t>
      </w:r>
    </w:p>
    <w:p>
      <w:pPr/>
      <w:r>
        <w:rPr>
          <w:rFonts w:ascii="Calibri" w:hAnsi="Calibri"/>
          <w:b w:val="0"/>
          <w:sz w:val="22"/>
        </w:rPr>
        <w:t>Oracle Learning Cloud is delivered in Phase 2 of the engagement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Talent Management</w:t>
      </w:r>
    </w:p>
    <w:p>
      <w:pPr/>
      <w:r>
        <w:rPr>
          <w:rFonts w:ascii="Calibri" w:hAnsi="Calibri"/>
          <w:b w:val="0"/>
          <w:sz w:val="22"/>
        </w:rPr>
        <w:t>Oracle Talent Management (Performance, Goals, Succession) is delivered in Phase 2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Integration Cloud (OIC) — Integration Services</w:t>
      </w:r>
    </w:p>
    <w:p>
      <w:pPr/>
      <w:r>
        <w:rPr>
          <w:rFonts w:ascii="Calibri" w:hAnsi="Calibri"/>
          <w:b w:val="0"/>
          <w:sz w:val="22"/>
        </w:rPr>
        <w:t>All integration services use Oracle Integration Cloud (OIC) as the standard integration layer. The following assumptions apply.</w:t>
      </w:r>
    </w:p>
    <w:p>
      <w:pPr/>
      <w:r>
        <w:rPr>
          <w:rFonts w:ascii="Calibri" w:hAnsi="Calibri"/>
          <w:b w:val="0"/>
          <w:sz w:val="22"/>
        </w:rPr>
        <w:t>_The detailed contractual assumptions will form part of the Statement of Work agreed between APPSolve and Plennegy._</w:t>
      </w:r>
    </w:p>
    <w:p>
      <w:pPr>
        <w:spacing w:before="0" w:after="0"/>
      </w:pPr>
      <w:r>
        <w:br w:type="page"/>
      </w:r>
    </w:p>
    <w:p>
      <w:pPr>
        <w:pStyle w:val="Heading2"/>
        <w:keepNext/>
      </w:pPr>
      <w:r>
        <w:t>27. Risk Register</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Risk Register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Risk Library standard defined (WP18B)*</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29. Commercials / Pricing</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Commercials / Pricing</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Commercial Director authority; never expose rates; : S-49 must precede this</w:t>
            </w:r>
          </w:p>
        </w:tc>
      </w:tr>
    </w:tbl>
    <w:p>
      <w:pPr>
        <w:spacing w:before="0" w:after="120"/>
      </w:pPr>
    </w:p>
    <w:p>
      <w:pPr/>
      <w:r>
        <w:rPr>
          <w:rFonts w:ascii="Calibri" w:hAnsi="Calibri"/>
          <w:sz w:val="22"/>
        </w:rPr>
        <w:t>**Fields to complete:**</w:t>
      </w:r>
    </w:p>
    <w:p>
      <w:pPr>
        <w:pStyle w:val="ListBullet"/>
        <w:spacing w:before="20" w:after="20"/>
      </w:pPr>
      <w:r>
        <w:rPr>
          <w:rFonts w:ascii="Calibri" w:hAnsi="Calibri"/>
          <w:sz w:val="22"/>
        </w:rPr>
        <w:t>`{{pricing_table}}`</w:t>
      </w:r>
    </w:p>
    <w:p>
      <w:pPr>
        <w:pStyle w:val="ListBullet"/>
        <w:spacing w:before="20" w:after="20"/>
      </w:pPr>
      <w:r>
        <w:rPr>
          <w:rFonts w:ascii="Calibri" w:hAnsi="Calibri"/>
          <w:sz w:val="22"/>
        </w:rPr>
        <w:t>`{{commercial_terms}}`</w:t>
      </w:r>
    </w:p>
    <w:p>
      <w:pPr>
        <w:spacing w:before="0" w:after="0"/>
      </w:pPr>
      <w:r>
        <w:br w:type="page"/>
      </w:r>
    </w:p>
    <w:p>
      <w:pPr>
        <w:pStyle w:val="Heading2"/>
        <w:keepNext/>
      </w:pPr>
      <w:r>
        <w:t>37. Client References</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t>36. Oracle OPN Certificate</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p>
      <w:pPr>
        <w:spacing w:before="0" w:after="0"/>
      </w:pPr>
      <w:r>
        <w:br w:type="page"/>
      </w:r>
    </w:p>
    <w:p>
      <w:pPr>
        <w:pStyle w:val="Heading2"/>
        <w:keepNext/>
      </w:pPr>
      <w:r>
        <w:t>Appendix A — Complete Assumption Schedule</w:t>
      </w:r>
    </w:p>
    <w:p>
      <w:pPr>
        <w:pStyle w:val="Heading3"/>
        <w:keepNext/>
      </w:pPr>
      <w:r>
        <w:rPr>
          <w:rFonts w:ascii="Calibri" w:hAnsi="Calibri"/>
          <w:b w:val="0"/>
          <w:sz w:val="26"/>
        </w:rPr>
        <w:t>Oracle Fusion HCM Cloud — Core Platform</w:t>
      </w:r>
    </w:p>
    <w:p>
      <w:pPr/>
      <w:r>
        <w:rPr>
          <w:rFonts w:ascii="Calibri" w:hAnsi="Calibri"/>
          <w:b w:val="0"/>
          <w:sz w:val="22"/>
        </w:rPr>
        <w:t>This proposal is based on a standard Oracle Fusion HCM Cloud SaaS implementation scoped to Plennegy's confirmed legal entities, employee headcount, and module list. The following core assumptions govern all phases of the engagement.</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Recruiting Cloud</w:t>
      </w:r>
    </w:p>
    <w:p>
      <w:pPr/>
      <w:r>
        <w:rPr>
          <w:rFonts w:ascii="Calibri" w:hAnsi="Calibri"/>
          <w:b w:val="0"/>
          <w:sz w:val="22"/>
        </w:rPr>
        <w:t>The Oracle Recruiting Cloud implementation is scoped within the Phase 1 HCM delivery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Learning Cloud</w:t>
      </w:r>
    </w:p>
    <w:p>
      <w:pPr/>
      <w:r>
        <w:rPr>
          <w:rFonts w:ascii="Calibri" w:hAnsi="Calibri"/>
          <w:b w:val="0"/>
          <w:sz w:val="22"/>
        </w:rPr>
        <w:t>Oracle Learning Cloud is delivered in Phase 2 of the engagement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Talent Management</w:t>
      </w:r>
    </w:p>
    <w:p>
      <w:pPr/>
      <w:r>
        <w:rPr>
          <w:rFonts w:ascii="Calibri" w:hAnsi="Calibri"/>
          <w:b w:val="0"/>
          <w:sz w:val="22"/>
        </w:rPr>
        <w:t>Oracle Talent Management (Performance, Goals, Succession) is delivered in Phase 2 and assumes the following.</w:t>
      </w:r>
    </w:p>
    <w:p>
      <w:pPr/>
      <w:r>
        <w:rPr>
          <w:rFonts w:ascii="Calibri" w:hAnsi="Calibri"/>
          <w:b w:val="0"/>
          <w:sz w:val="22"/>
        </w:rPr>
        <w:t>_The detailed contractual assumptions will form part of the Statement of Work agreed between APPSolve and Plennegy._</w:t>
      </w:r>
    </w:p>
    <w:p>
      <w:pPr>
        <w:pStyle w:val="Heading3"/>
        <w:keepNext/>
      </w:pPr>
      <w:r>
        <w:rPr>
          <w:rFonts w:ascii="Calibri" w:hAnsi="Calibri"/>
          <w:b w:val="0"/>
          <w:sz w:val="26"/>
        </w:rPr>
        <w:t>Oracle Integration Cloud (OIC) — Integration Services</w:t>
      </w:r>
    </w:p>
    <w:p>
      <w:pPr/>
      <w:r>
        <w:rPr>
          <w:rFonts w:ascii="Calibri" w:hAnsi="Calibri"/>
          <w:b w:val="0"/>
          <w:sz w:val="22"/>
        </w:rPr>
        <w:t>All integration services use Oracle Integration Cloud (OIC) as the standard integration layer. The following assumptions apply.</w:t>
      </w:r>
    </w:p>
    <w:p>
      <w:pPr/>
      <w:r>
        <w:rPr>
          <w:rFonts w:ascii="Calibri" w:hAnsi="Calibri"/>
          <w:b w:val="0"/>
          <w:sz w:val="22"/>
        </w:rPr>
        <w:t>_The detailed contractual assumptions will form part of the Statement of Work agreed between APPSolve and Plennegy._</w:t>
      </w:r>
    </w:p>
    <w:p>
      <w:pPr>
        <w:spacing w:before="0" w:after="0"/>
      </w:pPr>
      <w:r>
        <w:br w:type="page"/>
      </w:r>
    </w:p>
    <w:p>
      <w:pPr>
        <w:pStyle w:val="Heading2"/>
        <w:keepNext/>
      </w:pPr>
      <w:r>
        <w:t>Appendix D — Certifications and Compliance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Certifications and Compliance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All expiry dates must be &gt; submission date</w:t>
            </w:r>
          </w:p>
        </w:tc>
      </w:tr>
    </w:tbl>
    <w:p>
      <w:pPr>
        <w:spacing w:before="0" w:after="120"/>
      </w:pPr>
    </w:p>
    <w:p>
      <w:pPr>
        <w:spacing w:before="0" w:after="0"/>
      </w:pPr>
      <w:r>
        <w:br w:type="page"/>
      </w:r>
    </w:p>
    <w:p>
      <w:pPr>
        <w:pStyle w:val="Heading2"/>
        <w:keepNext/>
      </w:pPr>
      <w:r>
        <w:t>31. Company Registration</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Company Registration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CIPC registration current</w:t>
            </w:r>
          </w:p>
        </w:tc>
      </w:tr>
    </w:tbl>
    <w:p>
      <w:pPr>
        <w:spacing w:before="0" w:after="120"/>
      </w:pPr>
    </w:p>
    <w:p>
      <w:pPr>
        <w:spacing w:before="0" w:after="0"/>
      </w:pPr>
      <w:r>
        <w:br w:type="page"/>
      </w:r>
    </w:p>
    <w:p>
      <w:pPr>
        <w:pStyle w:val="Heading2"/>
        <w:keepNext/>
      </w:pPr>
      <w:r>
        <w:t>32. Tax Clearance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Tax Clearance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expiry date &gt; submission date (current valid to 2027-02-23)</w:t>
            </w:r>
          </w:p>
        </w:tc>
      </w:tr>
    </w:tbl>
    <w:p>
      <w:pPr>
        <w:spacing w:before="0" w:after="120"/>
      </w:pPr>
    </w:p>
    <w:p>
      <w:pPr>
        <w:spacing w:before="0" w:after="0"/>
      </w:pPr>
      <w:r>
        <w:br w:type="page"/>
      </w:r>
    </w:p>
    <w:p>
      <w:pPr>
        <w:pStyle w:val="Heading2"/>
        <w:keepNext/>
      </w:pPr>
      <w:r>
        <w:t>33. Directors' Resolution</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Directors' Resolution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Renewed 2026-06-15; confirm still valid at submission date</w:t>
            </w:r>
          </w:p>
        </w:tc>
      </w:tr>
    </w:tbl>
    <w:p>
      <w:pPr>
        <w:spacing w:before="0" w:after="120"/>
      </w:pPr>
    </w:p>
    <w:p>
      <w:pPr>
        <w:spacing w:before="0" w:after="0"/>
      </w:pPr>
      <w:r>
        <w:br w:type="page"/>
      </w:r>
    </w:p>
    <w:p>
      <w:pPr>
        <w:pStyle w:val="Heading2"/>
        <w:keepNext/>
      </w:pPr>
      <w:r>
        <w:t>Appendix E — B-BBEE Certificate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Expiry 2026-07-31; OAR-C01/C02/A01 BEE blocker</w:t>
            </w:r>
          </w:p>
        </w:tc>
      </w:tr>
    </w:tbl>
    <w:p>
      <w:pPr>
        <w:spacing w:before="0" w:after="120"/>
      </w:pPr>
    </w:p>
    <w:p>
      <w:pPr>
        <w:pBdr>
          <w:bottom w:val="single" w:sz="4" w:space="1" w:color="CCCCCC"/>
        </w:pBdr>
        <w:spacing w:before="80" w:after="8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RENDERED=21 | PLACEHOLDER=18 | AI-DRAFT=3 | NOT_FOUND=0 | SKIPPED=0</w:t>
            </w:r>
          </w:p>
        </w:tc>
      </w:tr>
    </w:tbl>
    <w:p>
      <w:pPr>
        <w:spacing w:before="0" w:after="120"/>
      </w:pPr>
    </w:p>
    <w:p>
      <w:pPr/>
      <w:r>
        <w:rPr>
          <w:rFonts w:ascii="Calibri" w:hAnsi="Calibri"/>
          <w:sz w:val="22"/>
        </w:rPr>
        <w:t>*End of document — assembled by APPSolve Proposal Factory v1.0*</w:t>
      </w:r>
    </w:p>
    <w:p>
      <w:pPr>
        <w:spacing w:before="0" w:after="0"/>
      </w:pPr>
      <w:r>
        <w:br w:type="page"/>
      </w:r>
    </w:p>
    <w:p>
      <w:pPr>
        <w:pStyle w:val="Heading2"/>
        <w:keepNext/>
      </w:pPr>
      <w:r>
        <w:t>35. Public Liability Insurance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Public Liability Insurance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Obtained 2026-06-15; confirm exact expiry from policy (OAR pending confirmation)</w:t>
            </w:r>
          </w:p>
        </w:tc>
      </w:tr>
    </w:tbl>
    <w:p>
      <w:pPr>
        <w:spacing w:before="0" w:after="120"/>
      </w:pPr>
    </w:p>
    <w:p>
      <w:pPr>
        <w:spacing w:before="0" w:after="0"/>
      </w:pPr>
      <w:r>
        <w:br w:type="page"/>
      </w:r>
    </w:p>
    <w:p>
      <w:pPr>
        <w:pStyle w:val="Heading2"/>
        <w:keepNext/>
      </w:pPr>
      <w:r>
        <w:t>36. Oracle OPN Certificate</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REVIEW PROPOSAL</w:t>
    </w:r>
    <w:r>
      <w:rPr>
        <w:sz w:val="18"/>
      </w:rPr>
      <w:tab/>
    </w:r>
    <w:r>
      <w:rPr>
        <w:rFonts w:ascii="Calibri" w:hAnsi="Calibri"/>
        <w:color w:val="808080"/>
        <w:sz w:val="18"/>
      </w:rPr>
      <w:t>PLENNEGY-HCM-001  |  PPPE v1.0  |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