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Calibri" w:hAnsi="Calibri"/>
          <w:b/>
          <w:color w:val="00467F"/>
          <w:sz w:val="44"/>
        </w:rPr>
        <w:t>PNE Traceability Report — Plennegy Group</w:t>
      </w:r>
    </w:p>
    <w:p>
      <w:pPr>
        <w:spacing w:after="160"/>
        <w:jc w:val="center"/>
      </w:pPr>
      <w:r>
        <w:rPr>
          <w:rFonts w:ascii="Calibri" w:hAnsi="Calibri"/>
          <w:color w:val="0070C0"/>
          <w:sz w:val="22"/>
        </w:rPr>
        <w:t>PLENNEGY-HCM-001  |  2026-06-30  |  PNE v1.0</w:t>
      </w:r>
    </w:p>
    <w:p>
      <w:pPr>
        <w:pStyle w:val="Heading1"/>
        <w:spacing w:before="0"/>
      </w:pPr>
      <w:r>
        <w:t>Section Authoring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Total sections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</w:tr>
      <w:tr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Authored by PNE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</w:tr>
      <w:tr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Pending (human action)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Proposal Readiness Score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82%</w:t>
            </w:r>
          </w:p>
        </w:tc>
      </w:tr>
      <w:tr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Target page range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25–35 pages</w:t>
            </w:r>
          </w:p>
        </w:tc>
      </w:tr>
      <w:tr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KB source sections read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41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Section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FFFFFF"/>
                <w:sz w:val="20"/>
              </w:rPr>
              <w:t>Section</w:t>
            </w:r>
          </w:p>
        </w:tc>
        <w:tc>
          <w:tcPr>
            <w:tcW w:type="dxa" w:w="2256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FFFFFF"/>
                <w:sz w:val="20"/>
              </w:rPr>
              <w:t>Status</w:t>
            </w:r>
          </w:p>
        </w:tc>
        <w:tc>
          <w:tcPr>
            <w:tcW w:type="dxa" w:w="2256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FFFFFF"/>
                <w:sz w:val="20"/>
              </w:rPr>
              <w:t>Content Segs</w:t>
            </w:r>
          </w:p>
        </w:tc>
        <w:tc>
          <w:tcPr>
            <w:tcW w:type="dxa" w:w="2256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FFFFFF"/>
                <w:sz w:val="20"/>
              </w:rPr>
              <w:t>KB Source</w:t>
            </w:r>
          </w:p>
        </w:tc>
      </w:tr>
      <w:tr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Executive Summary</w:t>
            </w:r>
          </w:p>
        </w:tc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PENDING</w:t>
            </w:r>
          </w:p>
        </w:tc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PNE authored</w:t>
            </w:r>
          </w:p>
        </w:tc>
      </w:tr>
      <w:tr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Understanding Plennegy's Requirements</w:t>
            </w:r>
          </w:p>
        </w:tc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PENDING</w:t>
            </w:r>
          </w:p>
        </w:tc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PNE authored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Proposed Oracle HCM Solution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Oracle Fusion HCM Capability (KB asset — synthesised)</w:t>
              <w:br/>
              <w:t>Oracle OIC / Integration Capability (KB asset — synthesised)</w:t>
              <w:br/>
              <w:t>Oracle Fusion Learning Cloud (KB asset — synthesised)</w:t>
              <w:br/>
              <w:t>Oracle Fusion Talent Management (KB asset — synthesised)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Why APPSolve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Company Overview (KB asset — synthesised)</w:t>
              <w:br/>
              <w:t>Company History (KB asset — synthesised)</w:t>
              <w:br/>
              <w:t>Awards and Recognition (KB asset — synthesised)</w:t>
              <w:br/>
              <w:t>Oracle Partnership (KB asset — synthesised)</w:t>
              <w:br/>
              <w:t>Key Differentiators (KB asset — synthesised)</w:t>
              <w:br/>
              <w:t>Delivery Model (KB asset — synthesised)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How We Deliver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Implementation Methodology (KB asset — 140 content segs condensed to 4-page narrative)</w:t>
              <w:br/>
              <w:t>Project Governance (KB asset — synthesised)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Project Governance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Project Governance (KB asset — 140 segs condensed to 2-page governance table)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Implementation Roadmap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Project Plan / Timeline (KB asset — synthesised)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Key Commercial Assumptions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Key Assumptions (KB asset — 497 segs condensed to 5-row table)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Key Delivery Risks and Mitigations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Risk Register (KB asset — synthesised and expanded)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Commercial Position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Commercial Assumptions (KB section — synthesised)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Your Next Steps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PNE authored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Content Compression — KB Source vs PNE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4F4F4"/>
            <w:tcBorders>
              <w:top w:val="single" w:sz="16" w:space="0" w:color="AAAAAA"/>
              <w:left w:val="single" w:sz="16" w:space="0" w:color="AAAAAA"/>
              <w:bottom w:val="single" w:sz="16" w:space="0" w:color="AAAAAA"/>
              <w:right w:val="single" w:sz="16" w:space="0" w:color="AAAAAA"/>
            </w:tcBorders>
          </w:tcPr>
          <w:p>
            <w:pPr>
              <w:spacing w:before="80" w:after="40"/>
            </w:pP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sz w:val="20"/>
              </w:rPr>
              <w:t>These figures show the scale of content reduction from KB-verbatim rendering to PNE-authored narrative. This is the core purpose of PNE: replacing knowledge asset exports with authored proposal narrative.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FFFFFF"/>
                <w:sz w:val="20"/>
              </w:rPr>
              <w:t>KB Section</w:t>
            </w:r>
          </w:p>
        </w:tc>
        <w:tc>
          <w:tcPr>
            <w:tcW w:type="dxa" w:w="3009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FFFFFF"/>
                <w:sz w:val="20"/>
              </w:rPr>
              <w:t>Source Content Segs (≈ pages)</w:t>
            </w:r>
          </w:p>
        </w:tc>
        <w:tc>
          <w:tcPr>
            <w:tcW w:type="dxa" w:w="3009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FFFFFF"/>
                <w:sz w:val="20"/>
              </w:rPr>
              <w:t>PNE Treatment</w:t>
            </w:r>
          </w:p>
        </w:tc>
      </w:tr>
      <w:tr>
        <w:tc>
          <w:tcPr>
            <w:tcW w:type="dxa" w:w="3009"/>
            <w:shd w:val="clear" w:color="auto"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Oracle Fusion HCM Capability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555 (≈69 pages)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Condensed to authored 6-page proposal narrative</w:t>
            </w:r>
          </w:p>
        </w:tc>
      </w:tr>
      <w:tr>
        <w:tc>
          <w:tcPr>
            <w:tcW w:type="dxa" w:w="3009"/>
            <w:shd w:val="clear" w:color="auto"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Oracle Fusion ERP Capability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165 (≈21 pages)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Not published — HCM is primary scope</w:t>
            </w:r>
          </w:p>
        </w:tc>
      </w:tr>
      <w:tr>
        <w:tc>
          <w:tcPr>
            <w:tcW w:type="dxa" w:w="3009"/>
            <w:shd w:val="clear" w:color="auto"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Oracle OIC / Integration Capability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71 (≈9 pages)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Condensed into Oracle HCM Solution section</w:t>
            </w:r>
          </w:p>
        </w:tc>
      </w:tr>
      <w:tr>
        <w:tc>
          <w:tcPr>
            <w:tcW w:type="dxa" w:w="3009"/>
            <w:shd w:val="clear" w:color="auto"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Implementation Methodology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140 (≈18 pages)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Condensed to 4-page Oracle Modern Best Practices narrative</w:t>
            </w:r>
          </w:p>
        </w:tc>
      </w:tr>
      <w:tr>
        <w:tc>
          <w:tcPr>
            <w:tcW w:type="dxa" w:w="3009"/>
            <w:shd w:val="clear" w:color="auto"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Project Governance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140 (≈18 pages)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Condensed to 2-page governance table</w:t>
            </w:r>
          </w:p>
        </w:tc>
      </w:tr>
      <w:tr>
        <w:tc>
          <w:tcPr>
            <w:tcW w:type="dxa" w:w="3009"/>
            <w:shd w:val="clear" w:color="auto"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Key Assumptions (Body Section)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497 (≈62 pages)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Condensed to 5-row commercial assumption table</w:t>
            </w:r>
          </w:p>
        </w:tc>
      </w:tr>
      <w:tr>
        <w:tc>
          <w:tcPr>
            <w:tcW w:type="dxa" w:w="3009"/>
            <w:shd w:val="clear" w:color="auto"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Complete Assumption Schedule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494 (≈62 pages)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Not published — covered by Key Commercial Assumptions</w:t>
            </w:r>
          </w:p>
        </w:tc>
      </w:tr>
      <w:tr>
        <w:tc>
          <w:tcPr>
            <w:tcW w:type="dxa" w:w="3009"/>
            <w:shd w:val="clear" w:color="auto"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Company sections (7 sections)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76 (≈10 pages)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18"/>
              </w:rPr>
              <w:t>Condensed to 3-page Why APPSolve narrative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072"/>
      </w:tabs>
      <w:pBdr>
        <w:top w:val="single" w:sz="6" w:space="1" w:color="00467F"/>
      </w:pBdr>
    </w:pPr>
    <w:r>
      <w:rPr>
        <w:rFonts w:ascii="Calibri" w:hAnsi="Calibri"/>
        <w:color w:val="808080"/>
        <w:sz w:val="18"/>
      </w:rPr>
      <w:t>APPSolve (Pty) Ltd  |  PLENNEGY-HCM-001</w:t>
      <w:tab/>
    </w:r>
    <w:r>
      <w:rPr>
        <w:rFonts w:ascii="Calibri" w:hAnsi="Calibri"/>
        <w:color w:val="808080"/>
        <w:sz w:val="18"/>
      </w:rPr>
      <w:t xml:space="preserve">Page </w:t>
      <w:fldChar w:fldCharType="begin"/>
      <w:instrText xml:space="preserve"> PAGE </w:instrText>
      <w:fldChar w:fldCharType="end"/>
    </w:r>
    <w:r>
      <w:rPr>
        <w:rFonts w:ascii="Calibri" w:hAnsi="Calibri"/>
        <w:color w:val="808080"/>
        <w:sz w:val="18"/>
      </w:rPr>
      <w:t xml:space="preserve"> of </w:t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072"/>
      </w:tabs>
      <w:pBdr>
        <w:bottom w:val="single" w:sz="6" w:space="1" w:color="00467F"/>
      </w:pBdr>
    </w:pPr>
    <w:r>
      <w:rPr>
        <w:rFonts w:ascii="Calibri" w:hAnsi="Calibri"/>
        <w:b/>
        <w:color w:val="00467F"/>
        <w:sz w:val="18"/>
      </w:rPr>
      <w:t>APPSolve TRACEABILITY REPORT</w:t>
    </w:r>
    <w:r>
      <w:rPr>
        <w:sz w:val="18"/>
      </w:rPr>
      <w:tab/>
    </w:r>
    <w:r>
      <w:rPr>
        <w:rFonts w:ascii="Calibri" w:hAnsi="Calibri"/>
        <w:color w:val="808080"/>
        <w:sz w:val="18"/>
      </w:rPr>
      <w:t>PLENNEGY-HCM-001  |  PNE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467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467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0070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60"/>
      <w:outlineLvl w:val="4"/>
    </w:pPr>
    <w:rPr>
      <w:rFonts w:asciiTheme="majorHAnsi" w:eastAsiaTheme="majorEastAsia" w:hAnsiTheme="majorHAnsi" w:cstheme="majorBidi" w:ascii="Calibri" w:hAnsi="Calibri"/>
      <w:b/>
      <w:i w:val="0"/>
      <w:color w:val="40404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