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p>
    <w:p>
      <w:pPr>
        <w:jc w:val="center"/>
      </w:pPr>
      <w:r>
        <w:rPr>
          <w:b/>
          <w:color w:val="1F3964"/>
          <w:sz w:val="56"/>
        </w:rPr>
        <w:t>ORACLE FUSION HCM CLOUD</w:t>
      </w:r>
    </w:p>
    <w:p>
      <w:pPr>
        <w:jc w:val="center"/>
      </w:pPr>
      <w:r>
        <w:rPr>
          <w:b/>
          <w:color w:val="E86A1B"/>
          <w:sz w:val="44"/>
        </w:rPr>
        <w:t>IMPLEMENTATION PROPOSAL</w:t>
      </w:r>
    </w:p>
    <w:p>
      <w:pPr>
        <w:jc w:val="center"/>
      </w:pPr>
      <w:r>
        <w:br/>
      </w:r>
    </w:p>
    <w:p>
      <w:pPr>
        <w:jc w:val="center"/>
      </w:pPr>
      <w:r>
        <w:rPr>
          <w:color w:val="595959"/>
          <w:sz w:val="24"/>
        </w:rPr>
        <w:t>Prepared for:</w:t>
      </w:r>
    </w:p>
    <w:p>
      <w:pPr>
        <w:jc w:val="center"/>
      </w:pPr>
      <w:r>
        <w:rPr>
          <w:b/>
          <w:color w:val="1F3964"/>
          <w:sz w:val="36"/>
        </w:rPr>
        <w:t>Plennegy Group (Pty) Ltd</w:t>
      </w:r>
    </w:p>
    <w:p>
      <w:pPr>
        <w:jc w:val="center"/>
      </w:pPr>
      <w:r>
        <w:rPr>
          <w:color w:val="595959"/>
          <w:sz w:val="22"/>
        </w:rPr>
        <w:t>HCM Department</w:t>
        <w:br/>
      </w:r>
    </w:p>
    <w:p>
      <w:pPr>
        <w:jc w:val="center"/>
      </w:pPr>
      <w:r>
        <w:br/>
        <w:br/>
      </w:r>
    </w:p>
    <w:p>
      <w:pPr>
        <w:jc w:val="center"/>
      </w:pPr>
      <w:r>
        <w:rPr>
          <w:sz w:val="22"/>
        </w:rPr>
        <w:t>Prepared by:</w:t>
      </w:r>
    </w:p>
    <w:p>
      <w:pPr>
        <w:jc w:val="center"/>
      </w:pPr>
      <w:r>
        <w:rPr>
          <w:b/>
          <w:color w:val="1F3964"/>
          <w:sz w:val="32"/>
        </w:rPr>
        <w:t>APPSolve (Pty) Ltd</w:t>
      </w:r>
    </w:p>
    <w:p>
      <w:pPr>
        <w:jc w:val="center"/>
      </w:pPr>
      <w:r>
        <w:rPr>
          <w:color w:val="595959"/>
          <w:sz w:val="20"/>
        </w:rPr>
        <w:t>Reg. No. 2002/008072/07</w:t>
      </w:r>
    </w:p>
    <w:p>
      <w:pPr>
        <w:jc w:val="center"/>
      </w:pPr>
      <w:r>
        <w:rPr>
          <w:color w:val="595959"/>
          <w:sz w:val="20"/>
        </w:rPr>
        <w:br/>
        <w:br/>
        <w:t>Date: June 2026    |    Version: 1.0 — Working Draft</w:t>
        <w:br/>
      </w:r>
    </w:p>
    <w:p>
      <w:pPr>
        <w:jc w:val="center"/>
      </w:pPr>
      <w:r>
        <w:rPr>
          <w:b/>
          <w:color w:val="9E0000"/>
          <w:sz w:val="20"/>
        </w:rPr>
        <w:t>PRIVATE AND CONFIDENTIAL</w:t>
      </w:r>
    </w:p>
    <w:p>
      <w:pPr>
        <w:jc w:val="center"/>
      </w:pPr>
      <w:r>
        <w:br/>
        <w:br/>
      </w:r>
    </w:p>
    <w:p>
      <w:pPr>
        <w:jc w:val="center"/>
      </w:pPr>
      <w:r>
        <w:rPr>
          <w:i/>
          <w:color w:val="595959"/>
          <w:sz w:val="17"/>
        </w:rPr>
        <w:t>⚙  WP13 Tender Factory Output — Simulation Draft — Not for External Distribution</w:t>
      </w:r>
    </w:p>
    <w:p>
      <w:r>
        <w:br w:type="page"/>
      </w:r>
    </w:p>
    <w:p>
      <w:pPr>
        <w:pStyle w:val="Heading1"/>
      </w:pPr>
      <w:r>
        <w:rPr>
          <w:color w:val="1F3964"/>
        </w:rPr>
        <w:t>1.  Executive Summary</w:t>
      </w:r>
    </w:p>
    <w:p>
      <w:pPr>
        <w:spacing w:after="120" w:before="40"/>
      </w:pPr>
      <w:r>
        <w:rPr>
          <w:b w:val="0"/>
          <w:i w:val="0"/>
          <w:sz w:val="21"/>
        </w:rPr>
        <w:t>Plennegy Group is one of Southern Africa's most recognised agri-business groups, with a legacy spanning more than 65 years. Operating across commercial seed production, agri-equipment distribution, mechanisation franchises, supply chain logistics, and related services, Plennegy employs approximately 4,000 people across its subsidiaries — including Starke Ayres, Jupidex, Pidelta, Mascor, and Triton Supply Chain. Each subsidiary operates with distinct workforce profiles, employment types, and HR requirements, creating a complex multi-entity HR landscape that demands a unified, scalable, and modern Human Capital Management platform.</w:t>
      </w:r>
    </w:p>
    <w:p>
      <w:pPr>
        <w:spacing w:after="120" w:before="40"/>
      </w:pPr>
      <w:r>
        <w:rPr>
          <w:b w:val="0"/>
          <w:i w:val="0"/>
          <w:sz w:val="21"/>
        </w:rPr>
        <w:t>Plennegy has identified Oracle Fusion HCM Cloud as its strategic HCM platform. APPSolve is proud to present this proposal as an Oracle Level 1 Partner with published Oracle expertise in Oracle Fusion Cloud HCM Core — and more than 23 years of continuous Oracle consulting experience across Southern Africa and internationally.</w:t>
      </w:r>
    </w:p>
    <w:p>
      <w:pPr>
        <w:spacing w:after="120" w:before="40"/>
      </w:pPr>
      <w:r>
        <w:rPr>
          <w:b w:val="0"/>
          <w:i w:val="0"/>
          <w:sz w:val="21"/>
        </w:rPr>
        <w:t>APPSolve proposes a phased Oracle Fusion HCM Cloud implementation that will:</w:t>
      </w:r>
    </w:p>
    <w:p>
      <w:pPr>
        <w:pStyle w:val="ListBullet"/>
      </w:pPr>
      <w:r>
        <w:rPr>
          <w:sz w:val="21"/>
        </w:rPr>
        <w:t>Consolidate Plennegy's employee master data across all group entities into a single, authoritative Oracle HCM platform — replacing fragmented subsidiary HR systems with a unified source of workforce truth</w:t>
      </w:r>
    </w:p>
    <w:p>
      <w:pPr>
        <w:pStyle w:val="ListBullet"/>
      </w:pPr>
      <w:r>
        <w:rPr>
          <w:sz w:val="21"/>
        </w:rPr>
        <w:t>Automate core HR, absence management, benefits, and structured onboarding journeys across the Group, removing manual processes and standardising HR operations at scale</w:t>
      </w:r>
    </w:p>
    <w:p>
      <w:pPr>
        <w:pStyle w:val="ListBullet"/>
      </w:pPr>
      <w:r>
        <w:rPr>
          <w:sz w:val="21"/>
        </w:rPr>
        <w:t>Deliver a modern, AI-powered talent acquisition capability — including advanced interview scheduling, two-way candidate messaging, and CV parsing through Oracle Recruiting Booster — supporting Plennegy's high-volume agricultural and technical recruitment needs</w:t>
      </w:r>
    </w:p>
    <w:p>
      <w:pPr>
        <w:pStyle w:val="ListBullet"/>
      </w:pPr>
      <w:r>
        <w:rPr>
          <w:sz w:val="21"/>
        </w:rPr>
        <w:t>Enable structured compensation planning, merit cycles, and workforce compensation modelling for Plennegy's 1,700 compensated individuals across all business units</w:t>
      </w:r>
    </w:p>
    <w:p>
      <w:pPr>
        <w:pStyle w:val="ListBullet"/>
      </w:pPr>
      <w:r>
        <w:rPr>
          <w:sz w:val="21"/>
        </w:rPr>
        <w:t>Provide a unified learning and career development platform for all 4,000 employees, with AI-driven personalised learning journeys and statutory compliance tracking (SETA/WSP/ATR)</w:t>
      </w:r>
    </w:p>
    <w:p>
      <w:pPr>
        <w:pStyle w:val="ListBullet"/>
      </w:pPr>
      <w:r>
        <w:rPr>
          <w:sz w:val="21"/>
        </w:rPr>
        <w:t>Support talent management, goal alignment, performance management, and succession planning to retain and grow Plennegy's critical talent across the Group</w:t>
      </w:r>
    </w:p>
    <w:p>
      <w:pPr>
        <w:pStyle w:val="ListBullet"/>
      </w:pPr>
      <w:r>
        <w:rPr>
          <w:sz w:val="21"/>
        </w:rPr>
        <w:t>Integrate Oracle HCM Cloud with Plennegy's payroll and downstream systems via Oracle Integration Cloud (OIC Enterprise — 2 × 1M message tiers)</w:t>
      </w:r>
    </w:p>
    <w:p>
      <w:pPr>
        <w:pStyle w:val="ListBullet"/>
      </w:pPr>
      <w:r>
        <w:rPr>
          <w:sz w:val="21"/>
        </w:rPr>
        <w:t>Leverage Oracle's embedded AI (AI-Based Dynamic Skills) to build living employee skills profiles that power internal mobility, career pathways, and workforce development</w:t>
      </w:r>
    </w:p>
    <w:p>
      <w:pPr>
        <w:spacing w:before="0" w:after="120"/>
      </w:pPr>
    </w:p>
    <w:p>
      <w:pPr>
        <w:spacing w:after="120" w:before="40"/>
      </w:pPr>
      <w:r>
        <w:rPr>
          <w:b w:val="0"/>
          <w:i w:val="0"/>
          <w:sz w:val="21"/>
        </w:rPr>
        <w:t>APPSolve brings to this engagement a combination that few Oracle partners in Southern Africa can match: deep Oracle HCM functional expertise, a resident OIC integration practice, and a proven track record of enterprise HCM go-lives for large, complex organisations. Our proposed team is led by a Principal HCM Consultant with more than 20 years of Oracle HRMS and Fusion HCM experience, supported by specialists in Learning, Talent, Payroll Integration, and OIC.</w:t>
      </w:r>
    </w:p>
    <w:p>
      <w:pPr>
        <w:pStyle w:val="Heading2"/>
      </w:pPr>
      <w:r>
        <w:rPr>
          <w:color w:val="1F3964"/>
        </w:rPr>
        <w:t>Why APPSolve for Plennegy's Oracle HCM Programme</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Differentiator</w:t>
            </w:r>
          </w:p>
        </w:tc>
        <w:tc>
          <w:tcPr>
            <w:tcW w:type="dxa" w:w="6624"/>
            <w:shd w:val="clear" w:color="auto" w:fill="1F3964"/>
          </w:tcPr>
          <w:p>
            <w:pPr>
              <w:jc w:val="center"/>
            </w:pPr>
            <w:r>
              <w:rPr>
                <w:b/>
                <w:color w:val="FFFFFF"/>
                <w:sz w:val="19"/>
              </w:rPr>
              <w:t>APPSolve Evidence</w:t>
            </w:r>
          </w:p>
        </w:tc>
      </w:tr>
      <w:tr>
        <w:tc>
          <w:tcPr>
            <w:tcW w:type="dxa" w:w="3168"/>
            <w:shd w:val="clear" w:color="auto" w:fill="F2F2F2"/>
          </w:tcPr>
          <w:p>
            <w:r>
              <w:rPr>
                <w:sz w:val="19"/>
              </w:rPr>
              <w:t>Oracle expertise</w:t>
            </w:r>
          </w:p>
        </w:tc>
        <w:tc>
          <w:tcPr>
            <w:tcW w:type="dxa" w:w="6624"/>
            <w:shd w:val="clear" w:color="auto" w:fill="F2F2F2"/>
          </w:tcPr>
          <w:p>
            <w:r>
              <w:rPr>
                <w:sz w:val="19"/>
              </w:rPr>
              <w:t>Oracle Level 1 Partner; Published Oracle Expertise in Oracle Fusion Cloud HCM Core and Oracle Integration; Value-Added Reseller; Cloud Excellence Implementer</w:t>
            </w:r>
          </w:p>
        </w:tc>
      </w:tr>
      <w:tr>
        <w:tc>
          <w:tcPr>
            <w:tcW w:type="dxa" w:w="3168"/>
            <w:shd w:val="clear" w:color="auto" w:fill="FFFFFF"/>
          </w:tcPr>
          <w:p>
            <w:r>
              <w:rPr>
                <w:sz w:val="19"/>
              </w:rPr>
              <w:t>Proven HCM delivery</w:t>
            </w:r>
          </w:p>
        </w:tc>
        <w:tc>
          <w:tcPr>
            <w:tcW w:type="dxa" w:w="6624"/>
            <w:shd w:val="clear" w:color="auto" w:fill="FFFFFF"/>
          </w:tcPr>
          <w:p>
            <w:r>
              <w:rPr>
                <w:sz w:val="19"/>
              </w:rPr>
              <w:t>Enterprise Oracle HCM go-lives across SA and sub-Saharan Africa; confirmed Oracle Fusion HCM implementation experience for a large enterprise client (7,000 users, go-live July 2025)</w:t>
            </w:r>
          </w:p>
        </w:tc>
      </w:tr>
      <w:tr>
        <w:tc>
          <w:tcPr>
            <w:tcW w:type="dxa" w:w="3168"/>
            <w:shd w:val="clear" w:color="auto" w:fill="F2F2F2"/>
          </w:tcPr>
          <w:p>
            <w:r>
              <w:rPr>
                <w:sz w:val="19"/>
              </w:rPr>
              <w:t>Full HCM suite capability</w:t>
            </w:r>
          </w:p>
        </w:tc>
        <w:tc>
          <w:tcPr>
            <w:tcW w:type="dxa" w:w="6624"/>
            <w:shd w:val="clear" w:color="auto" w:fill="F2F2F2"/>
          </w:tcPr>
          <w:p>
            <w:r>
              <w:rPr>
                <w:sz w:val="19"/>
              </w:rPr>
              <w:t>APPSolve has the skills and experience to deliver the full BOM in scope — Core HR, Recruiting, Learning, Talent Management, Workforce Compensation, Journeys, OIC — from a single, co-located team</w:t>
            </w:r>
          </w:p>
        </w:tc>
      </w:tr>
      <w:tr>
        <w:tc>
          <w:tcPr>
            <w:tcW w:type="dxa" w:w="3168"/>
            <w:shd w:val="clear" w:color="auto" w:fill="FFFFFF"/>
          </w:tcPr>
          <w:p>
            <w:r>
              <w:rPr>
                <w:sz w:val="19"/>
              </w:rPr>
              <w:t>OIC integration depth</w:t>
            </w:r>
          </w:p>
        </w:tc>
        <w:tc>
          <w:tcPr>
            <w:tcW w:type="dxa" w:w="6624"/>
            <w:shd w:val="clear" w:color="auto" w:fill="FFFFFF"/>
          </w:tcPr>
          <w:p>
            <w:r>
              <w:rPr>
                <w:sz w:val="19"/>
              </w:rPr>
              <w:t>Published OPN expertise in Oracle Integration; OIC is APPSolve's mandatory standard integration layer in all Oracle Fusion HCM engagements; production bidirectional HCM-to-payroll integration experience</w:t>
            </w:r>
          </w:p>
        </w:tc>
      </w:tr>
      <w:tr>
        <w:tc>
          <w:tcPr>
            <w:tcW w:type="dxa" w:w="3168"/>
            <w:shd w:val="clear" w:color="auto" w:fill="F2F2F2"/>
          </w:tcPr>
          <w:p>
            <w:r>
              <w:rPr>
                <w:sz w:val="19"/>
              </w:rPr>
              <w:t>Agri-business context</w:t>
            </w:r>
          </w:p>
        </w:tc>
        <w:tc>
          <w:tcPr>
            <w:tcW w:type="dxa" w:w="6624"/>
            <w:shd w:val="clear" w:color="auto" w:fill="F2F2F2"/>
          </w:tcPr>
          <w:p>
            <w:r>
              <w:rPr>
                <w:sz w:val="19"/>
              </w:rPr>
              <w:t>APPSolve has experience delivering ERP and HCM solutions to Agriculture sector clients as part of our confirmed industry portfolio</w:t>
            </w:r>
          </w:p>
        </w:tc>
      </w:tr>
      <w:tr>
        <w:tc>
          <w:tcPr>
            <w:tcW w:type="dxa" w:w="3168"/>
            <w:shd w:val="clear" w:color="auto" w:fill="FFFFFF"/>
          </w:tcPr>
          <w:p>
            <w:r>
              <w:rPr>
                <w:sz w:val="19"/>
              </w:rPr>
              <w:t>Oracle-endorsed partner</w:t>
            </w:r>
          </w:p>
        </w:tc>
        <w:tc>
          <w:tcPr>
            <w:tcW w:type="dxa" w:w="6624"/>
            <w:shd w:val="clear" w:color="auto" w:fill="FFFFFF"/>
          </w:tcPr>
          <w:p>
            <w:r>
              <w:rPr>
                <w:sz w:val="19"/>
              </w:rPr>
              <w:t>APPSolve is actively recommended by Oracle South Africa as a preferred Oracle HCM implementation partner, as confirmed in Oracle's own reference endorsement letter</w:t>
            </w:r>
          </w:p>
        </w:tc>
      </w:tr>
      <w:tr>
        <w:tc>
          <w:tcPr>
            <w:tcW w:type="dxa" w:w="3168"/>
            <w:shd w:val="clear" w:color="auto" w:fill="F2F2F2"/>
          </w:tcPr>
          <w:p>
            <w:r>
              <w:rPr>
                <w:sz w:val="19"/>
              </w:rPr>
              <w:t>Southern Africa presence</w:t>
            </w:r>
          </w:p>
        </w:tc>
        <w:tc>
          <w:tcPr>
            <w:tcW w:type="dxa" w:w="6624"/>
            <w:shd w:val="clear" w:color="auto" w:fill="F2F2F2"/>
          </w:tcPr>
          <w:p>
            <w:r>
              <w:rPr>
                <w:sz w:val="19"/>
              </w:rPr>
              <w:t>APPSolve is a South African company — Gauteng-based — with active operations across Botswana, Zambia, Mozambique, Namibia, and Tanzania; aligned with Plennegy's Southern African footprint</w:t>
            </w:r>
          </w:p>
        </w:tc>
      </w:tr>
      <w:tr>
        <w:tc>
          <w:tcPr>
            <w:tcW w:type="dxa" w:w="3168"/>
            <w:shd w:val="clear" w:color="auto" w:fill="FFFFFF"/>
          </w:tcPr>
          <w:p>
            <w:r>
              <w:rPr>
                <w:sz w:val="19"/>
              </w:rPr>
              <w:t>Oracle Business Impact Award 2024</w:t>
            </w:r>
          </w:p>
        </w:tc>
        <w:tc>
          <w:tcPr>
            <w:tcW w:type="dxa" w:w="6624"/>
            <w:shd w:val="clear" w:color="auto" w:fill="FFFFFF"/>
          </w:tcPr>
          <w:p>
            <w:r>
              <w:rPr>
                <w:sz w:val="19"/>
              </w:rPr>
              <w:t>Recognised by Oracle in both the EMEA and ECEMEA regions for business impact and partner excellence in 2024</w:t>
            </w:r>
          </w:p>
        </w:tc>
      </w:tr>
    </w:tbl>
    <w:p/>
    <w:p>
      <w:pPr>
        <w:ind w:left="360"/>
      </w:pPr>
      <w:r>
        <w:rPr>
          <w:b/>
          <w:color w:val="E65100"/>
          <w:sz w:val="19"/>
        </w:rPr>
        <w:t>▌ Status: Needs Review</w:t>
      </w:r>
      <w:r>
        <w:rPr>
          <w:sz w:val="19"/>
        </w:rPr>
        <w:t xml:space="preserve">  —  Executive Summary is client-tailored. BU Lead to confirm agri-business sector claim is sufficiently evidenced and verify Plennegy context accuracy.</w:t>
      </w:r>
    </w:p>
    <w:p/>
    <w:p>
      <w:r>
        <w:br w:type="page"/>
      </w:r>
    </w:p>
    <w:p>
      <w:pPr>
        <w:pStyle w:val="Heading1"/>
      </w:pPr>
      <w:r>
        <w:rPr>
          <w:color w:val="1F3964"/>
        </w:rPr>
        <w:t>2.  About APPSolve</w:t>
      </w:r>
    </w:p>
    <w:p>
      <w:pPr>
        <w:spacing w:after="120" w:before="40"/>
      </w:pPr>
      <w:r>
        <w:rPr>
          <w:b w:val="0"/>
          <w:i w:val="0"/>
          <w:sz w:val="21"/>
        </w:rPr>
        <w:t>APPSolve (Pty) Ltd (Registration No. 2002/008072/07) is a South African technology company specialising in Oracle, Acumatica, and BeBanking implementations and managed services. Established in 2002 and headquartered in Gauteng, with offices in the Western Cape, APPSolve has operated continuously for more than 23 years and serves enterprise clients across financial services, mining, government, telecommunications, agriculture, retail, and manufacturing sectors.</w:t>
      </w:r>
    </w:p>
    <w:p>
      <w:pPr>
        <w:spacing w:after="120" w:before="40"/>
      </w:pPr>
      <w:r>
        <w:rPr>
          <w:b w:val="0"/>
          <w:i w:val="0"/>
          <w:sz w:val="21"/>
        </w:rPr>
        <w:t>APPSolve employs more than 50 Senior Consultants, each with 10 or more years of experience in the Enterprise Technology sphere. APPSolve's unique business model has a strong "trusted partner" focus, offering experienced business and IT resources to clients. Our reputation is built on delivering on-time, within budget, and exceeding client expectations.</w:t>
      </w:r>
    </w:p>
    <w:p>
      <w:pPr>
        <w:pStyle w:val="Heading2"/>
      </w:pPr>
      <w:r>
        <w:rPr>
          <w:color w:val="1F3964"/>
        </w:rPr>
        <w:t>2.1  Company Contacts</w:t>
      </w:r>
    </w:p>
    <w:tbl>
      <w:tblPr>
        <w:tblStyle w:val="TableGrid"/>
        <w:tblW w:type="auto" w:w="0"/>
        <w:tblLook w:firstColumn="1" w:firstRow="1" w:lastColumn="0" w:lastRow="0" w:noHBand="0" w:noVBand="1" w:val="04A0"/>
      </w:tblPr>
      <w:tblGrid>
        <w:gridCol w:w="2257"/>
        <w:gridCol w:w="2257"/>
        <w:gridCol w:w="2257"/>
        <w:gridCol w:w="2257"/>
      </w:tblGrid>
      <w:tr>
        <w:tc>
          <w:tcPr>
            <w:tcW w:type="dxa" w:w="2160"/>
            <w:shd w:val="clear" w:color="auto" w:fill="1F3964"/>
          </w:tcPr>
          <w:p>
            <w:pPr>
              <w:jc w:val="center"/>
            </w:pPr>
            <w:r>
              <w:rPr>
                <w:b/>
                <w:color w:val="FFFFFF"/>
                <w:sz w:val="19"/>
              </w:rPr>
              <w:t>Name</w:t>
            </w:r>
          </w:p>
        </w:tc>
        <w:tc>
          <w:tcPr>
            <w:tcW w:type="dxa" w:w="3168"/>
            <w:shd w:val="clear" w:color="auto" w:fill="1F3964"/>
          </w:tcPr>
          <w:p>
            <w:pPr>
              <w:jc w:val="center"/>
            </w:pPr>
            <w:r>
              <w:rPr>
                <w:b/>
                <w:color w:val="FFFFFF"/>
                <w:sz w:val="19"/>
              </w:rPr>
              <w:t>Title</w:t>
            </w:r>
          </w:p>
        </w:tc>
        <w:tc>
          <w:tcPr>
            <w:tcW w:type="dxa" w:w="3456"/>
            <w:shd w:val="clear" w:color="auto" w:fill="1F3964"/>
          </w:tcPr>
          <w:p>
            <w:pPr>
              <w:jc w:val="center"/>
            </w:pPr>
            <w:r>
              <w:rPr>
                <w:b/>
                <w:color w:val="FFFFFF"/>
                <w:sz w:val="19"/>
              </w:rPr>
              <w:t>Email</w:t>
            </w:r>
          </w:p>
        </w:tc>
        <w:tc>
          <w:tcPr>
            <w:tcW w:type="dxa" w:w="1728"/>
            <w:shd w:val="clear" w:color="auto" w:fill="1F3964"/>
          </w:tcPr>
          <w:p>
            <w:pPr>
              <w:jc w:val="center"/>
            </w:pPr>
            <w:r>
              <w:rPr>
                <w:b/>
                <w:color w:val="FFFFFF"/>
                <w:sz w:val="19"/>
              </w:rPr>
              <w:t>Contact</w:t>
            </w:r>
          </w:p>
        </w:tc>
      </w:tr>
      <w:tr>
        <w:tc>
          <w:tcPr>
            <w:tcW w:type="dxa" w:w="2160"/>
            <w:shd w:val="clear" w:color="auto" w:fill="F2F2F2"/>
          </w:tcPr>
          <w:p>
            <w:r>
              <w:rPr>
                <w:sz w:val="19"/>
              </w:rPr>
              <w:t>Hein Blignaut</w:t>
            </w:r>
          </w:p>
        </w:tc>
        <w:tc>
          <w:tcPr>
            <w:tcW w:type="dxa" w:w="3168"/>
            <w:shd w:val="clear" w:color="auto" w:fill="F2F2F2"/>
          </w:tcPr>
          <w:p>
            <w:r>
              <w:rPr>
                <w:sz w:val="19"/>
              </w:rPr>
              <w:t>Managing Director: Strategy and General Management</w:t>
            </w:r>
          </w:p>
        </w:tc>
        <w:tc>
          <w:tcPr>
            <w:tcW w:type="dxa" w:w="3456"/>
            <w:shd w:val="clear" w:color="auto" w:fill="F2F2F2"/>
          </w:tcPr>
          <w:p>
            <w:r>
              <w:rPr>
                <w:sz w:val="19"/>
              </w:rPr>
              <w:t>hein.blignaut@appsolve.co.za</w:t>
            </w:r>
          </w:p>
        </w:tc>
        <w:tc>
          <w:tcPr>
            <w:tcW w:type="dxa" w:w="1728"/>
            <w:shd w:val="clear" w:color="auto" w:fill="F2F2F2"/>
          </w:tcPr>
          <w:p>
            <w:r>
              <w:rPr>
                <w:sz w:val="19"/>
              </w:rPr>
              <w:t>082 901 6688</w:t>
            </w:r>
          </w:p>
        </w:tc>
      </w:tr>
      <w:tr>
        <w:tc>
          <w:tcPr>
            <w:tcW w:type="dxa" w:w="2160"/>
            <w:shd w:val="clear" w:color="auto" w:fill="FFFFFF"/>
          </w:tcPr>
          <w:p>
            <w:r>
              <w:rPr>
                <w:sz w:val="19"/>
              </w:rPr>
              <w:t>Andre Pelser</w:t>
            </w:r>
          </w:p>
        </w:tc>
        <w:tc>
          <w:tcPr>
            <w:tcW w:type="dxa" w:w="3168"/>
            <w:shd w:val="clear" w:color="auto" w:fill="FFFFFF"/>
          </w:tcPr>
          <w:p>
            <w:r>
              <w:rPr>
                <w:sz w:val="19"/>
              </w:rPr>
              <w:t>Director: Head of ERP Application Development</w:t>
            </w:r>
          </w:p>
        </w:tc>
        <w:tc>
          <w:tcPr>
            <w:tcW w:type="dxa" w:w="3456"/>
            <w:shd w:val="clear" w:color="auto" w:fill="FFFFFF"/>
          </w:tcPr>
          <w:p>
            <w:r>
              <w:rPr>
                <w:sz w:val="19"/>
              </w:rPr>
              <w:t>andre.pelser@appsolve.co.za</w:t>
            </w:r>
          </w:p>
        </w:tc>
        <w:tc>
          <w:tcPr>
            <w:tcW w:type="dxa" w:w="1728"/>
            <w:shd w:val="clear" w:color="auto" w:fill="FFFFFF"/>
          </w:tcPr>
          <w:p>
            <w:r>
              <w:rPr>
                <w:sz w:val="19"/>
              </w:rPr>
              <w:t>083 257 1626</w:t>
            </w:r>
          </w:p>
        </w:tc>
      </w:tr>
      <w:tr>
        <w:tc>
          <w:tcPr>
            <w:tcW w:type="dxa" w:w="2160"/>
            <w:shd w:val="clear" w:color="auto" w:fill="F2F2F2"/>
          </w:tcPr>
          <w:p>
            <w:r>
              <w:rPr>
                <w:sz w:val="19"/>
              </w:rPr>
              <w:t>Jeanette Monahadi</w:t>
            </w:r>
          </w:p>
        </w:tc>
        <w:tc>
          <w:tcPr>
            <w:tcW w:type="dxa" w:w="3168"/>
            <w:shd w:val="clear" w:color="auto" w:fill="F2F2F2"/>
          </w:tcPr>
          <w:p>
            <w:r>
              <w:rPr>
                <w:sz w:val="19"/>
              </w:rPr>
              <w:t>Non-Executive Director — Compliance &amp; Legal</w:t>
            </w:r>
          </w:p>
        </w:tc>
        <w:tc>
          <w:tcPr>
            <w:tcW w:type="dxa" w:w="3456"/>
            <w:shd w:val="clear" w:color="auto" w:fill="F2F2F2"/>
          </w:tcPr>
          <w:p>
            <w:r>
              <w:rPr>
                <w:sz w:val="19"/>
              </w:rPr>
              <w:t>Jeanette.Monahadi@appsolve.co.za</w:t>
            </w:r>
          </w:p>
        </w:tc>
        <w:tc>
          <w:tcPr>
            <w:tcW w:type="dxa" w:w="1728"/>
            <w:shd w:val="clear" w:color="auto" w:fill="F2F2F2"/>
          </w:tcPr>
          <w:p>
            <w:r>
              <w:rPr>
                <w:sz w:val="19"/>
              </w:rPr>
            </w:r>
          </w:p>
        </w:tc>
      </w:tr>
    </w:tbl>
    <w:p/>
    <w:p>
      <w:pPr>
        <w:pStyle w:val="Heading2"/>
      </w:pPr>
      <w:r>
        <w:rPr>
          <w:color w:val="1F3964"/>
        </w:rPr>
        <w:t>2.2  Geographic Footprint</w:t>
      </w:r>
    </w:p>
    <w:p>
      <w:pPr>
        <w:spacing w:after="120" w:before="40"/>
      </w:pPr>
      <w:r>
        <w:rPr>
          <w:b w:val="0"/>
          <w:i w:val="0"/>
          <w:sz w:val="21"/>
        </w:rPr>
        <w:t>APPSolve's primary operations are in South Africa (Gauteng and Western Cape). APPSolve has active and recent client engagements across the sub-Saharan African market, including Botswana, Zambia, Mozambique, Namibia, and Tanzania. APPSolve has also delivered projects in the USA, France, Abu Dhabi, and Pakistan.</w:t>
      </w:r>
    </w:p>
    <w:p>
      <w:pPr>
        <w:pStyle w:val="Heading2"/>
      </w:pPr>
      <w:r>
        <w:rPr>
          <w:color w:val="1F3964"/>
        </w:rPr>
        <w:t>2.3  Industries Served</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3964"/>
          </w:tcPr>
          <w:p>
            <w:pPr>
              <w:jc w:val="center"/>
            </w:pPr>
            <w:r>
              <w:rPr>
                <w:b/>
                <w:color w:val="FFFFFF"/>
                <w:sz w:val="19"/>
              </w:rPr>
              <w:t>Industry 1</w:t>
            </w:r>
          </w:p>
        </w:tc>
        <w:tc>
          <w:tcPr>
            <w:tcW w:type="dxa" w:w="2257"/>
            <w:shd w:val="clear" w:color="auto" w:fill="1F3964"/>
          </w:tcPr>
          <w:p>
            <w:pPr>
              <w:jc w:val="center"/>
            </w:pPr>
            <w:r>
              <w:rPr>
                <w:b/>
                <w:color w:val="FFFFFF"/>
                <w:sz w:val="19"/>
              </w:rPr>
              <w:t>Industry 2</w:t>
            </w:r>
          </w:p>
        </w:tc>
        <w:tc>
          <w:tcPr>
            <w:tcW w:type="dxa" w:w="2257"/>
            <w:shd w:val="clear" w:color="auto" w:fill="1F3964"/>
          </w:tcPr>
          <w:p>
            <w:pPr>
              <w:jc w:val="center"/>
            </w:pPr>
            <w:r>
              <w:rPr>
                <w:b/>
                <w:color w:val="FFFFFF"/>
                <w:sz w:val="19"/>
              </w:rPr>
              <w:t>Industry 3</w:t>
            </w:r>
          </w:p>
        </w:tc>
        <w:tc>
          <w:tcPr>
            <w:tcW w:type="dxa" w:w="2257"/>
            <w:shd w:val="clear" w:color="auto" w:fill="1F3964"/>
          </w:tcPr>
          <w:p>
            <w:pPr>
              <w:jc w:val="center"/>
            </w:pPr>
            <w:r>
              <w:rPr>
                <w:b/>
                <w:color w:val="FFFFFF"/>
                <w:sz w:val="19"/>
              </w:rPr>
              <w:t>Industry 4</w:t>
            </w:r>
          </w:p>
        </w:tc>
      </w:tr>
      <w:tr>
        <w:tc>
          <w:tcPr>
            <w:tcW w:type="dxa" w:w="2257"/>
            <w:shd w:val="clear" w:color="auto" w:fill="F2F2F2"/>
          </w:tcPr>
          <w:p>
            <w:r>
              <w:rPr>
                <w:sz w:val="19"/>
              </w:rPr>
              <w:t>Agriculture</w:t>
            </w:r>
          </w:p>
        </w:tc>
        <w:tc>
          <w:tcPr>
            <w:tcW w:type="dxa" w:w="2257"/>
            <w:shd w:val="clear" w:color="auto" w:fill="F2F2F2"/>
          </w:tcPr>
          <w:p>
            <w:r>
              <w:rPr>
                <w:sz w:val="19"/>
              </w:rPr>
              <w:t>Financial Services</w:t>
            </w:r>
          </w:p>
        </w:tc>
        <w:tc>
          <w:tcPr>
            <w:tcW w:type="dxa" w:w="2257"/>
            <w:shd w:val="clear" w:color="auto" w:fill="F2F2F2"/>
          </w:tcPr>
          <w:p>
            <w:r>
              <w:rPr>
                <w:sz w:val="19"/>
              </w:rPr>
              <w:t>Telecommunications</w:t>
            </w:r>
          </w:p>
        </w:tc>
        <w:tc>
          <w:tcPr>
            <w:tcW w:type="dxa" w:w="2257"/>
            <w:shd w:val="clear" w:color="auto" w:fill="F2F2F2"/>
          </w:tcPr>
          <w:p>
            <w:r>
              <w:rPr>
                <w:sz w:val="19"/>
              </w:rPr>
              <w:t>Public Sector</w:t>
            </w:r>
          </w:p>
        </w:tc>
      </w:tr>
      <w:tr>
        <w:tc>
          <w:tcPr>
            <w:tcW w:type="dxa" w:w="2257"/>
            <w:shd w:val="clear" w:color="auto" w:fill="FFFFFF"/>
          </w:tcPr>
          <w:p>
            <w:r>
              <w:rPr>
                <w:sz w:val="19"/>
              </w:rPr>
              <w:t>Manufacturing</w:t>
            </w:r>
          </w:p>
        </w:tc>
        <w:tc>
          <w:tcPr>
            <w:tcW w:type="dxa" w:w="2257"/>
            <w:shd w:val="clear" w:color="auto" w:fill="FFFFFF"/>
          </w:tcPr>
          <w:p>
            <w:r>
              <w:rPr>
                <w:sz w:val="19"/>
              </w:rPr>
              <w:t>Distribution</w:t>
            </w:r>
          </w:p>
        </w:tc>
        <w:tc>
          <w:tcPr>
            <w:tcW w:type="dxa" w:w="2257"/>
            <w:shd w:val="clear" w:color="auto" w:fill="FFFFFF"/>
          </w:tcPr>
          <w:p>
            <w:r>
              <w:rPr>
                <w:sz w:val="19"/>
              </w:rPr>
              <w:t>Higher Education</w:t>
            </w:r>
          </w:p>
        </w:tc>
        <w:tc>
          <w:tcPr>
            <w:tcW w:type="dxa" w:w="2257"/>
            <w:shd w:val="clear" w:color="auto" w:fill="FFFFFF"/>
          </w:tcPr>
          <w:p>
            <w:r>
              <w:rPr>
                <w:sz w:val="19"/>
              </w:rPr>
              <w:t>FMCG / Retail</w:t>
            </w:r>
          </w:p>
        </w:tc>
      </w:tr>
      <w:tr>
        <w:tc>
          <w:tcPr>
            <w:tcW w:type="dxa" w:w="2257"/>
            <w:shd w:val="clear" w:color="auto" w:fill="F2F2F2"/>
          </w:tcPr>
          <w:p>
            <w:r>
              <w:rPr>
                <w:sz w:val="19"/>
              </w:rPr>
              <w:t>Mining</w:t>
            </w:r>
          </w:p>
        </w:tc>
        <w:tc>
          <w:tcPr>
            <w:tcW w:type="dxa" w:w="2257"/>
            <w:shd w:val="clear" w:color="auto" w:fill="F2F2F2"/>
          </w:tcPr>
          <w:p>
            <w:r>
              <w:rPr>
                <w:sz w:val="19"/>
              </w:rPr>
              <w:t>Professional Services</w:t>
            </w:r>
          </w:p>
        </w:tc>
        <w:tc>
          <w:tcPr>
            <w:tcW w:type="dxa" w:w="2257"/>
            <w:shd w:val="clear" w:color="auto" w:fill="F2F2F2"/>
          </w:tcPr>
          <w:p>
            <w:r>
              <w:rPr>
                <w:sz w:val="19"/>
              </w:rPr>
              <w:t>Technology</w:t>
            </w:r>
          </w:p>
        </w:tc>
        <w:tc>
          <w:tcPr>
            <w:tcW w:type="dxa" w:w="2257"/>
            <w:shd w:val="clear" w:color="auto" w:fill="F2F2F2"/>
          </w:tcPr>
          <w:p>
            <w:r>
              <w:rPr>
                <w:sz w:val="19"/>
              </w:rPr>
              <w:t>Pharmaceutical</w:t>
            </w:r>
          </w:p>
        </w:tc>
      </w:tr>
      <w:tr>
        <w:tc>
          <w:tcPr>
            <w:tcW w:type="dxa" w:w="2257"/>
            <w:shd w:val="clear" w:color="auto" w:fill="FFFFFF"/>
          </w:tcPr>
          <w:p>
            <w:r>
              <w:rPr>
                <w:sz w:val="19"/>
              </w:rPr>
              <w:t>Oil &amp; Gas</w:t>
            </w:r>
          </w:p>
        </w:tc>
        <w:tc>
          <w:tcPr>
            <w:tcW w:type="dxa" w:w="2257"/>
            <w:shd w:val="clear" w:color="auto" w:fill="FFFFFF"/>
          </w:tcPr>
          <w:p>
            <w:r>
              <w:rPr>
                <w:sz w:val="19"/>
              </w:rPr>
              <w:t>Transport</w:t>
            </w:r>
          </w:p>
        </w:tc>
        <w:tc>
          <w:tcPr>
            <w:tcW w:type="dxa" w:w="2257"/>
            <w:shd w:val="clear" w:color="auto" w:fill="FFFFFF"/>
          </w:tcPr>
          <w:p>
            <w:r>
              <w:rPr>
                <w:sz w:val="19"/>
              </w:rPr>
              <w:t>Medical Insurance</w:t>
            </w:r>
          </w:p>
        </w:tc>
        <w:tc>
          <w:tcPr>
            <w:tcW w:type="dxa" w:w="2257"/>
            <w:shd w:val="clear" w:color="auto" w:fill="FFFFFF"/>
          </w:tcPr>
          <w:p>
            <w:r>
              <w:rPr>
                <w:sz w:val="19"/>
              </w:rPr>
              <w:t>Non-Profit</w:t>
            </w:r>
          </w:p>
        </w:tc>
      </w:tr>
    </w:tbl>
    <w:p/>
    <w:p>
      <w:pPr>
        <w:ind w:left="360"/>
      </w:pPr>
      <w:r>
        <w:rPr>
          <w:b/>
          <w:color w:val="2E7D32"/>
          <w:sz w:val="19"/>
        </w:rPr>
        <w:t>▌ Status: Complete</w:t>
      </w:r>
      <w:r>
        <w:rPr>
          <w:sz w:val="19"/>
        </w:rPr>
        <w:t xml:space="preserve">  —  Source: W1S1-001-CORP-CompanyOverview (Approved 2026-06-09). All governance corrections applied.</w:t>
      </w:r>
    </w:p>
    <w:p/>
    <w:p>
      <w:r>
        <w:br w:type="page"/>
      </w:r>
    </w:p>
    <w:p>
      <w:pPr>
        <w:pStyle w:val="Heading1"/>
      </w:pPr>
      <w:r>
        <w:rPr>
          <w:color w:val="1F3964"/>
        </w:rPr>
        <w:t>3.  Why APPSolve</w:t>
      </w:r>
    </w:p>
    <w:p>
      <w:pPr>
        <w:pStyle w:val="Heading2"/>
      </w:pPr>
      <w:r>
        <w:rPr>
          <w:color w:val="1F3964"/>
        </w:rPr>
        <w:t>3.1  Oracle Partnership Credentials</w:t>
      </w:r>
    </w:p>
    <w:p>
      <w:pPr>
        <w:spacing w:after="120" w:before="40"/>
      </w:pPr>
      <w:r>
        <w:rPr>
          <w:b w:val="0"/>
          <w:i w:val="0"/>
          <w:sz w:val="21"/>
        </w:rPr>
        <w:t>APPSolve has been an Oracle Partner for over two decades. Our reputation and good standing in the Oracle community ensures that Plennegy benefits from Oracle's full partner network — including real-time access to Oracle's global support infrastructure, Oracle-certified practitioners, and alignment with Oracle's roadmap and Modern Best Practices.</w:t>
      </w:r>
    </w:p>
    <w:tbl>
      <w:tblPr>
        <w:tblStyle w:val="TableGrid"/>
        <w:tblW w:type="auto" w:w="0"/>
        <w:tblLook w:firstColumn="1" w:firstRow="1" w:lastColumn="0" w:lastRow="0" w:noHBand="0" w:noVBand="1" w:val="04A0"/>
      </w:tblPr>
      <w:tblGrid>
        <w:gridCol w:w="3010"/>
        <w:gridCol w:w="3010"/>
        <w:gridCol w:w="3010"/>
      </w:tblGrid>
      <w:tr>
        <w:tc>
          <w:tcPr>
            <w:tcW w:type="dxa" w:w="3168"/>
            <w:shd w:val="clear" w:color="auto" w:fill="1F3964"/>
          </w:tcPr>
          <w:p>
            <w:pPr>
              <w:jc w:val="center"/>
            </w:pPr>
            <w:r>
              <w:rPr>
                <w:b/>
                <w:color w:val="FFFFFF"/>
                <w:sz w:val="19"/>
              </w:rPr>
              <w:t>Credential</w:t>
            </w:r>
          </w:p>
        </w:tc>
        <w:tc>
          <w:tcPr>
            <w:tcW w:type="dxa" w:w="4608"/>
            <w:shd w:val="clear" w:color="auto" w:fill="1F3964"/>
          </w:tcPr>
          <w:p>
            <w:pPr>
              <w:jc w:val="center"/>
            </w:pPr>
            <w:r>
              <w:rPr>
                <w:b/>
                <w:color w:val="FFFFFF"/>
                <w:sz w:val="19"/>
              </w:rPr>
              <w:t>Detail</w:t>
            </w:r>
          </w:p>
        </w:tc>
        <w:tc>
          <w:tcPr>
            <w:tcW w:type="dxa" w:w="1872"/>
            <w:shd w:val="clear" w:color="auto" w:fill="1F3964"/>
          </w:tcPr>
          <w:p>
            <w:pPr>
              <w:jc w:val="center"/>
            </w:pPr>
            <w:r>
              <w:rPr>
                <w:b/>
                <w:color w:val="FFFFFF"/>
                <w:sz w:val="19"/>
              </w:rPr>
              <w:t>Status</w:t>
            </w:r>
          </w:p>
        </w:tc>
      </w:tr>
      <w:tr>
        <w:tc>
          <w:tcPr>
            <w:tcW w:type="dxa" w:w="3168"/>
            <w:shd w:val="clear" w:color="auto" w:fill="F2F2F2"/>
          </w:tcPr>
          <w:p>
            <w:r>
              <w:rPr>
                <w:sz w:val="19"/>
              </w:rPr>
              <w:t>Oracle Partner Tier</w:t>
            </w:r>
          </w:p>
        </w:tc>
        <w:tc>
          <w:tcPr>
            <w:tcW w:type="dxa" w:w="4608"/>
            <w:shd w:val="clear" w:color="auto" w:fill="F2F2F2"/>
          </w:tcPr>
          <w:p>
            <w:r>
              <w:rPr>
                <w:sz w:val="19"/>
              </w:rPr>
              <w:t>Oracle Level 1 Partner</w:t>
            </w:r>
          </w:p>
        </w:tc>
        <w:tc>
          <w:tcPr>
            <w:tcW w:type="dxa" w:w="1872"/>
            <w:shd w:val="clear" w:color="auto" w:fill="F2F2F2"/>
          </w:tcPr>
          <w:p>
            <w:r>
              <w:rPr>
                <w:sz w:val="19"/>
              </w:rPr>
              <w:t>Active</w:t>
            </w:r>
          </w:p>
        </w:tc>
      </w:tr>
      <w:tr>
        <w:tc>
          <w:tcPr>
            <w:tcW w:type="dxa" w:w="3168"/>
            <w:shd w:val="clear" w:color="auto" w:fill="FFFFFF"/>
          </w:tcPr>
          <w:p>
            <w:r>
              <w:rPr>
                <w:sz w:val="19"/>
              </w:rPr>
              <w:t>Published OPN Expertise — HCM</w:t>
            </w:r>
          </w:p>
        </w:tc>
        <w:tc>
          <w:tcPr>
            <w:tcW w:type="dxa" w:w="4608"/>
            <w:shd w:val="clear" w:color="auto" w:fill="FFFFFF"/>
          </w:tcPr>
          <w:p>
            <w:r>
              <w:rPr>
                <w:sz w:val="19"/>
              </w:rPr>
              <w:t>Oracle Fusion Cloud HCM Core (certified)</w:t>
            </w:r>
          </w:p>
        </w:tc>
        <w:tc>
          <w:tcPr>
            <w:tcW w:type="dxa" w:w="1872"/>
            <w:shd w:val="clear" w:color="auto" w:fill="FFFFFF"/>
          </w:tcPr>
          <w:p>
            <w:r>
              <w:rPr>
                <w:sz w:val="19"/>
              </w:rPr>
              <w:t>Active</w:t>
            </w:r>
          </w:p>
        </w:tc>
      </w:tr>
      <w:tr>
        <w:tc>
          <w:tcPr>
            <w:tcW w:type="dxa" w:w="3168"/>
            <w:shd w:val="clear" w:color="auto" w:fill="F2F2F2"/>
          </w:tcPr>
          <w:p>
            <w:r>
              <w:rPr>
                <w:sz w:val="19"/>
              </w:rPr>
              <w:t>Published OPN Expertise — Finance</w:t>
            </w:r>
          </w:p>
        </w:tc>
        <w:tc>
          <w:tcPr>
            <w:tcW w:type="dxa" w:w="4608"/>
            <w:shd w:val="clear" w:color="auto" w:fill="F2F2F2"/>
          </w:tcPr>
          <w:p>
            <w:r>
              <w:rPr>
                <w:sz w:val="19"/>
              </w:rPr>
              <w:t>Oracle Fusion Cloud Financials (certified)</w:t>
            </w:r>
          </w:p>
        </w:tc>
        <w:tc>
          <w:tcPr>
            <w:tcW w:type="dxa" w:w="1872"/>
            <w:shd w:val="clear" w:color="auto" w:fill="F2F2F2"/>
          </w:tcPr>
          <w:p>
            <w:r>
              <w:rPr>
                <w:sz w:val="19"/>
              </w:rPr>
              <w:t>Active</w:t>
            </w:r>
          </w:p>
        </w:tc>
      </w:tr>
      <w:tr>
        <w:tc>
          <w:tcPr>
            <w:tcW w:type="dxa" w:w="3168"/>
            <w:shd w:val="clear" w:color="auto" w:fill="FFFFFF"/>
          </w:tcPr>
          <w:p>
            <w:r>
              <w:rPr>
                <w:sz w:val="19"/>
              </w:rPr>
              <w:t>Published OPN Expertise — Integration</w:t>
            </w:r>
          </w:p>
        </w:tc>
        <w:tc>
          <w:tcPr>
            <w:tcW w:type="dxa" w:w="4608"/>
            <w:shd w:val="clear" w:color="auto" w:fill="FFFFFF"/>
          </w:tcPr>
          <w:p>
            <w:r>
              <w:rPr>
                <w:sz w:val="19"/>
              </w:rPr>
              <w:t>Oracle Integration — OIC (certified)</w:t>
            </w:r>
          </w:p>
        </w:tc>
        <w:tc>
          <w:tcPr>
            <w:tcW w:type="dxa" w:w="1872"/>
            <w:shd w:val="clear" w:color="auto" w:fill="FFFFFF"/>
          </w:tcPr>
          <w:p>
            <w:r>
              <w:rPr>
                <w:sz w:val="19"/>
              </w:rPr>
              <w:t>Active</w:t>
            </w:r>
          </w:p>
        </w:tc>
      </w:tr>
      <w:tr>
        <w:tc>
          <w:tcPr>
            <w:tcW w:type="dxa" w:w="3168"/>
            <w:shd w:val="clear" w:color="auto" w:fill="F2F2F2"/>
          </w:tcPr>
          <w:p>
            <w:r>
              <w:rPr>
                <w:sz w:val="19"/>
              </w:rPr>
              <w:t>Oracle VAR</w:t>
            </w:r>
          </w:p>
        </w:tc>
        <w:tc>
          <w:tcPr>
            <w:tcW w:type="dxa" w:w="4608"/>
            <w:shd w:val="clear" w:color="auto" w:fill="F2F2F2"/>
          </w:tcPr>
          <w:p>
            <w:r>
              <w:rPr>
                <w:sz w:val="19"/>
              </w:rPr>
              <w:t>Authorised to sell and distribute Oracle licences</w:t>
            </w:r>
          </w:p>
        </w:tc>
        <w:tc>
          <w:tcPr>
            <w:tcW w:type="dxa" w:w="1872"/>
            <w:shd w:val="clear" w:color="auto" w:fill="F2F2F2"/>
          </w:tcPr>
          <w:p>
            <w:r>
              <w:rPr>
                <w:sz w:val="19"/>
              </w:rPr>
              <w:t>Active</w:t>
            </w:r>
          </w:p>
        </w:tc>
      </w:tr>
      <w:tr>
        <w:tc>
          <w:tcPr>
            <w:tcW w:type="dxa" w:w="3168"/>
            <w:shd w:val="clear" w:color="auto" w:fill="FFFFFF"/>
          </w:tcPr>
          <w:p>
            <w:r>
              <w:rPr>
                <w:sz w:val="19"/>
              </w:rPr>
              <w:t>Oracle Cloud Excellence Implementer</w:t>
            </w:r>
          </w:p>
        </w:tc>
        <w:tc>
          <w:tcPr>
            <w:tcW w:type="dxa" w:w="4608"/>
            <w:shd w:val="clear" w:color="auto" w:fill="FFFFFF"/>
          </w:tcPr>
          <w:p>
            <w:r>
              <w:rPr>
                <w:sz w:val="19"/>
              </w:rPr>
              <w:t>Certified implementation excellence</w:t>
            </w:r>
          </w:p>
        </w:tc>
        <w:tc>
          <w:tcPr>
            <w:tcW w:type="dxa" w:w="1872"/>
            <w:shd w:val="clear" w:color="auto" w:fill="FFFFFF"/>
          </w:tcPr>
          <w:p>
            <w:r>
              <w:rPr>
                <w:sz w:val="19"/>
              </w:rPr>
              <w:t>Active (verify at renewal)</w:t>
            </w:r>
          </w:p>
        </w:tc>
      </w:tr>
      <w:tr>
        <w:tc>
          <w:tcPr>
            <w:tcW w:type="dxa" w:w="3168"/>
            <w:shd w:val="clear" w:color="auto" w:fill="F2F2F2"/>
          </w:tcPr>
          <w:p>
            <w:r>
              <w:rPr>
                <w:sz w:val="19"/>
              </w:rPr>
              <w:t>Oracle Enterprise Linux Specialist</w:t>
            </w:r>
          </w:p>
        </w:tc>
        <w:tc>
          <w:tcPr>
            <w:tcW w:type="dxa" w:w="4608"/>
            <w:shd w:val="clear" w:color="auto" w:fill="F2F2F2"/>
          </w:tcPr>
          <w:p>
            <w:r>
              <w:rPr>
                <w:sz w:val="19"/>
              </w:rPr>
              <w:t>Specialised Linux competency</w:t>
            </w:r>
          </w:p>
        </w:tc>
        <w:tc>
          <w:tcPr>
            <w:tcW w:type="dxa" w:w="1872"/>
            <w:shd w:val="clear" w:color="auto" w:fill="F2F2F2"/>
          </w:tcPr>
          <w:p>
            <w:r>
              <w:rPr>
                <w:sz w:val="19"/>
              </w:rPr>
              <w:t>Active (verify at renewal)</w:t>
            </w:r>
          </w:p>
        </w:tc>
      </w:tr>
    </w:tbl>
    <w:p/>
    <w:p>
      <w:pPr>
        <w:pStyle w:val="Heading2"/>
      </w:pPr>
      <w:r>
        <w:rPr>
          <w:color w:val="1F3964"/>
        </w:rPr>
        <w:t>3.2  Oracle Awards and Recognition</w:t>
      </w:r>
    </w:p>
    <w:tbl>
      <w:tblPr>
        <w:tblStyle w:val="TableGrid"/>
        <w:tblW w:type="auto" w:w="0"/>
        <w:tblLook w:firstColumn="1" w:firstRow="1" w:lastColumn="0" w:lastRow="0" w:noHBand="0" w:noVBand="1" w:val="04A0"/>
      </w:tblPr>
      <w:tblGrid>
        <w:gridCol w:w="2257"/>
        <w:gridCol w:w="2257"/>
        <w:gridCol w:w="2257"/>
        <w:gridCol w:w="2257"/>
      </w:tblGrid>
      <w:tr>
        <w:tc>
          <w:tcPr>
            <w:tcW w:type="dxa" w:w="3600"/>
            <w:shd w:val="clear" w:color="auto" w:fill="1F3964"/>
          </w:tcPr>
          <w:p>
            <w:pPr>
              <w:jc w:val="center"/>
            </w:pPr>
            <w:r>
              <w:rPr>
                <w:b/>
                <w:color w:val="FFFFFF"/>
                <w:sz w:val="19"/>
              </w:rPr>
              <w:t>Award</w:t>
            </w:r>
          </w:p>
        </w:tc>
        <w:tc>
          <w:tcPr>
            <w:tcW w:type="dxa" w:w="1008"/>
            <w:shd w:val="clear" w:color="auto" w:fill="1F3964"/>
          </w:tcPr>
          <w:p>
            <w:pPr>
              <w:jc w:val="center"/>
            </w:pPr>
            <w:r>
              <w:rPr>
                <w:b/>
                <w:color w:val="FFFFFF"/>
                <w:sz w:val="19"/>
              </w:rPr>
              <w:t>Year</w:t>
            </w:r>
          </w:p>
        </w:tc>
        <w:tc>
          <w:tcPr>
            <w:tcW w:type="dxa" w:w="1872"/>
            <w:shd w:val="clear" w:color="auto" w:fill="1F3964"/>
          </w:tcPr>
          <w:p>
            <w:pPr>
              <w:jc w:val="center"/>
            </w:pPr>
            <w:r>
              <w:rPr>
                <w:b/>
                <w:color w:val="FFFFFF"/>
                <w:sz w:val="19"/>
              </w:rPr>
              <w:t>Region</w:t>
            </w:r>
          </w:p>
        </w:tc>
        <w:tc>
          <w:tcPr>
            <w:tcW w:type="dxa" w:w="3312"/>
            <w:shd w:val="clear" w:color="auto" w:fill="1F3964"/>
          </w:tcPr>
          <w:p>
            <w:pPr>
              <w:jc w:val="center"/>
            </w:pPr>
            <w:r>
              <w:rPr>
                <w:b/>
                <w:color w:val="FFFFFF"/>
                <w:sz w:val="19"/>
              </w:rPr>
              <w:t>Notes</w:t>
            </w:r>
          </w:p>
        </w:tc>
      </w:tr>
      <w:tr>
        <w:tc>
          <w:tcPr>
            <w:tcW w:type="dxa" w:w="3600"/>
            <w:shd w:val="clear" w:color="auto" w:fill="F2F2F2"/>
          </w:tcPr>
          <w:p>
            <w:r>
              <w:rPr>
                <w:sz w:val="19"/>
              </w:rPr>
              <w:t>Oracle Business Impact Award</w:t>
            </w:r>
          </w:p>
        </w:tc>
        <w:tc>
          <w:tcPr>
            <w:tcW w:type="dxa" w:w="1008"/>
            <w:shd w:val="clear" w:color="auto" w:fill="F2F2F2"/>
          </w:tcPr>
          <w:p>
            <w:r>
              <w:rPr>
                <w:sz w:val="19"/>
              </w:rPr>
              <w:t>2024</w:t>
            </w:r>
          </w:p>
        </w:tc>
        <w:tc>
          <w:tcPr>
            <w:tcW w:type="dxa" w:w="1872"/>
            <w:shd w:val="clear" w:color="auto" w:fill="F2F2F2"/>
          </w:tcPr>
          <w:p>
            <w:r>
              <w:rPr>
                <w:sz w:val="19"/>
              </w:rPr>
              <w:t>EMEA Region</w:t>
            </w:r>
          </w:p>
        </w:tc>
        <w:tc>
          <w:tcPr>
            <w:tcW w:type="dxa" w:w="3312"/>
            <w:shd w:val="clear" w:color="auto" w:fill="F2F2F2"/>
          </w:tcPr>
          <w:p>
            <w:r>
              <w:rPr>
                <w:sz w:val="19"/>
              </w:rPr>
              <w:t>Recognised for business impact and delivery excellence</w:t>
            </w:r>
          </w:p>
        </w:tc>
      </w:tr>
      <w:tr>
        <w:tc>
          <w:tcPr>
            <w:tcW w:type="dxa" w:w="3600"/>
            <w:shd w:val="clear" w:color="auto" w:fill="FFFFFF"/>
          </w:tcPr>
          <w:p>
            <w:r>
              <w:rPr>
                <w:sz w:val="19"/>
              </w:rPr>
              <w:t>Oracle Business Impact Award</w:t>
            </w:r>
          </w:p>
        </w:tc>
        <w:tc>
          <w:tcPr>
            <w:tcW w:type="dxa" w:w="1008"/>
            <w:shd w:val="clear" w:color="auto" w:fill="FFFFFF"/>
          </w:tcPr>
          <w:p>
            <w:r>
              <w:rPr>
                <w:sz w:val="19"/>
              </w:rPr>
              <w:t>2024</w:t>
            </w:r>
          </w:p>
        </w:tc>
        <w:tc>
          <w:tcPr>
            <w:tcW w:type="dxa" w:w="1872"/>
            <w:shd w:val="clear" w:color="auto" w:fill="FFFFFF"/>
          </w:tcPr>
          <w:p>
            <w:r>
              <w:rPr>
                <w:sz w:val="19"/>
              </w:rPr>
              <w:t>ECEMEA Region</w:t>
            </w:r>
          </w:p>
        </w:tc>
        <w:tc>
          <w:tcPr>
            <w:tcW w:type="dxa" w:w="3312"/>
            <w:shd w:val="clear" w:color="auto" w:fill="FFFFFF"/>
          </w:tcPr>
          <w:p>
            <w:r>
              <w:rPr>
                <w:sz w:val="19"/>
              </w:rPr>
              <w:t>Dual recognition — EMEA and ECEMEA</w:t>
            </w:r>
          </w:p>
        </w:tc>
      </w:tr>
      <w:tr>
        <w:tc>
          <w:tcPr>
            <w:tcW w:type="dxa" w:w="3600"/>
            <w:shd w:val="clear" w:color="auto" w:fill="F2F2F2"/>
          </w:tcPr>
          <w:p>
            <w:r>
              <w:rPr>
                <w:sz w:val="19"/>
              </w:rPr>
              <w:t>Oracle SaaS Partner of the Year (New Entrant)</w:t>
            </w:r>
          </w:p>
        </w:tc>
        <w:tc>
          <w:tcPr>
            <w:tcW w:type="dxa" w:w="1008"/>
            <w:shd w:val="clear" w:color="auto" w:fill="F2F2F2"/>
          </w:tcPr>
          <w:p>
            <w:r>
              <w:rPr>
                <w:sz w:val="19"/>
              </w:rPr>
              <w:t>2019</w:t>
            </w:r>
          </w:p>
        </w:tc>
        <w:tc>
          <w:tcPr>
            <w:tcW w:type="dxa" w:w="1872"/>
            <w:shd w:val="clear" w:color="auto" w:fill="F2F2F2"/>
          </w:tcPr>
          <w:p>
            <w:r>
              <w:rPr>
                <w:sz w:val="19"/>
              </w:rPr>
              <w:t>SADC Region</w:t>
            </w:r>
          </w:p>
        </w:tc>
        <w:tc>
          <w:tcPr>
            <w:tcW w:type="dxa" w:w="3312"/>
            <w:shd w:val="clear" w:color="auto" w:fill="F2F2F2"/>
          </w:tcPr>
          <w:p>
            <w:r>
              <w:rPr>
                <w:sz w:val="19"/>
              </w:rPr>
            </w:r>
          </w:p>
        </w:tc>
      </w:tr>
      <w:tr>
        <w:tc>
          <w:tcPr>
            <w:tcW w:type="dxa" w:w="3600"/>
            <w:shd w:val="clear" w:color="auto" w:fill="FFFFFF"/>
          </w:tcPr>
          <w:p>
            <w:r>
              <w:rPr>
                <w:sz w:val="19"/>
              </w:rPr>
              <w:t>Oracle SaaS Partner of the Year</w:t>
            </w:r>
          </w:p>
        </w:tc>
        <w:tc>
          <w:tcPr>
            <w:tcW w:type="dxa" w:w="1008"/>
            <w:shd w:val="clear" w:color="auto" w:fill="FFFFFF"/>
          </w:tcPr>
          <w:p>
            <w:r>
              <w:rPr>
                <w:sz w:val="19"/>
              </w:rPr>
              <w:t>2016</w:t>
            </w:r>
          </w:p>
        </w:tc>
        <w:tc>
          <w:tcPr>
            <w:tcW w:type="dxa" w:w="1872"/>
            <w:shd w:val="clear" w:color="auto" w:fill="FFFFFF"/>
          </w:tcPr>
          <w:p>
            <w:r>
              <w:rPr>
                <w:sz w:val="19"/>
              </w:rPr>
              <w:t>SADC Region</w:t>
            </w:r>
          </w:p>
        </w:tc>
        <w:tc>
          <w:tcPr>
            <w:tcW w:type="dxa" w:w="3312"/>
            <w:shd w:val="clear" w:color="auto" w:fill="FFFFFF"/>
          </w:tcPr>
          <w:p>
            <w:r>
              <w:rPr>
                <w:sz w:val="19"/>
              </w:rPr>
            </w:r>
          </w:p>
        </w:tc>
      </w:tr>
      <w:tr>
        <w:tc>
          <w:tcPr>
            <w:tcW w:type="dxa" w:w="3600"/>
            <w:shd w:val="clear" w:color="auto" w:fill="F2F2F2"/>
          </w:tcPr>
          <w:p>
            <w:r>
              <w:rPr>
                <w:sz w:val="19"/>
              </w:rPr>
              <w:t>Oracle Innovation Sustainability Award</w:t>
            </w:r>
          </w:p>
        </w:tc>
        <w:tc>
          <w:tcPr>
            <w:tcW w:type="dxa" w:w="1008"/>
            <w:shd w:val="clear" w:color="auto" w:fill="F2F2F2"/>
          </w:tcPr>
          <w:p>
            <w:r>
              <w:rPr>
                <w:sz w:val="19"/>
              </w:rPr>
              <w:t>2016</w:t>
            </w:r>
          </w:p>
        </w:tc>
        <w:tc>
          <w:tcPr>
            <w:tcW w:type="dxa" w:w="1872"/>
            <w:shd w:val="clear" w:color="auto" w:fill="F2F2F2"/>
          </w:tcPr>
          <w:p>
            <w:r>
              <w:rPr>
                <w:sz w:val="19"/>
              </w:rPr>
              <w:t>Global</w:t>
            </w:r>
          </w:p>
        </w:tc>
        <w:tc>
          <w:tcPr>
            <w:tcW w:type="dxa" w:w="3312"/>
            <w:shd w:val="clear" w:color="auto" w:fill="F2F2F2"/>
          </w:tcPr>
          <w:p>
            <w:r>
              <w:rPr>
                <w:sz w:val="19"/>
              </w:rPr>
              <w:t>Repeat winner — applications developed in Mozambique</w:t>
            </w:r>
          </w:p>
        </w:tc>
      </w:tr>
      <w:tr>
        <w:tc>
          <w:tcPr>
            <w:tcW w:type="dxa" w:w="3600"/>
            <w:shd w:val="clear" w:color="auto" w:fill="FFFFFF"/>
          </w:tcPr>
          <w:p>
            <w:r>
              <w:rPr>
                <w:sz w:val="19"/>
              </w:rPr>
              <w:t>Oracle Innovation Sustainability Award</w:t>
            </w:r>
          </w:p>
        </w:tc>
        <w:tc>
          <w:tcPr>
            <w:tcW w:type="dxa" w:w="1008"/>
            <w:shd w:val="clear" w:color="auto" w:fill="FFFFFF"/>
          </w:tcPr>
          <w:p>
            <w:r>
              <w:rPr>
                <w:sz w:val="19"/>
              </w:rPr>
              <w:t>2015</w:t>
            </w:r>
          </w:p>
        </w:tc>
        <w:tc>
          <w:tcPr>
            <w:tcW w:type="dxa" w:w="1872"/>
            <w:shd w:val="clear" w:color="auto" w:fill="FFFFFF"/>
          </w:tcPr>
          <w:p>
            <w:r>
              <w:rPr>
                <w:sz w:val="19"/>
              </w:rPr>
              <w:t>Global</w:t>
            </w:r>
          </w:p>
        </w:tc>
        <w:tc>
          <w:tcPr>
            <w:tcW w:type="dxa" w:w="3312"/>
            <w:shd w:val="clear" w:color="auto" w:fill="FFFFFF"/>
          </w:tcPr>
          <w:p>
            <w:r>
              <w:rPr>
                <w:sz w:val="19"/>
              </w:rPr>
              <w:t>Applications developed in Mozambique</w:t>
            </w:r>
          </w:p>
        </w:tc>
      </w:tr>
    </w:tbl>
    <w:p/>
    <w:p>
      <w:pPr>
        <w:pStyle w:val="Heading2"/>
      </w:pPr>
      <w:r>
        <w:rPr>
          <w:color w:val="1F3964"/>
        </w:rPr>
        <w:t>3.3  APPSolve Delivery Differentiators</w:t>
      </w:r>
    </w:p>
    <w:p>
      <w:pPr>
        <w:spacing w:after="100"/>
      </w:pPr>
      <w:r>
        <w:rPr>
          <w:b/>
          <w:color w:val="1F3964"/>
          <w:sz w:val="21"/>
        </w:rPr>
        <w:t xml:space="preserve">Least Risk Option:  </w:t>
      </w:r>
      <w:r>
        <w:rPr>
          <w:sz w:val="21"/>
        </w:rPr>
        <w:t>APPSolve offers the least risk because our proposed teams consist of experienced resources with cross-domain expertise and familiarity with enterprise Oracle environments. Our consultants average 15–20 years of Oracle experience — meaning no lengthy learning curve at client expense.</w:t>
      </w:r>
    </w:p>
    <w:p>
      <w:pPr>
        <w:spacing w:after="100"/>
      </w:pPr>
      <w:r>
        <w:rPr>
          <w:b/>
          <w:color w:val="1F3964"/>
          <w:sz w:val="21"/>
        </w:rPr>
        <w:t xml:space="preserve">Technical Expertise and Track Record:  </w:t>
      </w:r>
      <w:r>
        <w:rPr>
          <w:sz w:val="21"/>
        </w:rPr>
        <w:t>APPSolve has a team of leaders in ERP systems and integration. Our track record demonstrates successful management of complex, large-scale Oracle environments — technically, functionally, and relationally.</w:t>
      </w:r>
    </w:p>
    <w:p>
      <w:pPr>
        <w:spacing w:after="100"/>
      </w:pPr>
      <w:r>
        <w:rPr>
          <w:b/>
          <w:color w:val="1F3964"/>
          <w:sz w:val="21"/>
        </w:rPr>
        <w:t xml:space="preserve">Senior-Only Delivery:  </w:t>
      </w:r>
      <w:r>
        <w:rPr>
          <w:sz w:val="21"/>
        </w:rPr>
        <w:t>APPSolve deploys senior consultants on all implementation engagements. Our 50+ Senior Consultants each bring 10 or more years of Oracle experience. No junior resources are assigned to implementation delivery without senior oversight.</w:t>
      </w:r>
    </w:p>
    <w:p>
      <w:pPr>
        <w:spacing w:after="100"/>
      </w:pPr>
      <w:r>
        <w:rPr>
          <w:b/>
          <w:color w:val="1F3964"/>
          <w:sz w:val="21"/>
        </w:rPr>
        <w:t xml:space="preserve">Continuous Improvement Model:  </w:t>
      </w:r>
      <w:r>
        <w:rPr>
          <w:sz w:val="21"/>
        </w:rPr>
        <w:t>APPSolve continuously innovates and uses the latest technology to scale environments, drive consolidation, and automate. The Continuous Improvement Model (Analyse → Plan → Implement → Measure) is applied across People, Processes, and Technology.</w:t>
      </w:r>
    </w:p>
    <w:p>
      <w:pPr>
        <w:spacing w:after="100"/>
      </w:pPr>
      <w:r>
        <w:rPr>
          <w:b/>
          <w:color w:val="1F3964"/>
          <w:sz w:val="21"/>
        </w:rPr>
        <w:t xml:space="preserve">Hybrid Support Model:  </w:t>
      </w:r>
      <w:r>
        <w:rPr>
          <w:sz w:val="21"/>
        </w:rPr>
        <w:t>APPSolve's Hybrid Support Model provides a cost-effective way to manage a site through a blended model of on-site and remote support personnel — offering the same level of service at reduced cost.</w:t>
      </w:r>
    </w:p>
    <w:p>
      <w:pPr>
        <w:spacing w:after="100"/>
      </w:pPr>
      <w:r>
        <w:rPr>
          <w:b/>
          <w:color w:val="1F3964"/>
          <w:sz w:val="21"/>
        </w:rPr>
        <w:t xml:space="preserve">Flexible and Predictable Costing:  </w:t>
      </w:r>
      <w:r>
        <w:rPr>
          <w:sz w:val="21"/>
        </w:rPr>
        <w:t>APPSolve offers Time and Materials, Fixed Price, and Monthly Recurring Invoice engagement models. The Monthly Recurring Invoice model — APPSolve's most distinctive offering — provides a predictable monthly cost with flexible capacity.</w:t>
      </w:r>
    </w:p>
    <w:p>
      <w:pPr>
        <w:ind w:left="360"/>
      </w:pPr>
      <w:r>
        <w:rPr>
          <w:b/>
          <w:color w:val="2E7D32"/>
          <w:sz w:val="19"/>
        </w:rPr>
        <w:t>▌ Status: Complete</w:t>
      </w:r>
      <w:r>
        <w:rPr>
          <w:sz w:val="19"/>
        </w:rPr>
        <w:t xml:space="preserve">  —  Source: W1S1-003-ORA-OraclePartnership, W1S1-009-CORP-KeyDifferentiators (both Approved 2026-06-09). Oracle awards 2015/2016/2019 included — BU Lead to confirm these remain accurately described before submission.</w:t>
      </w:r>
    </w:p>
    <w:p/>
    <w:p>
      <w:r>
        <w:br w:type="page"/>
      </w:r>
    </w:p>
    <w:p>
      <w:pPr>
        <w:pStyle w:val="Heading1"/>
      </w:pPr>
      <w:r>
        <w:rPr>
          <w:color w:val="1F3964"/>
        </w:rPr>
        <w:t>4.  Understanding of Plennegy</w:t>
      </w:r>
    </w:p>
    <w:p>
      <w:pPr>
        <w:pStyle w:val="Heading2"/>
      </w:pPr>
      <w:r>
        <w:rPr>
          <w:color w:val="1F3964"/>
        </w:rPr>
        <w:t>4.1  Group Structure and Multi-Entity Complexity</w:t>
      </w:r>
    </w:p>
    <w:p>
      <w:pPr>
        <w:spacing w:after="120" w:before="40"/>
      </w:pPr>
      <w:r>
        <w:rPr>
          <w:b w:val="0"/>
          <w:i w:val="0"/>
          <w:sz w:val="21"/>
        </w:rPr>
        <w:t>Plennegy Group is a diversified agri-business holding company founded in 1958. Its subsidiaries span commercial farming, seed production and distribution (Starke Ayres), agri-equipment distribution (Jupidex), automotive and agri-mechanisation franchises (Mascor), supply chain and logistics (Triton Supply Chain), and related businesses. Each subsidiary has distinct operational roles, employment profiles, and HR requirements — from permanent agricultural scientists and agronomists to seasonal farm workers, equipment technicians, and corporate office staff.</w:t>
      </w:r>
    </w:p>
    <w:p>
      <w:pPr>
        <w:spacing w:after="120" w:before="40"/>
      </w:pPr>
      <w:r>
        <w:rPr>
          <w:b w:val="0"/>
          <w:i w:val="0"/>
          <w:sz w:val="21"/>
        </w:rPr>
        <w:t>This structural complexity demands an HCM platform that can manage multiple legal entities, job structures, employment types, and legislative frameworks within a unified configuration — while allowing subsidiary-level autonomy in local HR processes where appropriate. Oracle Fusion HCM Cloud is architecturally well-suited to this model.</w:t>
      </w:r>
    </w:p>
    <w:p>
      <w:pPr>
        <w:pStyle w:val="Heading2"/>
      </w:pPr>
      <w:r>
        <w:rPr>
          <w:color w:val="1F3964"/>
        </w:rPr>
        <w:t>4.2  Current State Assessment</w:t>
      </w:r>
    </w:p>
    <w:p>
      <w:r>
        <w:rPr>
          <w:b/>
          <w:i/>
          <w:color w:val="B71C1C"/>
          <w:sz w:val="21"/>
        </w:rPr>
        <w:t>[CLIENT INPUT REQUIRED — Current HR systems per subsidiary (system names, versions, data volumes). APPSolve to document in Discovery workshop.]</w:t>
      </w:r>
    </w:p>
    <w:p>
      <w:r>
        <w:rPr>
          <w:b/>
          <w:i/>
          <w:color w:val="B71C1C"/>
          <w:sz w:val="21"/>
        </w:rPr>
        <w:t>[CLIENT INPUT REQUIRED — Number of legal entities and applicable legislative frameworks (SA, SADC). APPSolve to confirm during scoping to finalise BOM and estimate effort.]</w:t>
      </w:r>
    </w:p>
    <w:p>
      <w:pPr>
        <w:pStyle w:val="Heading2"/>
      </w:pPr>
      <w:r>
        <w:rPr>
          <w:color w:val="1F3964"/>
        </w:rPr>
        <w:t>4.3  Workforce Profile</w:t>
      </w:r>
    </w:p>
    <w:tbl>
      <w:tblPr>
        <w:tblStyle w:val="TableGrid"/>
        <w:tblW w:type="auto" w:w="0"/>
        <w:tblLook w:firstColumn="1" w:firstRow="1" w:lastColumn="0" w:lastRow="0" w:noHBand="0" w:noVBand="1" w:val="04A0"/>
      </w:tblPr>
      <w:tblGrid>
        <w:gridCol w:w="3010"/>
        <w:gridCol w:w="3010"/>
        <w:gridCol w:w="3010"/>
      </w:tblGrid>
      <w:tr>
        <w:tc>
          <w:tcPr>
            <w:tcW w:type="dxa" w:w="3456"/>
            <w:shd w:val="clear" w:color="auto" w:fill="1F3964"/>
          </w:tcPr>
          <w:p>
            <w:pPr>
              <w:jc w:val="center"/>
            </w:pPr>
            <w:r>
              <w:rPr>
                <w:b/>
                <w:color w:val="FFFFFF"/>
                <w:sz w:val="19"/>
              </w:rPr>
              <w:t>Parameter</w:t>
            </w:r>
          </w:p>
        </w:tc>
        <w:tc>
          <w:tcPr>
            <w:tcW w:type="dxa" w:w="3168"/>
            <w:shd w:val="clear" w:color="auto" w:fill="1F3964"/>
          </w:tcPr>
          <w:p>
            <w:pPr>
              <w:jc w:val="center"/>
            </w:pPr>
            <w:r>
              <w:rPr>
                <w:b/>
                <w:color w:val="FFFFFF"/>
                <w:sz w:val="19"/>
              </w:rPr>
              <w:t>Value / Quantity</w:t>
            </w:r>
          </w:p>
        </w:tc>
        <w:tc>
          <w:tcPr>
            <w:tcW w:type="dxa" w:w="3168"/>
            <w:shd w:val="clear" w:color="auto" w:fill="1F3964"/>
          </w:tcPr>
          <w:p>
            <w:pPr>
              <w:jc w:val="center"/>
            </w:pPr>
            <w:r>
              <w:rPr>
                <w:b/>
                <w:color w:val="FFFFFF"/>
                <w:sz w:val="19"/>
              </w:rPr>
              <w:t>Notes</w:t>
            </w:r>
          </w:p>
        </w:tc>
      </w:tr>
      <w:tr>
        <w:tc>
          <w:tcPr>
            <w:tcW w:type="dxa" w:w="3456"/>
            <w:shd w:val="clear" w:color="auto" w:fill="F2F2F2"/>
          </w:tcPr>
          <w:p>
            <w:r>
              <w:rPr>
                <w:sz w:val="19"/>
              </w:rPr>
              <w:t>Total employees (Oracle HCM licence)</w:t>
            </w:r>
          </w:p>
        </w:tc>
        <w:tc>
          <w:tcPr>
            <w:tcW w:type="dxa" w:w="3168"/>
            <w:shd w:val="clear" w:color="auto" w:fill="F2F2F2"/>
          </w:tcPr>
          <w:p>
            <w:r>
              <w:rPr>
                <w:sz w:val="19"/>
              </w:rPr>
              <w:t>4,000</w:t>
            </w:r>
          </w:p>
        </w:tc>
        <w:tc>
          <w:tcPr>
            <w:tcW w:type="dxa" w:w="3168"/>
            <w:shd w:val="clear" w:color="auto" w:fill="F2F2F2"/>
          </w:tcPr>
          <w:p>
            <w:r>
              <w:rPr>
                <w:sz w:val="19"/>
              </w:rPr>
              <w:t>Hosted Employee</w:t>
            </w:r>
          </w:p>
        </w:tc>
      </w:tr>
      <w:tr>
        <w:tc>
          <w:tcPr>
            <w:tcW w:type="dxa" w:w="3456"/>
            <w:shd w:val="clear" w:color="auto" w:fill="FFFFFF"/>
          </w:tcPr>
          <w:p>
            <w:r>
              <w:rPr>
                <w:sz w:val="19"/>
              </w:rPr>
              <w:t>Compensated individuals (Oracle WFC)</w:t>
            </w:r>
          </w:p>
        </w:tc>
        <w:tc>
          <w:tcPr>
            <w:tcW w:type="dxa" w:w="3168"/>
            <w:shd w:val="clear" w:color="auto" w:fill="FFFFFF"/>
          </w:tcPr>
          <w:p>
            <w:r>
              <w:rPr>
                <w:sz w:val="19"/>
              </w:rPr>
              <w:t>1,700</w:t>
            </w:r>
          </w:p>
        </w:tc>
        <w:tc>
          <w:tcPr>
            <w:tcW w:type="dxa" w:w="3168"/>
            <w:shd w:val="clear" w:color="auto" w:fill="FFFFFF"/>
          </w:tcPr>
          <w:p>
            <w:r>
              <w:rPr>
                <w:sz w:val="19"/>
              </w:rPr>
              <w:t>Hosted Compensated Individual</w:t>
            </w:r>
          </w:p>
        </w:tc>
      </w:tr>
      <w:tr>
        <w:tc>
          <w:tcPr>
            <w:tcW w:type="dxa" w:w="3456"/>
            <w:shd w:val="clear" w:color="auto" w:fill="F2F2F2"/>
          </w:tcPr>
          <w:p>
            <w:r>
              <w:rPr>
                <w:sz w:val="19"/>
              </w:rPr>
              <w:t>Named users (Learning / Talent / Compensation)</w:t>
            </w:r>
          </w:p>
        </w:tc>
        <w:tc>
          <w:tcPr>
            <w:tcW w:type="dxa" w:w="3168"/>
            <w:shd w:val="clear" w:color="auto" w:fill="F2F2F2"/>
          </w:tcPr>
          <w:p>
            <w:r>
              <w:rPr>
                <w:sz w:val="19"/>
              </w:rPr>
              <w:t>1,700</w:t>
            </w:r>
          </w:p>
        </w:tc>
        <w:tc>
          <w:tcPr>
            <w:tcW w:type="dxa" w:w="3168"/>
            <w:shd w:val="clear" w:color="auto" w:fill="F2F2F2"/>
          </w:tcPr>
          <w:p>
            <w:r>
              <w:rPr>
                <w:sz w:val="19"/>
              </w:rPr>
              <w:t>Hosted Named User</w:t>
            </w:r>
          </w:p>
        </w:tc>
      </w:tr>
      <w:tr>
        <w:tc>
          <w:tcPr>
            <w:tcW w:type="dxa" w:w="3456"/>
            <w:shd w:val="clear" w:color="auto" w:fill="FFFFFF"/>
          </w:tcPr>
          <w:p>
            <w:r>
              <w:rPr>
                <w:sz w:val="19"/>
              </w:rPr>
              <w:t>OIC message capacity</w:t>
            </w:r>
          </w:p>
        </w:tc>
        <w:tc>
          <w:tcPr>
            <w:tcW w:type="dxa" w:w="3168"/>
            <w:shd w:val="clear" w:color="auto" w:fill="FFFFFF"/>
          </w:tcPr>
          <w:p>
            <w:r>
              <w:rPr>
                <w:sz w:val="19"/>
              </w:rPr>
              <w:t>2 × 1M messages/month</w:t>
            </w:r>
          </w:p>
        </w:tc>
        <w:tc>
          <w:tcPr>
            <w:tcW w:type="dxa" w:w="3168"/>
            <w:shd w:val="clear" w:color="auto" w:fill="FFFFFF"/>
          </w:tcPr>
          <w:p>
            <w:r>
              <w:rPr>
                <w:sz w:val="19"/>
              </w:rPr>
              <w:t>OIC Enterprise</w:t>
            </w:r>
          </w:p>
        </w:tc>
      </w:tr>
      <w:tr>
        <w:tc>
          <w:tcPr>
            <w:tcW w:type="dxa" w:w="3456"/>
            <w:shd w:val="clear" w:color="auto" w:fill="F2F2F2"/>
          </w:tcPr>
          <w:p>
            <w:r>
              <w:rPr>
                <w:sz w:val="19"/>
              </w:rPr>
              <w:t>Legal entities / countries</w:t>
            </w:r>
          </w:p>
        </w:tc>
        <w:tc>
          <w:tcPr>
            <w:tcW w:type="dxa" w:w="3168"/>
            <w:shd w:val="clear" w:color="auto" w:fill="F2F2F2"/>
          </w:tcPr>
          <w:p>
            <w:r>
              <w:rPr>
                <w:sz w:val="19"/>
              </w:rPr>
              <w:t>[CLIENT INPUT REQUIRED]</w:t>
            </w:r>
          </w:p>
        </w:tc>
        <w:tc>
          <w:tcPr>
            <w:tcW w:type="dxa" w:w="3168"/>
            <w:shd w:val="clear" w:color="auto" w:fill="F2F2F2"/>
          </w:tcPr>
          <w:p>
            <w:r>
              <w:rPr>
                <w:sz w:val="19"/>
              </w:rPr>
              <w:t>Confirm during scoping</w:t>
            </w:r>
          </w:p>
        </w:tc>
      </w:tr>
      <w:tr>
        <w:tc>
          <w:tcPr>
            <w:tcW w:type="dxa" w:w="3456"/>
            <w:shd w:val="clear" w:color="auto" w:fill="FFFFFF"/>
          </w:tcPr>
          <w:p>
            <w:r>
              <w:rPr>
                <w:sz w:val="19"/>
              </w:rPr>
              <w:t>Seasonal / contingent worker population</w:t>
            </w:r>
          </w:p>
        </w:tc>
        <w:tc>
          <w:tcPr>
            <w:tcW w:type="dxa" w:w="3168"/>
            <w:shd w:val="clear" w:color="auto" w:fill="FFFFFF"/>
          </w:tcPr>
          <w:p>
            <w:r>
              <w:rPr>
                <w:sz w:val="19"/>
              </w:rPr>
              <w:t>[CLIENT INPUT REQUIRED]</w:t>
            </w:r>
          </w:p>
        </w:tc>
        <w:tc>
          <w:tcPr>
            <w:tcW w:type="dxa" w:w="3168"/>
            <w:shd w:val="clear" w:color="auto" w:fill="FFFFFF"/>
          </w:tcPr>
          <w:p>
            <w:r>
              <w:rPr>
                <w:sz w:val="19"/>
              </w:rPr>
              <w:t>Impacts absence + payroll interface design</w:t>
            </w:r>
          </w:p>
        </w:tc>
      </w:tr>
      <w:tr>
        <w:tc>
          <w:tcPr>
            <w:tcW w:type="dxa" w:w="3456"/>
            <w:shd w:val="clear" w:color="auto" w:fill="F2F2F2"/>
          </w:tcPr>
          <w:p>
            <w:r>
              <w:rPr>
                <w:sz w:val="19"/>
              </w:rPr>
              <w:t>Current payroll system(s)</w:t>
            </w:r>
          </w:p>
        </w:tc>
        <w:tc>
          <w:tcPr>
            <w:tcW w:type="dxa" w:w="3168"/>
            <w:shd w:val="clear" w:color="auto" w:fill="F2F2F2"/>
          </w:tcPr>
          <w:p>
            <w:r>
              <w:rPr>
                <w:sz w:val="19"/>
              </w:rPr>
              <w:t>[CLIENT INPUT REQUIRED]</w:t>
            </w:r>
          </w:p>
        </w:tc>
        <w:tc>
          <w:tcPr>
            <w:tcW w:type="dxa" w:w="3168"/>
            <w:shd w:val="clear" w:color="auto" w:fill="F2F2F2"/>
          </w:tcPr>
          <w:p>
            <w:r>
              <w:rPr>
                <w:sz w:val="19"/>
              </w:rPr>
              <w:t>Determines OIC integration architecture</w:t>
            </w:r>
          </w:p>
        </w:tc>
      </w:tr>
      <w:tr>
        <w:tc>
          <w:tcPr>
            <w:tcW w:type="dxa" w:w="3456"/>
            <w:shd w:val="clear" w:color="auto" w:fill="FFFFFF"/>
          </w:tcPr>
          <w:p>
            <w:r>
              <w:rPr>
                <w:sz w:val="19"/>
              </w:rPr>
              <w:t>Current HR system(s) per subsidiary</w:t>
            </w:r>
          </w:p>
        </w:tc>
        <w:tc>
          <w:tcPr>
            <w:tcW w:type="dxa" w:w="3168"/>
            <w:shd w:val="clear" w:color="auto" w:fill="FFFFFF"/>
          </w:tcPr>
          <w:p>
            <w:r>
              <w:rPr>
                <w:sz w:val="19"/>
              </w:rPr>
              <w:t>[CLIENT INPUT REQUIRED]</w:t>
            </w:r>
          </w:p>
        </w:tc>
        <w:tc>
          <w:tcPr>
            <w:tcW w:type="dxa" w:w="3168"/>
            <w:shd w:val="clear" w:color="auto" w:fill="FFFFFF"/>
          </w:tcPr>
          <w:p>
            <w:r>
              <w:rPr>
                <w:sz w:val="19"/>
              </w:rPr>
              <w:t>Data migration scope</w:t>
            </w:r>
          </w:p>
        </w:tc>
      </w:tr>
    </w:tbl>
    <w:p/>
    <w:p>
      <w:pPr>
        <w:pStyle w:val="Heading2"/>
      </w:pPr>
      <w:r>
        <w:rPr>
          <w:color w:val="1F3964"/>
        </w:rPr>
        <w:t>4.4  Key HR Transformation Objectives</w:t>
      </w:r>
    </w:p>
    <w:p>
      <w:pPr>
        <w:pStyle w:val="ListBullet"/>
      </w:pPr>
      <w:r>
        <w:rPr>
          <w:sz w:val="21"/>
        </w:rPr>
        <w:t>Consolidate fragmented subsidiary HR data into a single, reliable employee master across the Plennegy Group</w:t>
      </w:r>
    </w:p>
    <w:p>
      <w:pPr>
        <w:pStyle w:val="ListBullet"/>
      </w:pPr>
      <w:r>
        <w:rPr>
          <w:sz w:val="21"/>
        </w:rPr>
        <w:t>Automate absence, benefits administration, and onboarding journeys currently managed manually across subsidiaries</w:t>
      </w:r>
    </w:p>
    <w:p>
      <w:pPr>
        <w:pStyle w:val="ListBullet"/>
      </w:pPr>
      <w:r>
        <w:rPr>
          <w:sz w:val="21"/>
        </w:rPr>
        <w:t>Enable a modern, digital talent acquisition process with advanced scheduling, CV parsing, and two-way candidate messaging for high-volume agricultural and technical recruitment</w:t>
      </w:r>
    </w:p>
    <w:p>
      <w:pPr>
        <w:pStyle w:val="ListBullet"/>
      </w:pPr>
      <w:r>
        <w:rPr>
          <w:sz w:val="21"/>
        </w:rPr>
        <w:t>Support structured compensation planning and merit cycle management across business units for 1,700 compensated individuals</w:t>
      </w:r>
    </w:p>
    <w:p>
      <w:pPr>
        <w:pStyle w:val="ListBullet"/>
      </w:pPr>
      <w:r>
        <w:rPr>
          <w:sz w:val="21"/>
        </w:rPr>
        <w:t>Provide a unified learning platform and career development journeys aligned to Plennegy's workforce development strategy and SETA/WSP/ATR reporting requirements</w:t>
      </w:r>
    </w:p>
    <w:p>
      <w:pPr>
        <w:pStyle w:val="ListBullet"/>
      </w:pPr>
      <w:r>
        <w:rPr>
          <w:sz w:val="21"/>
        </w:rPr>
        <w:t>Enable performance management, goal setting, and succession planning to retain and grow key talent across the Group</w:t>
      </w:r>
    </w:p>
    <w:p>
      <w:pPr>
        <w:pStyle w:val="ListBullet"/>
      </w:pPr>
      <w:r>
        <w:rPr>
          <w:sz w:val="21"/>
        </w:rPr>
        <w:t>Integrate Oracle HCM Cloud with existing payroll, finance, and downstream systems via Oracle Integration Cloud</w:t>
      </w:r>
    </w:p>
    <w:p>
      <w:pPr>
        <w:pStyle w:val="ListBullet"/>
      </w:pPr>
      <w:r>
        <w:rPr>
          <w:sz w:val="21"/>
        </w:rPr>
        <w:t>Leverage Oracle's embedded AI for intelligent skills matching, workforce development insights, and internal mobility</w:t>
      </w:r>
    </w:p>
    <w:p>
      <w:pPr>
        <w:ind w:left="360"/>
      </w:pPr>
      <w:r>
        <w:rPr>
          <w:b/>
          <w:color w:val="E65100"/>
          <w:sz w:val="19"/>
        </w:rPr>
        <w:t>▌ Status: Needs Review</w:t>
      </w:r>
      <w:r>
        <w:rPr>
          <w:sz w:val="19"/>
        </w:rPr>
        <w:t xml:space="preserve">  —  Section 4.2 requires client input on current systems and entity list. Remaining content based on V3 proposal understanding and approved KB context. BU Lead to review agri-business characterisation.</w:t>
      </w:r>
    </w:p>
    <w:p/>
    <w:p>
      <w:r>
        <w:br w:type="page"/>
      </w:r>
    </w:p>
    <w:p>
      <w:pPr>
        <w:pStyle w:val="Heading1"/>
      </w:pPr>
      <w:r>
        <w:rPr>
          <w:color w:val="1F3964"/>
        </w:rPr>
        <w:t>5.  Proposed Oracle HCM Cloud Solution</w:t>
      </w:r>
    </w:p>
    <w:p>
      <w:pPr>
        <w:spacing w:after="120" w:before="40"/>
      </w:pPr>
      <w:r>
        <w:rPr>
          <w:b w:val="0"/>
          <w:i w:val="0"/>
          <w:sz w:val="21"/>
        </w:rPr>
        <w:t>APPSolve proposes the following Oracle Fusion HCM Cloud Bill of Materials to meet Plennegy's HCM transformation objectives. The proposed BOM covers the full Oracle Fusion HCM suite for 4,000 employees, with Talent Management, Learning, and Compensation modules scoped for 1,700 named users.</w:t>
      </w:r>
    </w:p>
    <w:p>
      <w:pPr>
        <w:pStyle w:val="Heading2"/>
      </w:pPr>
      <w:r>
        <w:rPr>
          <w:color w:val="1F3964"/>
        </w:rPr>
        <w:t>5.1  Bill of Materials Summary</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2736"/>
            <w:shd w:val="clear" w:color="auto" w:fill="1F3964"/>
          </w:tcPr>
          <w:p>
            <w:pPr>
              <w:jc w:val="center"/>
            </w:pPr>
            <w:r>
              <w:rPr>
                <w:b/>
                <w:color w:val="FFFFFF"/>
                <w:sz w:val="19"/>
              </w:rPr>
              <w:t>Product</w:t>
            </w:r>
          </w:p>
        </w:tc>
        <w:tc>
          <w:tcPr>
            <w:tcW w:type="dxa" w:w="1296"/>
            <w:shd w:val="clear" w:color="auto" w:fill="1F3964"/>
          </w:tcPr>
          <w:p>
            <w:pPr>
              <w:jc w:val="center"/>
            </w:pPr>
            <w:r>
              <w:rPr>
                <w:b/>
                <w:color w:val="FFFFFF"/>
                <w:sz w:val="19"/>
              </w:rPr>
              <w:t>Part No.</w:t>
            </w:r>
          </w:p>
        </w:tc>
        <w:tc>
          <w:tcPr>
            <w:tcW w:type="dxa" w:w="1152"/>
            <w:shd w:val="clear" w:color="auto" w:fill="1F3964"/>
          </w:tcPr>
          <w:p>
            <w:pPr>
              <w:jc w:val="center"/>
            </w:pPr>
            <w:r>
              <w:rPr>
                <w:b/>
                <w:color w:val="FFFFFF"/>
                <w:sz w:val="19"/>
              </w:rPr>
              <w:t>Volume</w:t>
            </w:r>
          </w:p>
        </w:tc>
        <w:tc>
          <w:tcPr>
            <w:tcW w:type="dxa" w:w="1728"/>
            <w:shd w:val="clear" w:color="auto" w:fill="1F3964"/>
          </w:tcPr>
          <w:p>
            <w:pPr>
              <w:jc w:val="center"/>
            </w:pPr>
            <w:r>
              <w:rPr>
                <w:b/>
                <w:color w:val="FFFFFF"/>
                <w:sz w:val="19"/>
              </w:rPr>
              <w:t>Metric</w:t>
            </w:r>
          </w:p>
        </w:tc>
        <w:tc>
          <w:tcPr>
            <w:tcW w:type="dxa" w:w="2880"/>
            <w:shd w:val="clear" w:color="auto" w:fill="1F3964"/>
          </w:tcPr>
          <w:p>
            <w:pPr>
              <w:jc w:val="center"/>
            </w:pPr>
            <w:r>
              <w:rPr>
                <w:b/>
                <w:color w:val="FFFFFF"/>
                <w:sz w:val="19"/>
              </w:rPr>
              <w:t>Scope / Modules</w:t>
            </w:r>
          </w:p>
        </w:tc>
      </w:tr>
      <w:tr>
        <w:tc>
          <w:tcPr>
            <w:tcW w:type="dxa" w:w="2736"/>
            <w:shd w:val="clear" w:color="auto" w:fill="F2F2F2"/>
          </w:tcPr>
          <w:p>
            <w:r>
              <w:rPr>
                <w:sz w:val="19"/>
              </w:rPr>
              <w:t>Oracle Fusion HCM Base Cloud Service</w:t>
            </w:r>
          </w:p>
        </w:tc>
        <w:tc>
          <w:tcPr>
            <w:tcW w:type="dxa" w:w="1296"/>
            <w:shd w:val="clear" w:color="auto" w:fill="F2F2F2"/>
          </w:tcPr>
          <w:p>
            <w:r>
              <w:rPr>
                <w:sz w:val="19"/>
              </w:rPr>
              <w:t>B85800</w:t>
            </w:r>
          </w:p>
        </w:tc>
        <w:tc>
          <w:tcPr>
            <w:tcW w:type="dxa" w:w="1152"/>
            <w:shd w:val="clear" w:color="auto" w:fill="F2F2F2"/>
          </w:tcPr>
          <w:p>
            <w:r>
              <w:rPr>
                <w:sz w:val="19"/>
              </w:rPr>
              <w:t>4,000</w:t>
            </w:r>
          </w:p>
        </w:tc>
        <w:tc>
          <w:tcPr>
            <w:tcW w:type="dxa" w:w="1728"/>
            <w:shd w:val="clear" w:color="auto" w:fill="F2F2F2"/>
          </w:tcPr>
          <w:p>
            <w:r>
              <w:rPr>
                <w:sz w:val="19"/>
              </w:rPr>
              <w:t>Hosted Employee</w:t>
            </w:r>
          </w:p>
        </w:tc>
        <w:tc>
          <w:tcPr>
            <w:tcW w:type="dxa" w:w="2880"/>
            <w:shd w:val="clear" w:color="auto" w:fill="F2F2F2"/>
          </w:tcPr>
          <w:p>
            <w:r>
              <w:rPr>
                <w:sz w:val="19"/>
              </w:rPr>
              <w:t>Core HR; Absence; Benefits; Journeys; Payroll Interface; Workforce Directory; OTBI; TDE; AI Dynamic Skills</w:t>
            </w:r>
          </w:p>
        </w:tc>
      </w:tr>
      <w:tr>
        <w:tc>
          <w:tcPr>
            <w:tcW w:type="dxa" w:w="2736"/>
            <w:shd w:val="clear" w:color="auto" w:fill="FFFFFF"/>
          </w:tcPr>
          <w:p>
            <w:r>
              <w:rPr>
                <w:sz w:val="19"/>
              </w:rPr>
              <w:t>Oracle Fusion Recruiting Cloud Service</w:t>
            </w:r>
          </w:p>
        </w:tc>
        <w:tc>
          <w:tcPr>
            <w:tcW w:type="dxa" w:w="1296"/>
            <w:shd w:val="clear" w:color="auto" w:fill="FFFFFF"/>
          </w:tcPr>
          <w:p>
            <w:r>
              <w:rPr>
                <w:sz w:val="19"/>
              </w:rPr>
              <w:t>B87675</w:t>
            </w:r>
          </w:p>
        </w:tc>
        <w:tc>
          <w:tcPr>
            <w:tcW w:type="dxa" w:w="1152"/>
            <w:shd w:val="clear" w:color="auto" w:fill="FFFFFF"/>
          </w:tcPr>
          <w:p>
            <w:r>
              <w:rPr>
                <w:sz w:val="19"/>
              </w:rPr>
              <w:t>4,000</w:t>
            </w:r>
          </w:p>
        </w:tc>
        <w:tc>
          <w:tcPr>
            <w:tcW w:type="dxa" w:w="1728"/>
            <w:shd w:val="clear" w:color="auto" w:fill="FFFFFF"/>
          </w:tcPr>
          <w:p>
            <w:r>
              <w:rPr>
                <w:sz w:val="19"/>
              </w:rPr>
              <w:t>Hosted Employee</w:t>
            </w:r>
          </w:p>
        </w:tc>
        <w:tc>
          <w:tcPr>
            <w:tcW w:type="dxa" w:w="2880"/>
            <w:shd w:val="clear" w:color="auto" w:fill="FFFFFF"/>
          </w:tcPr>
          <w:p>
            <w:r>
              <w:rPr>
                <w:sz w:val="19"/>
              </w:rPr>
              <w:t>Full talent acquisition lifecycle</w:t>
            </w:r>
          </w:p>
        </w:tc>
      </w:tr>
      <w:tr>
        <w:tc>
          <w:tcPr>
            <w:tcW w:type="dxa" w:w="2736"/>
            <w:shd w:val="clear" w:color="auto" w:fill="F2F2F2"/>
          </w:tcPr>
          <w:p>
            <w:r>
              <w:rPr>
                <w:sz w:val="19"/>
              </w:rPr>
              <w:t>Oracle Fusion Workforce Compensation Cloud Service</w:t>
            </w:r>
          </w:p>
        </w:tc>
        <w:tc>
          <w:tcPr>
            <w:tcW w:type="dxa" w:w="1296"/>
            <w:shd w:val="clear" w:color="auto" w:fill="F2F2F2"/>
          </w:tcPr>
          <w:p>
            <w:r>
              <w:rPr>
                <w:sz w:val="19"/>
              </w:rPr>
              <w:t>B109620</w:t>
            </w:r>
          </w:p>
        </w:tc>
        <w:tc>
          <w:tcPr>
            <w:tcW w:type="dxa" w:w="1152"/>
            <w:shd w:val="clear" w:color="auto" w:fill="F2F2F2"/>
          </w:tcPr>
          <w:p>
            <w:r>
              <w:rPr>
                <w:sz w:val="19"/>
              </w:rPr>
              <w:t>1,700</w:t>
            </w:r>
          </w:p>
        </w:tc>
        <w:tc>
          <w:tcPr>
            <w:tcW w:type="dxa" w:w="1728"/>
            <w:shd w:val="clear" w:color="auto" w:fill="F2F2F2"/>
          </w:tcPr>
          <w:p>
            <w:r>
              <w:rPr>
                <w:sz w:val="19"/>
              </w:rPr>
              <w:t>Hosted Compensated Individual</w:t>
            </w:r>
          </w:p>
        </w:tc>
        <w:tc>
          <w:tcPr>
            <w:tcW w:type="dxa" w:w="2880"/>
            <w:shd w:val="clear" w:color="auto" w:fill="F2F2F2"/>
          </w:tcPr>
          <w:p>
            <w:r>
              <w:rPr>
                <w:sz w:val="19"/>
              </w:rPr>
              <w:t>Merit cycles; bonus; compensation budgeting</w:t>
            </w:r>
          </w:p>
        </w:tc>
      </w:tr>
      <w:tr>
        <w:tc>
          <w:tcPr>
            <w:tcW w:type="dxa" w:w="2736"/>
            <w:shd w:val="clear" w:color="auto" w:fill="FFFFFF"/>
          </w:tcPr>
          <w:p>
            <w:r>
              <w:rPr>
                <w:sz w:val="19"/>
              </w:rPr>
              <w:t>Oracle Fusion Learning Cloud Service</w:t>
            </w:r>
          </w:p>
        </w:tc>
        <w:tc>
          <w:tcPr>
            <w:tcW w:type="dxa" w:w="1296"/>
            <w:shd w:val="clear" w:color="auto" w:fill="FFFFFF"/>
          </w:tcPr>
          <w:p>
            <w:r>
              <w:rPr>
                <w:sz w:val="19"/>
              </w:rPr>
              <w:t>B85242</w:t>
            </w:r>
          </w:p>
        </w:tc>
        <w:tc>
          <w:tcPr>
            <w:tcW w:type="dxa" w:w="1152"/>
            <w:shd w:val="clear" w:color="auto" w:fill="FFFFFF"/>
          </w:tcPr>
          <w:p>
            <w:r>
              <w:rPr>
                <w:sz w:val="19"/>
              </w:rPr>
              <w:t>1,700</w:t>
            </w:r>
          </w:p>
        </w:tc>
        <w:tc>
          <w:tcPr>
            <w:tcW w:type="dxa" w:w="1728"/>
            <w:shd w:val="clear" w:color="auto" w:fill="FFFFFF"/>
          </w:tcPr>
          <w:p>
            <w:r>
              <w:rPr>
                <w:sz w:val="19"/>
              </w:rPr>
              <w:t>Hosted Named User</w:t>
            </w:r>
          </w:p>
        </w:tc>
        <w:tc>
          <w:tcPr>
            <w:tcW w:type="dxa" w:w="2880"/>
            <w:shd w:val="clear" w:color="auto" w:fill="FFFFFF"/>
          </w:tcPr>
          <w:p>
            <w:r>
              <w:rPr>
                <w:sz w:val="19"/>
              </w:rPr>
              <w:t>Learning management; compliance tracking; SETA support</w:t>
            </w:r>
          </w:p>
        </w:tc>
      </w:tr>
      <w:tr>
        <w:tc>
          <w:tcPr>
            <w:tcW w:type="dxa" w:w="2736"/>
            <w:shd w:val="clear" w:color="auto" w:fill="F2F2F2"/>
          </w:tcPr>
          <w:p>
            <w:r>
              <w:rPr>
                <w:sz w:val="19"/>
              </w:rPr>
              <w:t>Oracle Fusion Talent Management Cloud Service</w:t>
            </w:r>
          </w:p>
        </w:tc>
        <w:tc>
          <w:tcPr>
            <w:tcW w:type="dxa" w:w="1296"/>
            <w:shd w:val="clear" w:color="auto" w:fill="F2F2F2"/>
          </w:tcPr>
          <w:p>
            <w:r>
              <w:rPr>
                <w:sz w:val="19"/>
              </w:rPr>
              <w:t>B94925</w:t>
            </w:r>
          </w:p>
        </w:tc>
        <w:tc>
          <w:tcPr>
            <w:tcW w:type="dxa" w:w="1152"/>
            <w:shd w:val="clear" w:color="auto" w:fill="F2F2F2"/>
          </w:tcPr>
          <w:p>
            <w:r>
              <w:rPr>
                <w:sz w:val="19"/>
              </w:rPr>
              <w:t>1,700</w:t>
            </w:r>
          </w:p>
        </w:tc>
        <w:tc>
          <w:tcPr>
            <w:tcW w:type="dxa" w:w="1728"/>
            <w:shd w:val="clear" w:color="auto" w:fill="F2F2F2"/>
          </w:tcPr>
          <w:p>
            <w:r>
              <w:rPr>
                <w:sz w:val="19"/>
              </w:rPr>
              <w:t>Hosted Named User</w:t>
            </w:r>
          </w:p>
        </w:tc>
        <w:tc>
          <w:tcPr>
            <w:tcW w:type="dxa" w:w="2880"/>
            <w:shd w:val="clear" w:color="auto" w:fill="F2F2F2"/>
          </w:tcPr>
          <w:p>
            <w:r>
              <w:rPr>
                <w:sz w:val="19"/>
              </w:rPr>
              <w:t>Goals; Performance; Talent Review; Career Development; Succession</w:t>
            </w:r>
          </w:p>
        </w:tc>
      </w:tr>
      <w:tr>
        <w:tc>
          <w:tcPr>
            <w:tcW w:type="dxa" w:w="2736"/>
            <w:shd w:val="clear" w:color="auto" w:fill="FFFFFF"/>
          </w:tcPr>
          <w:p>
            <w:r>
              <w:rPr>
                <w:sz w:val="19"/>
              </w:rPr>
              <w:t>Oracle Fusion Recruiting Booster Cloud Service</w:t>
            </w:r>
          </w:p>
        </w:tc>
        <w:tc>
          <w:tcPr>
            <w:tcW w:type="dxa" w:w="1296"/>
            <w:shd w:val="clear" w:color="auto" w:fill="FFFFFF"/>
          </w:tcPr>
          <w:p>
            <w:r>
              <w:rPr>
                <w:sz w:val="19"/>
              </w:rPr>
              <w:t>B95763</w:t>
            </w:r>
          </w:p>
        </w:tc>
        <w:tc>
          <w:tcPr>
            <w:tcW w:type="dxa" w:w="1152"/>
            <w:shd w:val="clear" w:color="auto" w:fill="FFFFFF"/>
          </w:tcPr>
          <w:p>
            <w:r>
              <w:rPr>
                <w:sz w:val="19"/>
              </w:rPr>
              <w:t>4,000</w:t>
            </w:r>
          </w:p>
        </w:tc>
        <w:tc>
          <w:tcPr>
            <w:tcW w:type="dxa" w:w="1728"/>
            <w:shd w:val="clear" w:color="auto" w:fill="FFFFFF"/>
          </w:tcPr>
          <w:p>
            <w:r>
              <w:rPr>
                <w:sz w:val="19"/>
              </w:rPr>
              <w:t>Hosted Employee</w:t>
            </w:r>
          </w:p>
        </w:tc>
        <w:tc>
          <w:tcPr>
            <w:tcW w:type="dxa" w:w="2880"/>
            <w:shd w:val="clear" w:color="auto" w:fill="FFFFFF"/>
          </w:tcPr>
          <w:p>
            <w:r>
              <w:rPr>
                <w:sz w:val="19"/>
              </w:rPr>
              <w:t>Two-way messaging; event management; advanced scheduling; Digital Assistant; CV parsing</w:t>
            </w:r>
          </w:p>
        </w:tc>
      </w:tr>
      <w:tr>
        <w:tc>
          <w:tcPr>
            <w:tcW w:type="dxa" w:w="2736"/>
            <w:shd w:val="clear" w:color="auto" w:fill="F2F2F2"/>
          </w:tcPr>
          <w:p>
            <w:r>
              <w:rPr>
                <w:sz w:val="19"/>
              </w:rPr>
              <w:t>Oracle Integration Cloud Service Enterprise</w:t>
            </w:r>
          </w:p>
        </w:tc>
        <w:tc>
          <w:tcPr>
            <w:tcW w:type="dxa" w:w="1296"/>
            <w:shd w:val="clear" w:color="auto" w:fill="F2F2F2"/>
          </w:tcPr>
          <w:p>
            <w:r>
              <w:rPr>
                <w:sz w:val="19"/>
              </w:rPr>
              <w:t>B91110</w:t>
            </w:r>
          </w:p>
        </w:tc>
        <w:tc>
          <w:tcPr>
            <w:tcW w:type="dxa" w:w="1152"/>
            <w:shd w:val="clear" w:color="auto" w:fill="F2F2F2"/>
          </w:tcPr>
          <w:p>
            <w:r>
              <w:rPr>
                <w:sz w:val="19"/>
              </w:rPr>
              <w:t>2 × 1M messages</w:t>
            </w:r>
          </w:p>
        </w:tc>
        <w:tc>
          <w:tcPr>
            <w:tcW w:type="dxa" w:w="1728"/>
            <w:shd w:val="clear" w:color="auto" w:fill="F2F2F2"/>
          </w:tcPr>
          <w:p>
            <w:r>
              <w:rPr>
                <w:sz w:val="19"/>
              </w:rPr>
              <w:t>Message tiers</w:t>
            </w:r>
          </w:p>
        </w:tc>
        <w:tc>
          <w:tcPr>
            <w:tcW w:type="dxa" w:w="2880"/>
            <w:shd w:val="clear" w:color="auto" w:fill="F2F2F2"/>
          </w:tcPr>
          <w:p>
            <w:r>
              <w:rPr>
                <w:sz w:val="19"/>
              </w:rPr>
              <w:t>Standard + on-premise adapters; Process Automation; payroll + downstream integration</w:t>
            </w:r>
          </w:p>
        </w:tc>
      </w:tr>
    </w:tbl>
    <w:p/>
    <w:p>
      <w:pPr>
        <w:pStyle w:val="Heading2"/>
      </w:pPr>
      <w:r>
        <w:rPr>
          <w:color w:val="1F3964"/>
        </w:rPr>
        <w:t>5.2  Implementation Approach Overview</w:t>
      </w:r>
    </w:p>
    <w:p>
      <w:pPr>
        <w:spacing w:after="120" w:before="40"/>
      </w:pPr>
      <w:r>
        <w:rPr>
          <w:b w:val="0"/>
          <w:i w:val="0"/>
          <w:sz w:val="21"/>
        </w:rPr>
        <w:t>APPSolve proposes a phased implementation approach structured around APPSolve's Oracle Unified Method (OUM)-aligned delivery framework. The implementation is sequenced to deliver business value progressively, reduce risk through iterative build-and-validate cycles, and establish a solid HCM foundation before activating more complex modules.</w:t>
      </w:r>
    </w:p>
    <w:tbl>
      <w:tblPr>
        <w:tblStyle w:val="TableGrid"/>
        <w:tblW w:type="auto" w:w="0"/>
        <w:tblLook w:firstColumn="1" w:firstRow="1" w:lastColumn="0" w:lastRow="0" w:noHBand="0" w:noVBand="1" w:val="04A0"/>
      </w:tblPr>
      <w:tblGrid>
        <w:gridCol w:w="2257"/>
        <w:gridCol w:w="2257"/>
        <w:gridCol w:w="2257"/>
        <w:gridCol w:w="2257"/>
      </w:tblGrid>
      <w:tr>
        <w:tc>
          <w:tcPr>
            <w:tcW w:type="dxa" w:w="864"/>
            <w:shd w:val="clear" w:color="auto" w:fill="1F3964"/>
          </w:tcPr>
          <w:p>
            <w:pPr>
              <w:jc w:val="center"/>
            </w:pPr>
            <w:r>
              <w:rPr>
                <w:b/>
                <w:color w:val="FFFFFF"/>
                <w:sz w:val="19"/>
              </w:rPr>
              <w:t>Phase</w:t>
            </w:r>
          </w:p>
        </w:tc>
        <w:tc>
          <w:tcPr>
            <w:tcW w:type="dxa" w:w="2016"/>
            <w:shd w:val="clear" w:color="auto" w:fill="1F3964"/>
          </w:tcPr>
          <w:p>
            <w:pPr>
              <w:jc w:val="center"/>
            </w:pPr>
            <w:r>
              <w:rPr>
                <w:b/>
                <w:color w:val="FFFFFF"/>
                <w:sz w:val="19"/>
              </w:rPr>
              <w:t>Name</w:t>
            </w:r>
          </w:p>
        </w:tc>
        <w:tc>
          <w:tcPr>
            <w:tcW w:type="dxa" w:w="4896"/>
            <w:shd w:val="clear" w:color="auto" w:fill="1F3964"/>
          </w:tcPr>
          <w:p>
            <w:pPr>
              <w:jc w:val="center"/>
            </w:pPr>
            <w:r>
              <w:rPr>
                <w:b/>
                <w:color w:val="FFFFFF"/>
                <w:sz w:val="19"/>
              </w:rPr>
              <w:t>Scope</w:t>
            </w:r>
          </w:p>
        </w:tc>
        <w:tc>
          <w:tcPr>
            <w:tcW w:type="dxa" w:w="1872"/>
            <w:shd w:val="clear" w:color="auto" w:fill="1F3964"/>
          </w:tcPr>
          <w:p>
            <w:pPr>
              <w:jc w:val="center"/>
            </w:pPr>
            <w:r>
              <w:rPr>
                <w:b/>
                <w:color w:val="FFFFFF"/>
                <w:sz w:val="19"/>
              </w:rPr>
              <w:t>Target (indicative)</w:t>
            </w:r>
          </w:p>
        </w:tc>
      </w:tr>
      <w:tr>
        <w:tc>
          <w:tcPr>
            <w:tcW w:type="dxa" w:w="864"/>
            <w:shd w:val="clear" w:color="auto" w:fill="F2F2F2"/>
          </w:tcPr>
          <w:p>
            <w:r>
              <w:rPr>
                <w:sz w:val="19"/>
              </w:rPr>
              <w:t>Phase 1</w:t>
            </w:r>
          </w:p>
        </w:tc>
        <w:tc>
          <w:tcPr>
            <w:tcW w:type="dxa" w:w="2016"/>
            <w:shd w:val="clear" w:color="auto" w:fill="F2F2F2"/>
          </w:tcPr>
          <w:p>
            <w:r>
              <w:rPr>
                <w:sz w:val="19"/>
              </w:rPr>
              <w:t>Foundation</w:t>
            </w:r>
          </w:p>
        </w:tc>
        <w:tc>
          <w:tcPr>
            <w:tcW w:type="dxa" w:w="4896"/>
            <w:shd w:val="clear" w:color="auto" w:fill="F2F2F2"/>
          </w:tcPr>
          <w:p>
            <w:r>
              <w:rPr>
                <w:sz w:val="19"/>
              </w:rPr>
              <w:t>Core HR (Global HR; Absence; Benefits; Journeys; Payroll Interface; AI Skills; OTBI)</w:t>
            </w:r>
          </w:p>
        </w:tc>
        <w:tc>
          <w:tcPr>
            <w:tcW w:type="dxa" w:w="1872"/>
            <w:shd w:val="clear" w:color="auto" w:fill="F2F2F2"/>
          </w:tcPr>
          <w:p>
            <w:r>
              <w:rPr>
                <w:sz w:val="19"/>
              </w:rPr>
              <w:t>Q4 2026</w:t>
            </w:r>
          </w:p>
        </w:tc>
      </w:tr>
      <w:tr>
        <w:tc>
          <w:tcPr>
            <w:tcW w:type="dxa" w:w="864"/>
            <w:shd w:val="clear" w:color="auto" w:fill="FFFFFF"/>
          </w:tcPr>
          <w:p>
            <w:r>
              <w:rPr>
                <w:sz w:val="19"/>
              </w:rPr>
              <w:t>Phase 2</w:t>
            </w:r>
          </w:p>
        </w:tc>
        <w:tc>
          <w:tcPr>
            <w:tcW w:type="dxa" w:w="2016"/>
            <w:shd w:val="clear" w:color="auto" w:fill="FFFFFF"/>
          </w:tcPr>
          <w:p>
            <w:r>
              <w:rPr>
                <w:sz w:val="19"/>
              </w:rPr>
              <w:t>Talent Acquisition</w:t>
            </w:r>
          </w:p>
        </w:tc>
        <w:tc>
          <w:tcPr>
            <w:tcW w:type="dxa" w:w="4896"/>
            <w:shd w:val="clear" w:color="auto" w:fill="FFFFFF"/>
          </w:tcPr>
          <w:p>
            <w:r>
              <w:rPr>
                <w:sz w:val="19"/>
              </w:rPr>
              <w:t>Recruiting Cloud; Recruiting Booster; Onboarding</w:t>
            </w:r>
          </w:p>
        </w:tc>
        <w:tc>
          <w:tcPr>
            <w:tcW w:type="dxa" w:w="1872"/>
            <w:shd w:val="clear" w:color="auto" w:fill="FFFFFF"/>
          </w:tcPr>
          <w:p>
            <w:r>
              <w:rPr>
                <w:sz w:val="19"/>
              </w:rPr>
              <w:t>Q1 2027</w:t>
            </w:r>
          </w:p>
        </w:tc>
      </w:tr>
      <w:tr>
        <w:tc>
          <w:tcPr>
            <w:tcW w:type="dxa" w:w="864"/>
            <w:shd w:val="clear" w:color="auto" w:fill="F2F2F2"/>
          </w:tcPr>
          <w:p>
            <w:r>
              <w:rPr>
                <w:sz w:val="19"/>
              </w:rPr>
              <w:t>Phase 3</w:t>
            </w:r>
          </w:p>
        </w:tc>
        <w:tc>
          <w:tcPr>
            <w:tcW w:type="dxa" w:w="2016"/>
            <w:shd w:val="clear" w:color="auto" w:fill="F2F2F2"/>
          </w:tcPr>
          <w:p>
            <w:r>
              <w:rPr>
                <w:sz w:val="19"/>
              </w:rPr>
              <w:t>Learning &amp; Development</w:t>
            </w:r>
          </w:p>
        </w:tc>
        <w:tc>
          <w:tcPr>
            <w:tcW w:type="dxa" w:w="4896"/>
            <w:shd w:val="clear" w:color="auto" w:fill="F2F2F2"/>
          </w:tcPr>
          <w:p>
            <w:r>
              <w:rPr>
                <w:sz w:val="19"/>
              </w:rPr>
              <w:t>Learning Cloud; Career Development; AI Skills (talent layer)</w:t>
            </w:r>
          </w:p>
        </w:tc>
        <w:tc>
          <w:tcPr>
            <w:tcW w:type="dxa" w:w="1872"/>
            <w:shd w:val="clear" w:color="auto" w:fill="F2F2F2"/>
          </w:tcPr>
          <w:p>
            <w:r>
              <w:rPr>
                <w:sz w:val="19"/>
              </w:rPr>
              <w:t>Q2 2027</w:t>
            </w:r>
          </w:p>
        </w:tc>
      </w:tr>
      <w:tr>
        <w:tc>
          <w:tcPr>
            <w:tcW w:type="dxa" w:w="864"/>
            <w:shd w:val="clear" w:color="auto" w:fill="FFFFFF"/>
          </w:tcPr>
          <w:p>
            <w:r>
              <w:rPr>
                <w:sz w:val="19"/>
              </w:rPr>
              <w:t>Phase 4</w:t>
            </w:r>
          </w:p>
        </w:tc>
        <w:tc>
          <w:tcPr>
            <w:tcW w:type="dxa" w:w="2016"/>
            <w:shd w:val="clear" w:color="auto" w:fill="FFFFFF"/>
          </w:tcPr>
          <w:p>
            <w:r>
              <w:rPr>
                <w:sz w:val="19"/>
              </w:rPr>
              <w:t>Talent Management &amp; Compensation</w:t>
            </w:r>
          </w:p>
        </w:tc>
        <w:tc>
          <w:tcPr>
            <w:tcW w:type="dxa" w:w="4896"/>
            <w:shd w:val="clear" w:color="auto" w:fill="FFFFFF"/>
          </w:tcPr>
          <w:p>
            <w:r>
              <w:rPr>
                <w:sz w:val="19"/>
              </w:rPr>
              <w:t>Talent Management Suite; Workforce Compensation; Succession Planning</w:t>
            </w:r>
          </w:p>
        </w:tc>
        <w:tc>
          <w:tcPr>
            <w:tcW w:type="dxa" w:w="1872"/>
            <w:shd w:val="clear" w:color="auto" w:fill="FFFFFF"/>
          </w:tcPr>
          <w:p>
            <w:r>
              <w:rPr>
                <w:sz w:val="19"/>
              </w:rPr>
              <w:t>Q3 2027</w:t>
            </w:r>
          </w:p>
        </w:tc>
      </w:tr>
      <w:tr>
        <w:tc>
          <w:tcPr>
            <w:tcW w:type="dxa" w:w="864"/>
            <w:shd w:val="clear" w:color="auto" w:fill="F2F2F2"/>
          </w:tcPr>
          <w:p>
            <w:r>
              <w:rPr>
                <w:sz w:val="19"/>
              </w:rPr>
              <w:t>Phase 5</w:t>
            </w:r>
          </w:p>
        </w:tc>
        <w:tc>
          <w:tcPr>
            <w:tcW w:type="dxa" w:w="2016"/>
            <w:shd w:val="clear" w:color="auto" w:fill="F2F2F2"/>
          </w:tcPr>
          <w:p>
            <w:r>
              <w:rPr>
                <w:sz w:val="19"/>
              </w:rPr>
              <w:t>Integration &amp; Optimisation</w:t>
            </w:r>
          </w:p>
        </w:tc>
        <w:tc>
          <w:tcPr>
            <w:tcW w:type="dxa" w:w="4896"/>
            <w:shd w:val="clear" w:color="auto" w:fill="F2F2F2"/>
          </w:tcPr>
          <w:p>
            <w:r>
              <w:rPr>
                <w:sz w:val="19"/>
              </w:rPr>
              <w:t>OIC integrations; downstream connectivity; analytics; steady-state handover</w:t>
            </w:r>
          </w:p>
        </w:tc>
        <w:tc>
          <w:tcPr>
            <w:tcW w:type="dxa" w:w="1872"/>
            <w:shd w:val="clear" w:color="auto" w:fill="F2F2F2"/>
          </w:tcPr>
          <w:p>
            <w:r>
              <w:rPr>
                <w:sz w:val="19"/>
              </w:rPr>
              <w:t>Q4 2027</w:t>
            </w:r>
          </w:p>
        </w:tc>
      </w:tr>
    </w:tbl>
    <w:p/>
    <w:p>
      <w:r>
        <w:rPr>
          <w:b/>
          <w:i/>
          <w:color w:val="B71C1C"/>
          <w:sz w:val="21"/>
        </w:rPr>
        <w:t>[COMMERCIAL INPUT REQUIRED — Final phase sequencing and indicative timeline to be confirmed in planning workshop with Plennegy. Dates above are indicative only.]</w:t>
      </w:r>
    </w:p>
    <w:p>
      <w:pPr>
        <w:ind w:left="360"/>
      </w:pPr>
      <w:r>
        <w:rPr>
          <w:b/>
          <w:color w:val="E65100"/>
          <w:sz w:val="19"/>
        </w:rPr>
        <w:t>▌ Status: Needs Review</w:t>
      </w:r>
      <w:r>
        <w:rPr>
          <w:sz w:val="19"/>
        </w:rPr>
        <w:t xml:space="preserve">  —  BOM confirmed from V3 proposal. Phase sequencing is indicative — confirm with Plennegy. Oracle part numbers to be verified with Oracle SA before submission.</w:t>
      </w:r>
    </w:p>
    <w:p/>
    <w:p>
      <w:r>
        <w:br w:type="page"/>
      </w:r>
    </w:p>
    <w:p>
      <w:pPr>
        <w:pStyle w:val="Heading1"/>
      </w:pPr>
      <w:r>
        <w:rPr>
          <w:color w:val="1F3964"/>
        </w:rPr>
        <w:t>6.  Functional Capability</w:t>
      </w:r>
    </w:p>
    <w:p>
      <w:pPr>
        <w:pStyle w:val="Heading2"/>
      </w:pPr>
      <w:r>
        <w:rPr>
          <w:color w:val="1F3964"/>
        </w:rPr>
        <w:t>6.1  Oracle Fusion Global HR and Core HCM (W3S1-001)</w:t>
      </w:r>
    </w:p>
    <w:p>
      <w:pPr>
        <w:spacing w:after="120" w:before="40"/>
      </w:pPr>
      <w:r>
        <w:rPr>
          <w:b w:val="0"/>
          <w:i w:val="0"/>
          <w:sz w:val="21"/>
        </w:rPr>
        <w:t>APPSolve is an Oracle Level 1 Partner with a published Oracle Fusion Cloud HCM Core expertise certification on the Oracle Partner Network. With over 23 years of Oracle consulting experience, APPSolve has built one of South Africa's most capable Oracle HCM delivery practices — combining deep functional expertise with certified OIC capability to deliver end-to-end HCM transformations.</w:t>
      </w:r>
    </w:p>
    <w:p>
      <w:pPr>
        <w:spacing w:after="120" w:before="40"/>
      </w:pPr>
      <w:r>
        <w:rPr>
          <w:b w:val="0"/>
          <w:i w:val="0"/>
          <w:sz w:val="21"/>
        </w:rPr>
        <w:t>Oracle Fusion HCM Core — Global HR — is the foundation of every APPSolve Oracle HCM engagement. APPSolve implements it first, establishing organisational structures, worker records, and the configuration framework on which all subsequent modules depend.</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Capability</w:t>
            </w:r>
          </w:p>
        </w:tc>
        <w:tc>
          <w:tcPr>
            <w:tcW w:type="dxa" w:w="6768"/>
            <w:shd w:val="clear" w:color="auto" w:fill="1F3964"/>
          </w:tcPr>
          <w:p>
            <w:pPr>
              <w:jc w:val="center"/>
            </w:pPr>
            <w:r>
              <w:rPr>
                <w:b/>
                <w:color w:val="FFFFFF"/>
                <w:sz w:val="19"/>
              </w:rPr>
              <w:t>APPSolve Implementation Scope</w:t>
            </w:r>
          </w:p>
        </w:tc>
      </w:tr>
      <w:tr>
        <w:tc>
          <w:tcPr>
            <w:tcW w:type="dxa" w:w="2880"/>
            <w:shd w:val="clear" w:color="auto" w:fill="F2F2F2"/>
          </w:tcPr>
          <w:p>
            <w:r>
              <w:rPr>
                <w:sz w:val="19"/>
              </w:rPr>
              <w:t>Worker Lifecycle Management</w:t>
            </w:r>
          </w:p>
        </w:tc>
        <w:tc>
          <w:tcPr>
            <w:tcW w:type="dxa" w:w="6768"/>
            <w:shd w:val="clear" w:color="auto" w:fill="F2F2F2"/>
          </w:tcPr>
          <w:p>
            <w:r>
              <w:rPr>
                <w:sz w:val="19"/>
              </w:rPr>
              <w:t>Hire-to-retire management; person records; employment records; work relationships; job/position management; termination and offboarding</w:t>
            </w:r>
          </w:p>
        </w:tc>
      </w:tr>
      <w:tr>
        <w:tc>
          <w:tcPr>
            <w:tcW w:type="dxa" w:w="2880"/>
            <w:shd w:val="clear" w:color="auto" w:fill="FFFFFF"/>
          </w:tcPr>
          <w:p>
            <w:r>
              <w:rPr>
                <w:sz w:val="19"/>
              </w:rPr>
              <w:t>Organisational Structures</w:t>
            </w:r>
          </w:p>
        </w:tc>
        <w:tc>
          <w:tcPr>
            <w:tcW w:type="dxa" w:w="6768"/>
            <w:shd w:val="clear" w:color="auto" w:fill="FFFFFF"/>
          </w:tcPr>
          <w:p>
            <w:r>
              <w:rPr>
                <w:sz w:val="19"/>
              </w:rPr>
              <w:t>Legislative Data Groups; Business Units; Legal Employers; Departments; Locations; Grade structures — configured for all Plennegy subsidiaries in scope</w:t>
            </w:r>
          </w:p>
        </w:tc>
      </w:tr>
      <w:tr>
        <w:tc>
          <w:tcPr>
            <w:tcW w:type="dxa" w:w="2880"/>
            <w:shd w:val="clear" w:color="auto" w:fill="F2F2F2"/>
          </w:tcPr>
          <w:p>
            <w:r>
              <w:rPr>
                <w:sz w:val="19"/>
              </w:rPr>
              <w:t>Multi-Entity Support</w:t>
            </w:r>
          </w:p>
        </w:tc>
        <w:tc>
          <w:tcPr>
            <w:tcW w:type="dxa" w:w="6768"/>
            <w:shd w:val="clear" w:color="auto" w:fill="F2F2F2"/>
          </w:tcPr>
          <w:p>
            <w:r>
              <w:rPr>
                <w:sz w:val="19"/>
              </w:rPr>
              <w:t>Single Oracle instance serves all Plennegy legal entities; subsidiary-level HR autonomy within a shared global HR framework</w:t>
            </w:r>
          </w:p>
        </w:tc>
      </w:tr>
      <w:tr>
        <w:tc>
          <w:tcPr>
            <w:tcW w:type="dxa" w:w="2880"/>
            <w:shd w:val="clear" w:color="auto" w:fill="FFFFFF"/>
          </w:tcPr>
          <w:p>
            <w:r>
              <w:rPr>
                <w:sz w:val="19"/>
              </w:rPr>
              <w:t>Absence Management</w:t>
            </w:r>
          </w:p>
        </w:tc>
        <w:tc>
          <w:tcPr>
            <w:tcW w:type="dxa" w:w="6768"/>
            <w:shd w:val="clear" w:color="auto" w:fill="FFFFFF"/>
          </w:tcPr>
          <w:p>
            <w:r>
              <w:rPr>
                <w:sz w:val="19"/>
              </w:rPr>
              <w:t>Leave type configuration; accrual rules; legislative compliance; self-service leave requests; manager approval; integration with payroll interface</w:t>
            </w:r>
          </w:p>
        </w:tc>
      </w:tr>
      <w:tr>
        <w:tc>
          <w:tcPr>
            <w:tcW w:type="dxa" w:w="2880"/>
            <w:shd w:val="clear" w:color="auto" w:fill="F2F2F2"/>
          </w:tcPr>
          <w:p>
            <w:r>
              <w:rPr>
                <w:sz w:val="19"/>
              </w:rPr>
              <w:t>Benefits Administration</w:t>
            </w:r>
          </w:p>
        </w:tc>
        <w:tc>
          <w:tcPr>
            <w:tcW w:type="dxa" w:w="6768"/>
            <w:shd w:val="clear" w:color="auto" w:fill="F2F2F2"/>
          </w:tcPr>
          <w:p>
            <w:r>
              <w:rPr>
                <w:sz w:val="19"/>
              </w:rPr>
              <w:t>Flexible benefit plan design; open enrolment; life event benefits changes; self-service portal access</w:t>
            </w:r>
          </w:p>
        </w:tc>
      </w:tr>
      <w:tr>
        <w:tc>
          <w:tcPr>
            <w:tcW w:type="dxa" w:w="2880"/>
            <w:shd w:val="clear" w:color="auto" w:fill="FFFFFF"/>
          </w:tcPr>
          <w:p>
            <w:r>
              <w:rPr>
                <w:sz w:val="19"/>
              </w:rPr>
              <w:t>Employee &amp; Manager Self-Service</w:t>
            </w:r>
          </w:p>
        </w:tc>
        <w:tc>
          <w:tcPr>
            <w:tcW w:type="dxa" w:w="6768"/>
            <w:shd w:val="clear" w:color="auto" w:fill="FFFFFF"/>
          </w:tcPr>
          <w:p>
            <w:r>
              <w:rPr>
                <w:sz w:val="19"/>
              </w:rPr>
              <w:t>Full self-service HR access via Oracle Fusion HCM Me module; mobile-ready; manager team dashboards</w:t>
            </w:r>
          </w:p>
        </w:tc>
      </w:tr>
      <w:tr>
        <w:tc>
          <w:tcPr>
            <w:tcW w:type="dxa" w:w="2880"/>
            <w:shd w:val="clear" w:color="auto" w:fill="F2F2F2"/>
          </w:tcPr>
          <w:p>
            <w:r>
              <w:rPr>
                <w:sz w:val="19"/>
              </w:rPr>
              <w:t>OTBI Analytics</w:t>
            </w:r>
          </w:p>
        </w:tc>
        <w:tc>
          <w:tcPr>
            <w:tcW w:type="dxa" w:w="6768"/>
            <w:shd w:val="clear" w:color="auto" w:fill="F2F2F2"/>
          </w:tcPr>
          <w:p>
            <w:r>
              <w:rPr>
                <w:sz w:val="19"/>
              </w:rPr>
              <w:t>Real-time HR reporting; configurable dashboards; embedded analytics across all HCM modules</w:t>
            </w:r>
          </w:p>
        </w:tc>
      </w:tr>
      <w:tr>
        <w:tc>
          <w:tcPr>
            <w:tcW w:type="dxa" w:w="2880"/>
            <w:shd w:val="clear" w:color="auto" w:fill="FFFFFF"/>
          </w:tcPr>
          <w:p>
            <w:r>
              <w:rPr>
                <w:sz w:val="19"/>
              </w:rPr>
              <w:t>Transparent Data Encryption (TDE)</w:t>
            </w:r>
          </w:p>
        </w:tc>
        <w:tc>
          <w:tcPr>
            <w:tcW w:type="dxa" w:w="6768"/>
            <w:shd w:val="clear" w:color="auto" w:fill="FFFFFF"/>
          </w:tcPr>
          <w:p>
            <w:r>
              <w:rPr>
                <w:sz w:val="19"/>
              </w:rPr>
              <w:t>Oracle-managed encryption of HCM data at rest; POPIA-supporting control</w:t>
            </w:r>
          </w:p>
        </w:tc>
      </w:tr>
    </w:tbl>
    <w:p/>
    <w:p>
      <w:pPr>
        <w:pStyle w:val="Heading2"/>
      </w:pPr>
      <w:r>
        <w:rPr>
          <w:color w:val="1F3964"/>
        </w:rPr>
        <w:t>6.2  Oracle Journeys — Employee Onboarding and Guided Workflows (W4-HCM-002)</w:t>
      </w:r>
    </w:p>
    <w:p>
      <w:pPr>
        <w:spacing w:after="120" w:before="40"/>
      </w:pPr>
      <w:r>
        <w:rPr>
          <w:b w:val="0"/>
          <w:i w:val="0"/>
          <w:sz w:val="21"/>
        </w:rPr>
        <w:t>APPSolve designs and configures Oracle Journeys — Oracle's guided employee self-service framework — to automate and standardise Plennegy's onboarding, life event, and HR process workflows across all subsidiaries. Oracle Journeys enables HR teams to build structured, personalised task checklists for employees navigating employment events.</w:t>
      </w:r>
    </w:p>
    <w:tbl>
      <w:tblPr>
        <w:tblStyle w:val="TableGrid"/>
        <w:tblW w:type="auto" w:w="0"/>
        <w:tblLook w:firstColumn="1" w:firstRow="1" w:lastColumn="0" w:lastRow="0" w:noHBand="0" w:noVBand="1" w:val="04A0"/>
      </w:tblPr>
      <w:tblGrid>
        <w:gridCol w:w="4514"/>
        <w:gridCol w:w="4514"/>
      </w:tblGrid>
      <w:tr>
        <w:tc>
          <w:tcPr>
            <w:tcW w:type="dxa" w:w="2592"/>
            <w:shd w:val="clear" w:color="auto" w:fill="1F3964"/>
          </w:tcPr>
          <w:p>
            <w:pPr>
              <w:jc w:val="center"/>
            </w:pPr>
            <w:r>
              <w:rPr>
                <w:b/>
                <w:color w:val="FFFFFF"/>
                <w:sz w:val="19"/>
              </w:rPr>
              <w:t>Journey Type</w:t>
            </w:r>
          </w:p>
        </w:tc>
        <w:tc>
          <w:tcPr>
            <w:tcW w:type="dxa" w:w="7056"/>
            <w:shd w:val="clear" w:color="auto" w:fill="1F3964"/>
          </w:tcPr>
          <w:p>
            <w:pPr>
              <w:jc w:val="center"/>
            </w:pPr>
            <w:r>
              <w:rPr>
                <w:b/>
                <w:color w:val="FFFFFF"/>
                <w:sz w:val="19"/>
              </w:rPr>
              <w:t>Plennegy Scope</w:t>
            </w:r>
          </w:p>
        </w:tc>
      </w:tr>
      <w:tr>
        <w:tc>
          <w:tcPr>
            <w:tcW w:type="dxa" w:w="2592"/>
            <w:shd w:val="clear" w:color="auto" w:fill="F2F2F2"/>
          </w:tcPr>
          <w:p>
            <w:r>
              <w:rPr>
                <w:sz w:val="19"/>
              </w:rPr>
              <w:t>Onboarding Journeys</w:t>
            </w:r>
          </w:p>
        </w:tc>
        <w:tc>
          <w:tcPr>
            <w:tcW w:type="dxa" w:w="7056"/>
            <w:shd w:val="clear" w:color="auto" w:fill="F2F2F2"/>
          </w:tcPr>
          <w:p>
            <w:r>
              <w:rPr>
                <w:sz w:val="19"/>
              </w:rPr>
              <w:t>Pre-hire task checklists; day-one welcome journeys; first 90-day guided onboarding for new employees across all Plennegy subsidiaries</w:t>
            </w:r>
          </w:p>
        </w:tc>
      </w:tr>
      <w:tr>
        <w:tc>
          <w:tcPr>
            <w:tcW w:type="dxa" w:w="2592"/>
            <w:shd w:val="clear" w:color="auto" w:fill="FFFFFF"/>
          </w:tcPr>
          <w:p>
            <w:r>
              <w:rPr>
                <w:sz w:val="19"/>
              </w:rPr>
              <w:t>Life Event Journeys</w:t>
            </w:r>
          </w:p>
        </w:tc>
        <w:tc>
          <w:tcPr>
            <w:tcW w:type="dxa" w:w="7056"/>
            <w:shd w:val="clear" w:color="auto" w:fill="FFFFFF"/>
          </w:tcPr>
          <w:p>
            <w:r>
              <w:rPr>
                <w:sz w:val="19"/>
              </w:rPr>
              <w:t>Parental leave; relocation; role changes; marriage/personal life events — structured, compliant HR workflows</w:t>
            </w:r>
          </w:p>
        </w:tc>
      </w:tr>
      <w:tr>
        <w:tc>
          <w:tcPr>
            <w:tcW w:type="dxa" w:w="2592"/>
            <w:shd w:val="clear" w:color="auto" w:fill="F2F2F2"/>
          </w:tcPr>
          <w:p>
            <w:r>
              <w:rPr>
                <w:sz w:val="19"/>
              </w:rPr>
              <w:t>Offboarding Journeys</w:t>
            </w:r>
          </w:p>
        </w:tc>
        <w:tc>
          <w:tcPr>
            <w:tcW w:type="dxa" w:w="7056"/>
            <w:shd w:val="clear" w:color="auto" w:fill="F2F2F2"/>
          </w:tcPr>
          <w:p>
            <w:r>
              <w:rPr>
                <w:sz w:val="19"/>
              </w:rPr>
              <w:t>IT access revocation triggers; equipment return checklists; exit interview task assignment; structured departure workflows</w:t>
            </w:r>
          </w:p>
        </w:tc>
      </w:tr>
      <w:tr>
        <w:tc>
          <w:tcPr>
            <w:tcW w:type="dxa" w:w="2592"/>
            <w:shd w:val="clear" w:color="auto" w:fill="FFFFFF"/>
          </w:tcPr>
          <w:p>
            <w:r>
              <w:rPr>
                <w:sz w:val="19"/>
              </w:rPr>
              <w:t>HR Process Automation</w:t>
            </w:r>
          </w:p>
        </w:tc>
        <w:tc>
          <w:tcPr>
            <w:tcW w:type="dxa" w:w="7056"/>
            <w:shd w:val="clear" w:color="auto" w:fill="FFFFFF"/>
          </w:tcPr>
          <w:p>
            <w:r>
              <w:rPr>
                <w:sz w:val="19"/>
              </w:rPr>
              <w:t>Policy acknowledgements; mandatory compliance task assignment; document submission workflows; management approval routing</w:t>
            </w:r>
          </w:p>
        </w:tc>
      </w:tr>
      <w:tr>
        <w:tc>
          <w:tcPr>
            <w:tcW w:type="dxa" w:w="2592"/>
            <w:shd w:val="clear" w:color="auto" w:fill="F2F2F2"/>
          </w:tcPr>
          <w:p>
            <w:r>
              <w:rPr>
                <w:sz w:val="19"/>
              </w:rPr>
              <w:t>Personalised Employee Experience</w:t>
            </w:r>
          </w:p>
        </w:tc>
        <w:tc>
          <w:tcPr>
            <w:tcW w:type="dxa" w:w="7056"/>
            <w:shd w:val="clear" w:color="auto" w:fill="F2F2F2"/>
          </w:tcPr>
          <w:p>
            <w:r>
              <w:rPr>
                <w:sz w:val="19"/>
              </w:rPr>
              <w:t>Audience-specific journeys — different content for seasonal workers, agricultural technicians, and corporate staff</w:t>
            </w:r>
          </w:p>
        </w:tc>
      </w:tr>
    </w:tbl>
    <w:p/>
    <w:p>
      <w:pPr>
        <w:pStyle w:val="Heading2"/>
      </w:pPr>
      <w:r>
        <w:rPr>
          <w:color w:val="1F3964"/>
        </w:rPr>
        <w:t>6.3  Oracle AI-Based Dynamic Skills (W4-AI-002)</w:t>
      </w:r>
    </w:p>
    <w:p>
      <w:pPr>
        <w:spacing w:after="120" w:before="40"/>
      </w:pPr>
      <w:r>
        <w:rPr>
          <w:b w:val="0"/>
          <w:i w:val="0"/>
          <w:sz w:val="21"/>
        </w:rPr>
        <w:t>Oracle AI-Based Skills Intelligence is included within the HCM Base licence (B85800) and enabled by APPSolve as part of the Core HR implementation. The platform builds dynamic, AI-maintained employee skills profiles across Plennegy's 4,000-person workforce — supporting internal mobility, talent matching, and personalised development planning.</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Capability</w:t>
            </w:r>
          </w:p>
        </w:tc>
        <w:tc>
          <w:tcPr>
            <w:tcW w:type="dxa" w:w="6768"/>
            <w:shd w:val="clear" w:color="auto" w:fill="1F3964"/>
          </w:tcPr>
          <w:p>
            <w:pPr>
              <w:jc w:val="center"/>
            </w:pPr>
            <w:r>
              <w:rPr>
                <w:b/>
                <w:color w:val="FFFFFF"/>
                <w:sz w:val="19"/>
              </w:rPr>
              <w:t>Plennegy Value</w:t>
            </w:r>
          </w:p>
        </w:tc>
      </w:tr>
      <w:tr>
        <w:tc>
          <w:tcPr>
            <w:tcW w:type="dxa" w:w="2880"/>
            <w:shd w:val="clear" w:color="auto" w:fill="F2F2F2"/>
          </w:tcPr>
          <w:p>
            <w:r>
              <w:rPr>
                <w:sz w:val="19"/>
              </w:rPr>
              <w:t>Dynamic Skills Profiles</w:t>
            </w:r>
          </w:p>
        </w:tc>
        <w:tc>
          <w:tcPr>
            <w:tcW w:type="dxa" w:w="6768"/>
            <w:shd w:val="clear" w:color="auto" w:fill="F2F2F2"/>
          </w:tcPr>
          <w:p>
            <w:r>
              <w:rPr>
                <w:sz w:val="19"/>
              </w:rPr>
              <w:t>AI-inferred and continuously updated employee skills profiles, derived from job history, performance, learning completions, and role data</w:t>
            </w:r>
          </w:p>
        </w:tc>
      </w:tr>
      <w:tr>
        <w:tc>
          <w:tcPr>
            <w:tcW w:type="dxa" w:w="2880"/>
            <w:shd w:val="clear" w:color="auto" w:fill="FFFFFF"/>
          </w:tcPr>
          <w:p>
            <w:r>
              <w:rPr>
                <w:sz w:val="19"/>
              </w:rPr>
              <w:t>Skills Gap Analysis</w:t>
            </w:r>
          </w:p>
        </w:tc>
        <w:tc>
          <w:tcPr>
            <w:tcW w:type="dxa" w:w="6768"/>
            <w:shd w:val="clear" w:color="auto" w:fill="FFFFFF"/>
          </w:tcPr>
          <w:p>
            <w:r>
              <w:rPr>
                <w:sz w:val="19"/>
              </w:rPr>
              <w:t>Organisation-wide skills gap visibility against role profiles — supports Plennegy's workforce planning and talent development strategy</w:t>
            </w:r>
          </w:p>
        </w:tc>
      </w:tr>
      <w:tr>
        <w:tc>
          <w:tcPr>
            <w:tcW w:type="dxa" w:w="2880"/>
            <w:shd w:val="clear" w:color="auto" w:fill="F2F2F2"/>
          </w:tcPr>
          <w:p>
            <w:r>
              <w:rPr>
                <w:sz w:val="19"/>
              </w:rPr>
              <w:t>AI-Powered Job Recommendations</w:t>
            </w:r>
          </w:p>
        </w:tc>
        <w:tc>
          <w:tcPr>
            <w:tcW w:type="dxa" w:w="6768"/>
            <w:shd w:val="clear" w:color="auto" w:fill="F2F2F2"/>
          </w:tcPr>
          <w:p>
            <w:r>
              <w:rPr>
                <w:sz w:val="19"/>
              </w:rPr>
              <w:t>AI suggests internal opportunities and career pathways based on individual skills — supporting internal mobility across Plennegy subsidiaries</w:t>
            </w:r>
          </w:p>
        </w:tc>
      </w:tr>
      <w:tr>
        <w:tc>
          <w:tcPr>
            <w:tcW w:type="dxa" w:w="2880"/>
            <w:shd w:val="clear" w:color="auto" w:fill="FFFFFF"/>
          </w:tcPr>
          <w:p>
            <w:r>
              <w:rPr>
                <w:sz w:val="19"/>
              </w:rPr>
              <w:t>Skills Taxonomy Management</w:t>
            </w:r>
          </w:p>
        </w:tc>
        <w:tc>
          <w:tcPr>
            <w:tcW w:type="dxa" w:w="6768"/>
            <w:shd w:val="clear" w:color="auto" w:fill="FFFFFF"/>
          </w:tcPr>
          <w:p>
            <w:r>
              <w:rPr>
                <w:sz w:val="19"/>
              </w:rPr>
              <w:t>APPSolve configures Oracle's global skills library to Plennegy's role taxonomy — covering agricultural, technical, distribution, and corporate skill domains</w:t>
            </w:r>
          </w:p>
        </w:tc>
      </w:tr>
      <w:tr>
        <w:tc>
          <w:tcPr>
            <w:tcW w:type="dxa" w:w="2880"/>
            <w:shd w:val="clear" w:color="auto" w:fill="F2F2F2"/>
          </w:tcPr>
          <w:p>
            <w:r>
              <w:rPr>
                <w:sz w:val="19"/>
              </w:rPr>
              <w:t>Learning Integration</w:t>
            </w:r>
          </w:p>
        </w:tc>
        <w:tc>
          <w:tcPr>
            <w:tcW w:type="dxa" w:w="6768"/>
            <w:shd w:val="clear" w:color="auto" w:fill="F2F2F2"/>
          </w:tcPr>
          <w:p>
            <w:r>
              <w:rPr>
                <w:sz w:val="19"/>
              </w:rPr>
              <w:t>AI Skills integrated with Oracle Learning Cloud — personalised learning pathway recommendations aligned to skills gaps and career targets</w:t>
            </w:r>
          </w:p>
        </w:tc>
      </w:tr>
    </w:tbl>
    <w:p/>
    <w:p>
      <w:pPr>
        <w:pStyle w:val="Heading2"/>
      </w:pPr>
      <w:r>
        <w:rPr>
          <w:color w:val="1F3964"/>
        </w:rPr>
        <w:t>6.4  Oracle Fusion Recruiting Cloud (W3S1-003)</w:t>
      </w:r>
    </w:p>
    <w:p>
      <w:pPr>
        <w:spacing w:after="120" w:before="40"/>
      </w:pPr>
      <w:r>
        <w:rPr>
          <w:b w:val="0"/>
          <w:i w:val="0"/>
          <w:sz w:val="21"/>
        </w:rPr>
        <w:t>APPSolve implements Oracle Fusion Recruiting Cloud to enable Plennegy to attract, evaluate, and hire talent through a modern, AI-powered talent acquisition platform natively integrated with Oracle Fusion HCM. APPSolve has implemented Oracle Fusion Recruiting Cloud for a large South African enterprise (7,000 users, go-live July 2025), encompassing career site design, vacancy management, candidate selection, screening, interview management, offer management, and structured onboarding.</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Capability</w:t>
            </w:r>
          </w:p>
        </w:tc>
        <w:tc>
          <w:tcPr>
            <w:tcW w:type="dxa" w:w="6768"/>
            <w:shd w:val="clear" w:color="auto" w:fill="1F3964"/>
          </w:tcPr>
          <w:p>
            <w:pPr>
              <w:jc w:val="center"/>
            </w:pPr>
            <w:r>
              <w:rPr>
                <w:b/>
                <w:color w:val="FFFFFF"/>
                <w:sz w:val="19"/>
              </w:rPr>
              <w:t>Plennegy Configuration Scope</w:t>
            </w:r>
          </w:p>
        </w:tc>
      </w:tr>
      <w:tr>
        <w:tc>
          <w:tcPr>
            <w:tcW w:type="dxa" w:w="2880"/>
            <w:shd w:val="clear" w:color="auto" w:fill="F2F2F2"/>
          </w:tcPr>
          <w:p>
            <w:r>
              <w:rPr>
                <w:sz w:val="19"/>
              </w:rPr>
              <w:t>Career Sites</w:t>
            </w:r>
          </w:p>
        </w:tc>
        <w:tc>
          <w:tcPr>
            <w:tcW w:type="dxa" w:w="6768"/>
            <w:shd w:val="clear" w:color="auto" w:fill="F2F2F2"/>
          </w:tcPr>
          <w:p>
            <w:r>
              <w:rPr>
                <w:sz w:val="19"/>
              </w:rPr>
              <w:t>2 external career sites (LinkedIn; PNet); 1 internal career site (including employee referral); 1 agency portal — per Plennegy assumptions</w:t>
            </w:r>
          </w:p>
        </w:tc>
      </w:tr>
      <w:tr>
        <w:tc>
          <w:tcPr>
            <w:tcW w:type="dxa" w:w="2880"/>
            <w:shd w:val="clear" w:color="auto" w:fill="FFFFFF"/>
          </w:tcPr>
          <w:p>
            <w:r>
              <w:rPr>
                <w:sz w:val="19"/>
              </w:rPr>
              <w:t>Job Requisition Management</w:t>
            </w:r>
          </w:p>
        </w:tc>
        <w:tc>
          <w:tcPr>
            <w:tcW w:type="dxa" w:w="6768"/>
            <w:shd w:val="clear" w:color="auto" w:fill="FFFFFF"/>
          </w:tcPr>
          <w:p>
            <w:r>
              <w:rPr>
                <w:sz w:val="19"/>
              </w:rPr>
              <w:t>Requisition templates; approval workflows; automatic posting to multiple job boards</w:t>
            </w:r>
          </w:p>
        </w:tc>
      </w:tr>
      <w:tr>
        <w:tc>
          <w:tcPr>
            <w:tcW w:type="dxa" w:w="2880"/>
            <w:shd w:val="clear" w:color="auto" w:fill="F2F2F2"/>
          </w:tcPr>
          <w:p>
            <w:r>
              <w:rPr>
                <w:sz w:val="19"/>
              </w:rPr>
              <w:t>AI-Powered Screening</w:t>
            </w:r>
          </w:p>
        </w:tc>
        <w:tc>
          <w:tcPr>
            <w:tcW w:type="dxa" w:w="6768"/>
            <w:shd w:val="clear" w:color="auto" w:fill="F2F2F2"/>
          </w:tcPr>
          <w:p>
            <w:r>
              <w:rPr>
                <w:sz w:val="19"/>
              </w:rPr>
              <w:t>Automated resume screening and candidate ranking; AI-driven job matching; structured interview coordination</w:t>
            </w:r>
          </w:p>
        </w:tc>
      </w:tr>
      <w:tr>
        <w:tc>
          <w:tcPr>
            <w:tcW w:type="dxa" w:w="2880"/>
            <w:shd w:val="clear" w:color="auto" w:fill="FFFFFF"/>
          </w:tcPr>
          <w:p>
            <w:r>
              <w:rPr>
                <w:sz w:val="19"/>
              </w:rPr>
              <w:t>Candidate Experience</w:t>
            </w:r>
          </w:p>
        </w:tc>
        <w:tc>
          <w:tcPr>
            <w:tcW w:type="dxa" w:w="6768"/>
            <w:shd w:val="clear" w:color="auto" w:fill="FFFFFF"/>
          </w:tcPr>
          <w:p>
            <w:r>
              <w:rPr>
                <w:sz w:val="19"/>
              </w:rPr>
              <w:t>Mobile-friendly application process; two-way candidate communication; branded Plennegy career pages</w:t>
            </w:r>
          </w:p>
        </w:tc>
      </w:tr>
      <w:tr>
        <w:tc>
          <w:tcPr>
            <w:tcW w:type="dxa" w:w="2880"/>
            <w:shd w:val="clear" w:color="auto" w:fill="F2F2F2"/>
          </w:tcPr>
          <w:p>
            <w:r>
              <w:rPr>
                <w:sz w:val="19"/>
              </w:rPr>
              <w:t>Offer Management</w:t>
            </w:r>
          </w:p>
        </w:tc>
        <w:tc>
          <w:tcPr>
            <w:tcW w:type="dxa" w:w="6768"/>
            <w:shd w:val="clear" w:color="auto" w:fill="F2F2F2"/>
          </w:tcPr>
          <w:p>
            <w:r>
              <w:rPr>
                <w:sz w:val="19"/>
              </w:rPr>
              <w:t>Offer generation using branded templates; multi-level approval; digital signature integration</w:t>
            </w:r>
          </w:p>
        </w:tc>
      </w:tr>
      <w:tr>
        <w:tc>
          <w:tcPr>
            <w:tcW w:type="dxa" w:w="2880"/>
            <w:shd w:val="clear" w:color="auto" w:fill="FFFFFF"/>
          </w:tcPr>
          <w:p>
            <w:r>
              <w:rPr>
                <w:sz w:val="19"/>
              </w:rPr>
              <w:t>Onboarding Integration</w:t>
            </w:r>
          </w:p>
        </w:tc>
        <w:tc>
          <w:tcPr>
            <w:tcW w:type="dxa" w:w="6768"/>
            <w:shd w:val="clear" w:color="auto" w:fill="FFFFFF"/>
          </w:tcPr>
          <w:p>
            <w:r>
              <w:rPr>
                <w:sz w:val="19"/>
              </w:rPr>
              <w:t>Seamless transition from hired candidate to Oracle HCM employee record; structured pre-hire and new-hire onboarding journeys via Oracle Journeys</w:t>
            </w:r>
          </w:p>
        </w:tc>
      </w:tr>
      <w:tr>
        <w:tc>
          <w:tcPr>
            <w:tcW w:type="dxa" w:w="2880"/>
            <w:shd w:val="clear" w:color="auto" w:fill="F2F2F2"/>
          </w:tcPr>
          <w:p>
            <w:r>
              <w:rPr>
                <w:sz w:val="19"/>
              </w:rPr>
              <w:t>Analytics</w:t>
            </w:r>
          </w:p>
        </w:tc>
        <w:tc>
          <w:tcPr>
            <w:tcW w:type="dxa" w:w="6768"/>
            <w:shd w:val="clear" w:color="auto" w:fill="F2F2F2"/>
          </w:tcPr>
          <w:p>
            <w:r>
              <w:rPr>
                <w:sz w:val="19"/>
              </w:rPr>
              <w:t>Time-to-hire; source effectiveness; pipeline health; diversity reporting — via Oracle Recruiting Administration dashboards</w:t>
            </w:r>
          </w:p>
        </w:tc>
      </w:tr>
    </w:tbl>
    <w:p/>
    <w:p>
      <w:pPr>
        <w:pStyle w:val="Heading2"/>
      </w:pPr>
      <w:r>
        <w:rPr>
          <w:color w:val="1F3964"/>
        </w:rPr>
        <w:t>6.5  Oracle Recruiting Booster (Supplementary Capability)</w:t>
      </w:r>
    </w:p>
    <w:p>
      <w:pPr>
        <w:spacing w:after="120" w:before="40"/>
      </w:pPr>
      <w:r>
        <w:rPr>
          <w:b w:val="0"/>
          <w:i w:val="0"/>
          <w:sz w:val="21"/>
        </w:rPr>
        <w:t>Oracle Recruiting Booster (B95763) extends Oracle Fusion Recruiting Cloud with advanced candidate engagement, interview automation, and AI-assisted recruiting tools. Booster is a native extension that operates within Oracle Recruiting — not a separate platform.</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Booster Feature</w:t>
            </w:r>
          </w:p>
        </w:tc>
        <w:tc>
          <w:tcPr>
            <w:tcW w:type="dxa" w:w="6480"/>
            <w:shd w:val="clear" w:color="auto" w:fill="1F3964"/>
          </w:tcPr>
          <w:p>
            <w:pPr>
              <w:jc w:val="center"/>
            </w:pPr>
            <w:r>
              <w:rPr>
                <w:b/>
                <w:color w:val="FFFFFF"/>
                <w:sz w:val="19"/>
              </w:rPr>
              <w:t>Plennegy Capability</w:t>
            </w:r>
          </w:p>
        </w:tc>
      </w:tr>
      <w:tr>
        <w:tc>
          <w:tcPr>
            <w:tcW w:type="dxa" w:w="3168"/>
            <w:shd w:val="clear" w:color="auto" w:fill="F2F2F2"/>
          </w:tcPr>
          <w:p>
            <w:r>
              <w:rPr>
                <w:sz w:val="19"/>
              </w:rPr>
              <w:t>Two-Way Messaging</w:t>
            </w:r>
          </w:p>
        </w:tc>
        <w:tc>
          <w:tcPr>
            <w:tcW w:type="dxa" w:w="6480"/>
            <w:shd w:val="clear" w:color="auto" w:fill="F2F2F2"/>
          </w:tcPr>
          <w:p>
            <w:r>
              <w:rPr>
                <w:sz w:val="19"/>
              </w:rPr>
              <w:t>SMS and email-based two-way communication between recruiters and candidates; communications tracked within Oracle Recruiting; supports bulk messaging across candidate pools</w:t>
            </w:r>
          </w:p>
        </w:tc>
      </w:tr>
      <w:tr>
        <w:tc>
          <w:tcPr>
            <w:tcW w:type="dxa" w:w="3168"/>
            <w:shd w:val="clear" w:color="auto" w:fill="FFFFFF"/>
          </w:tcPr>
          <w:p>
            <w:r>
              <w:rPr>
                <w:sz w:val="19"/>
              </w:rPr>
              <w:t>Advanced Interview Scheduling</w:t>
            </w:r>
          </w:p>
        </w:tc>
        <w:tc>
          <w:tcPr>
            <w:tcW w:type="dxa" w:w="6480"/>
            <w:shd w:val="clear" w:color="auto" w:fill="FFFFFF"/>
          </w:tcPr>
          <w:p>
            <w:r>
              <w:rPr>
                <w:sz w:val="19"/>
              </w:rPr>
              <w:t>Automated interview scheduling with calendar sync (Microsoft 365 / Outlook); centralized interview management visibility across all Plennegy recruiting teams</w:t>
            </w:r>
          </w:p>
        </w:tc>
      </w:tr>
      <w:tr>
        <w:tc>
          <w:tcPr>
            <w:tcW w:type="dxa" w:w="3168"/>
            <w:shd w:val="clear" w:color="auto" w:fill="F2F2F2"/>
          </w:tcPr>
          <w:p>
            <w:r>
              <w:rPr>
                <w:sz w:val="19"/>
              </w:rPr>
              <w:t>Hiring Event Management</w:t>
            </w:r>
          </w:p>
        </w:tc>
        <w:tc>
          <w:tcPr>
            <w:tcW w:type="dxa" w:w="6480"/>
            <w:shd w:val="clear" w:color="auto" w:fill="F2F2F2"/>
          </w:tcPr>
          <w:p>
            <w:r>
              <w:rPr>
                <w:sz w:val="19"/>
              </w:rPr>
              <w:t>Create and promote open roles and recruitment events directly within Oracle Recruiting; registration pages; prescreening questionnaires; attendance tracking</w:t>
            </w:r>
          </w:p>
        </w:tc>
      </w:tr>
      <w:tr>
        <w:tc>
          <w:tcPr>
            <w:tcW w:type="dxa" w:w="3168"/>
            <w:shd w:val="clear" w:color="auto" w:fill="FFFFFF"/>
          </w:tcPr>
          <w:p>
            <w:r>
              <w:rPr>
                <w:sz w:val="19"/>
              </w:rPr>
              <w:t>Oracle Digital Assistant (Chatbot)</w:t>
            </w:r>
          </w:p>
        </w:tc>
        <w:tc>
          <w:tcPr>
            <w:tcW w:type="dxa" w:w="6480"/>
            <w:shd w:val="clear" w:color="auto" w:fill="FFFFFF"/>
          </w:tcPr>
          <w:p>
            <w:r>
              <w:rPr>
                <w:sz w:val="19"/>
              </w:rPr>
              <w:t>Conversational AI enabling candidates to search jobs, get AI-powered recommendations, complete applications, and view interview schedules via chatbot</w:t>
            </w:r>
          </w:p>
        </w:tc>
      </w:tr>
      <w:tr>
        <w:tc>
          <w:tcPr>
            <w:tcW w:type="dxa" w:w="3168"/>
            <w:shd w:val="clear" w:color="auto" w:fill="F2F2F2"/>
          </w:tcPr>
          <w:p>
            <w:r>
              <w:rPr>
                <w:sz w:val="19"/>
              </w:rPr>
              <w:t>AI-Assisted Requisition Creation</w:t>
            </w:r>
          </w:p>
        </w:tc>
        <w:tc>
          <w:tcPr>
            <w:tcW w:type="dxa" w:w="6480"/>
            <w:shd w:val="clear" w:color="auto" w:fill="F2F2F2"/>
          </w:tcPr>
          <w:p>
            <w:r>
              <w:rPr>
                <w:sz w:val="19"/>
              </w:rPr>
              <w:t>AI Agent support for drafting job requisitions and generating engaging job descriptions; Direct Apply integration with LinkedIn</w:t>
            </w:r>
          </w:p>
        </w:tc>
      </w:tr>
      <w:tr>
        <w:tc>
          <w:tcPr>
            <w:tcW w:type="dxa" w:w="3168"/>
            <w:shd w:val="clear" w:color="auto" w:fill="FFFFFF"/>
          </w:tcPr>
          <w:p>
            <w:r>
              <w:rPr>
                <w:sz w:val="19"/>
              </w:rPr>
              <w:t>Branded Career Sites</w:t>
            </w:r>
          </w:p>
        </w:tc>
        <w:tc>
          <w:tcPr>
            <w:tcW w:type="dxa" w:w="6480"/>
            <w:shd w:val="clear" w:color="auto" w:fill="FFFFFF"/>
          </w:tcPr>
          <w:p>
            <w:r>
              <w:rPr>
                <w:sz w:val="19"/>
              </w:rPr>
              <w:t>Built-in design tools for branded, mobile-responsive career sites; segment-specific content for seasonal agricultural roles, technical positions, and corporate roles</w:t>
            </w:r>
          </w:p>
        </w:tc>
      </w:tr>
    </w:tbl>
    <w:p/>
    <w:p>
      <w:r>
        <w:rPr>
          <w:b/>
          <w:i/>
          <w:color w:val="B71C1C"/>
          <w:sz w:val="21"/>
        </w:rPr>
        <w:t>[NEEDS REVIEW — Recruiting Booster section sourced from Oracle product documentation supplemented by W3S1-003. No dedicated KB asset for Booster. BU Lead to review this section before submission.]</w:t>
      </w:r>
    </w:p>
    <w:p>
      <w:pPr>
        <w:pStyle w:val="Heading2"/>
      </w:pPr>
      <w:r>
        <w:rPr>
          <w:color w:val="1F3964"/>
        </w:rPr>
        <w:t>6.6  Oracle Fusion Learning Cloud (W3S1-004)</w:t>
      </w:r>
    </w:p>
    <w:p>
      <w:pPr>
        <w:spacing w:after="120" w:before="40"/>
      </w:pPr>
      <w:r>
        <w:rPr>
          <w:b w:val="0"/>
          <w:i w:val="0"/>
          <w:sz w:val="21"/>
        </w:rPr>
        <w:t>APPSolve implements Oracle Fusion Learning Cloud to enable Plennegy to train, develop, and upskill 1,700 employees (named users) through a modern, AI-enabled learning management system natively integrated with Oracle Fusion HCM.</w:t>
      </w:r>
    </w:p>
    <w:p>
      <w:pPr>
        <w:spacing w:after="120" w:before="40"/>
      </w:pPr>
      <w:r>
        <w:rPr>
          <w:b w:val="0"/>
          <w:i w:val="0"/>
          <w:sz w:val="21"/>
        </w:rPr>
        <w:t>APPSolve has implemented Oracle Fusion Learning Cloud for Mr Price Group, one of South Africa's largest retail groups, and provides ongoing Oracle HCM support for the client.</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Capability</w:t>
            </w:r>
          </w:p>
        </w:tc>
        <w:tc>
          <w:tcPr>
            <w:tcW w:type="dxa" w:w="6480"/>
            <w:shd w:val="clear" w:color="auto" w:fill="1F3964"/>
          </w:tcPr>
          <w:p>
            <w:pPr>
              <w:jc w:val="center"/>
            </w:pPr>
            <w:r>
              <w:rPr>
                <w:b/>
                <w:color w:val="FFFFFF"/>
                <w:sz w:val="19"/>
              </w:rPr>
              <w:t>Plennegy Scope</w:t>
            </w:r>
          </w:p>
        </w:tc>
      </w:tr>
      <w:tr>
        <w:tc>
          <w:tcPr>
            <w:tcW w:type="dxa" w:w="3168"/>
            <w:shd w:val="clear" w:color="auto" w:fill="F2F2F2"/>
          </w:tcPr>
          <w:p>
            <w:r>
              <w:rPr>
                <w:sz w:val="19"/>
              </w:rPr>
              <w:t>Learning Administration Framework</w:t>
            </w:r>
          </w:p>
        </w:tc>
        <w:tc>
          <w:tcPr>
            <w:tcW w:type="dxa" w:w="6480"/>
            <w:shd w:val="clear" w:color="auto" w:fill="F2F2F2"/>
          </w:tcPr>
          <w:p>
            <w:r>
              <w:rPr>
                <w:sz w:val="19"/>
              </w:rPr>
              <w:t>Course catalogue structure; learning community setup; content type configuration (SCORM/AICC/PDF/video); compliance training automation; certification tracking</w:t>
            </w:r>
          </w:p>
        </w:tc>
      </w:tr>
      <w:tr>
        <w:tc>
          <w:tcPr>
            <w:tcW w:type="dxa" w:w="3168"/>
            <w:shd w:val="clear" w:color="auto" w:fill="FFFFFF"/>
          </w:tcPr>
          <w:p>
            <w:r>
              <w:rPr>
                <w:sz w:val="19"/>
              </w:rPr>
              <w:t>Personalised AI Learning</w:t>
            </w:r>
          </w:p>
        </w:tc>
        <w:tc>
          <w:tcPr>
            <w:tcW w:type="dxa" w:w="6480"/>
            <w:shd w:val="clear" w:color="auto" w:fill="FFFFFF"/>
          </w:tcPr>
          <w:p>
            <w:r>
              <w:rPr>
                <w:sz w:val="19"/>
              </w:rPr>
              <w:t>AI-driven personalised learning recommendations based on employee role, skills, and career goals</w:t>
            </w:r>
          </w:p>
        </w:tc>
      </w:tr>
      <w:tr>
        <w:tc>
          <w:tcPr>
            <w:tcW w:type="dxa" w:w="3168"/>
            <w:shd w:val="clear" w:color="auto" w:fill="F2F2F2"/>
          </w:tcPr>
          <w:p>
            <w:r>
              <w:rPr>
                <w:sz w:val="19"/>
              </w:rPr>
              <w:t>Compliance Training</w:t>
            </w:r>
          </w:p>
        </w:tc>
        <w:tc>
          <w:tcPr>
            <w:tcW w:type="dxa" w:w="6480"/>
            <w:shd w:val="clear" w:color="auto" w:fill="F2F2F2"/>
          </w:tcPr>
          <w:p>
            <w:r>
              <w:rPr>
                <w:sz w:val="19"/>
              </w:rPr>
              <w:t>Automated mandatory training assignment and completion tracking — confirmed APPSolve standard implementation deliverable</w:t>
            </w:r>
          </w:p>
        </w:tc>
      </w:tr>
      <w:tr>
        <w:tc>
          <w:tcPr>
            <w:tcW w:type="dxa" w:w="3168"/>
            <w:shd w:val="clear" w:color="auto" w:fill="FFFFFF"/>
          </w:tcPr>
          <w:p>
            <w:r>
              <w:rPr>
                <w:sz w:val="19"/>
              </w:rPr>
              <w:t>Certification Management</w:t>
            </w:r>
          </w:p>
        </w:tc>
        <w:tc>
          <w:tcPr>
            <w:tcW w:type="dxa" w:w="6480"/>
            <w:shd w:val="clear" w:color="auto" w:fill="FFFFFF"/>
          </w:tcPr>
          <w:p>
            <w:r>
              <w:rPr>
                <w:sz w:val="19"/>
              </w:rPr>
              <w:t>Certificate issuance and expiry tracking; recertification automation — supports Plennegy's training compliance requirements</w:t>
            </w:r>
          </w:p>
        </w:tc>
      </w:tr>
      <w:tr>
        <w:tc>
          <w:tcPr>
            <w:tcW w:type="dxa" w:w="3168"/>
            <w:shd w:val="clear" w:color="auto" w:fill="F2F2F2"/>
          </w:tcPr>
          <w:p>
            <w:r>
              <w:rPr>
                <w:sz w:val="19"/>
              </w:rPr>
              <w:t>SETA / WSP / ATR Statutory Support</w:t>
            </w:r>
          </w:p>
        </w:tc>
        <w:tc>
          <w:tcPr>
            <w:tcW w:type="dxa" w:w="6480"/>
            <w:shd w:val="clear" w:color="auto" w:fill="F2F2F2"/>
          </w:tcPr>
          <w:p>
            <w:r>
              <w:rPr>
                <w:sz w:val="19"/>
              </w:rPr>
              <w:t>Legislative reporting supported via structured data extract that Plennegy's learning administrator can use to populate ATR and WSP submissions</w:t>
            </w:r>
          </w:p>
        </w:tc>
      </w:tr>
      <w:tr>
        <w:tc>
          <w:tcPr>
            <w:tcW w:type="dxa" w:w="3168"/>
            <w:shd w:val="clear" w:color="auto" w:fill="FFFFFF"/>
          </w:tcPr>
          <w:p>
            <w:r>
              <w:rPr>
                <w:sz w:val="19"/>
              </w:rPr>
              <w:t>Third-Party Integration</w:t>
            </w:r>
          </w:p>
        </w:tc>
        <w:tc>
          <w:tcPr>
            <w:tcW w:type="dxa" w:w="6480"/>
            <w:shd w:val="clear" w:color="auto" w:fill="FFFFFF"/>
          </w:tcPr>
          <w:p>
            <w:r>
              <w:rPr>
                <w:sz w:val="19"/>
              </w:rPr>
              <w:t>Integration with Moodle, Skillstown, and one additional system (subject to scoping confirmation); additional integrations costed separately</w:t>
            </w:r>
          </w:p>
        </w:tc>
      </w:tr>
      <w:tr>
        <w:tc>
          <w:tcPr>
            <w:tcW w:type="dxa" w:w="3168"/>
            <w:shd w:val="clear" w:color="auto" w:fill="F2F2F2"/>
          </w:tcPr>
          <w:p>
            <w:r>
              <w:rPr>
                <w:sz w:val="19"/>
              </w:rPr>
              <w:t>Social Learning</w:t>
            </w:r>
          </w:p>
        </w:tc>
        <w:tc>
          <w:tcPr>
            <w:tcW w:type="dxa" w:w="6480"/>
            <w:shd w:val="clear" w:color="auto" w:fill="F2F2F2"/>
          </w:tcPr>
          <w:p>
            <w:r>
              <w:rPr>
                <w:sz w:val="19"/>
              </w:rPr>
              <w:t>Peer-to-peer learning; discussion forums; user-generated content sharing; social engagement features</w:t>
            </w:r>
          </w:p>
        </w:tc>
      </w:tr>
      <w:tr>
        <w:tc>
          <w:tcPr>
            <w:tcW w:type="dxa" w:w="3168"/>
            <w:shd w:val="clear" w:color="auto" w:fill="FFFFFF"/>
          </w:tcPr>
          <w:p>
            <w:r>
              <w:rPr>
                <w:sz w:val="19"/>
              </w:rPr>
              <w:t>Mobile Learning</w:t>
            </w:r>
          </w:p>
        </w:tc>
        <w:tc>
          <w:tcPr>
            <w:tcW w:type="dxa" w:w="6480"/>
            <w:shd w:val="clear" w:color="auto" w:fill="FFFFFF"/>
          </w:tcPr>
          <w:p>
            <w:r>
              <w:rPr>
                <w:sz w:val="19"/>
              </w:rPr>
              <w:t>Mobile-responsive learning platform; employees access content from any device, location, or operating model</w:t>
            </w:r>
          </w:p>
        </w:tc>
      </w:tr>
    </w:tbl>
    <w:p/>
    <w:p>
      <w:pPr>
        <w:pStyle w:val="Heading2"/>
      </w:pPr>
      <w:r>
        <w:rPr>
          <w:color w:val="1F3964"/>
        </w:rPr>
        <w:t>6.7  Oracle Fusion Talent Management Suite (W3S1-002)</w:t>
      </w:r>
    </w:p>
    <w:p>
      <w:pPr>
        <w:spacing w:after="120" w:before="40"/>
      </w:pPr>
      <w:r>
        <w:rPr>
          <w:b w:val="0"/>
          <w:i w:val="0"/>
          <w:sz w:val="21"/>
        </w:rPr>
        <w:t>APPSolve implements the Oracle Fusion Talent Management suite as a cohesive capability for 1,700 named users — ensuring that talent data, performance outcomes, succession decisions, and development plans are connected and mutually reinforcing. APPSolve has experience implementing Oracle Fusion Talent Management capabilities for a large enterprise client (live July 2025).</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Module</w:t>
            </w:r>
          </w:p>
        </w:tc>
        <w:tc>
          <w:tcPr>
            <w:tcW w:type="dxa" w:w="6768"/>
            <w:shd w:val="clear" w:color="auto" w:fill="1F3964"/>
          </w:tcPr>
          <w:p>
            <w:pPr>
              <w:jc w:val="center"/>
            </w:pPr>
            <w:r>
              <w:rPr>
                <w:b/>
                <w:color w:val="FFFFFF"/>
                <w:sz w:val="19"/>
              </w:rPr>
              <w:t>Plennegy Configuration Scope</w:t>
            </w:r>
          </w:p>
        </w:tc>
      </w:tr>
      <w:tr>
        <w:tc>
          <w:tcPr>
            <w:tcW w:type="dxa" w:w="2880"/>
            <w:shd w:val="clear" w:color="auto" w:fill="F2F2F2"/>
          </w:tcPr>
          <w:p>
            <w:r>
              <w:rPr>
                <w:sz w:val="19"/>
              </w:rPr>
              <w:t>Talent Profiles</w:t>
            </w:r>
          </w:p>
        </w:tc>
        <w:tc>
          <w:tcPr>
            <w:tcW w:type="dxa" w:w="6768"/>
            <w:shd w:val="clear" w:color="auto" w:fill="F2F2F2"/>
          </w:tcPr>
          <w:p>
            <w:r>
              <w:rPr>
                <w:sz w:val="19"/>
              </w:rPr>
              <w:t>Role-to-skill mappings; employee competency profiles; qualifications and certifications; readiness assessments — integrated with AI Dynamic Skills (Section 6.3)</w:t>
            </w:r>
          </w:p>
        </w:tc>
      </w:tr>
      <w:tr>
        <w:tc>
          <w:tcPr>
            <w:tcW w:type="dxa" w:w="2880"/>
            <w:shd w:val="clear" w:color="auto" w:fill="FFFFFF"/>
          </w:tcPr>
          <w:p>
            <w:r>
              <w:rPr>
                <w:sz w:val="19"/>
              </w:rPr>
              <w:t>Goal Management</w:t>
            </w:r>
          </w:p>
        </w:tc>
        <w:tc>
          <w:tcPr>
            <w:tcW w:type="dxa" w:w="6768"/>
            <w:shd w:val="clear" w:color="auto" w:fill="FFFFFF"/>
          </w:tcPr>
          <w:p>
            <w:r>
              <w:rPr>
                <w:sz w:val="19"/>
              </w:rPr>
              <w:t>Corporate-to-individual goal cascading across Plennegy Group; SMART goal configuration; progress tracking and continuous feedback</w:t>
            </w:r>
          </w:p>
        </w:tc>
      </w:tr>
      <w:tr>
        <w:tc>
          <w:tcPr>
            <w:tcW w:type="dxa" w:w="2880"/>
            <w:shd w:val="clear" w:color="auto" w:fill="F2F2F2"/>
          </w:tcPr>
          <w:p>
            <w:r>
              <w:rPr>
                <w:sz w:val="19"/>
              </w:rPr>
              <w:t>Performance Management</w:t>
            </w:r>
          </w:p>
        </w:tc>
        <w:tc>
          <w:tcPr>
            <w:tcW w:type="dxa" w:w="6768"/>
            <w:shd w:val="clear" w:color="auto" w:fill="F2F2F2"/>
          </w:tcPr>
          <w:p>
            <w:r>
              <w:rPr>
                <w:sz w:val="19"/>
              </w:rPr>
              <w:t>Configurable annual and mid-year performance review cycles; continuous feedback; manager, peer, and self-assessment; performance ratings and competency assessments</w:t>
            </w:r>
          </w:p>
        </w:tc>
      </w:tr>
      <w:tr>
        <w:tc>
          <w:tcPr>
            <w:tcW w:type="dxa" w:w="2880"/>
            <w:shd w:val="clear" w:color="auto" w:fill="FFFFFF"/>
          </w:tcPr>
          <w:p>
            <w:r>
              <w:rPr>
                <w:sz w:val="19"/>
              </w:rPr>
              <w:t>Talent Review &amp; Succession</w:t>
            </w:r>
          </w:p>
        </w:tc>
        <w:tc>
          <w:tcPr>
            <w:tcW w:type="dxa" w:w="6768"/>
            <w:shd w:val="clear" w:color="auto" w:fill="FFFFFF"/>
          </w:tcPr>
          <w:p>
            <w:r>
              <w:rPr>
                <w:sz w:val="19"/>
              </w:rPr>
              <w:t>9-box grid talent calibration; succession planning for key Plennegy roles; talent pool management; readiness tracking</w:t>
            </w:r>
          </w:p>
        </w:tc>
      </w:tr>
      <w:tr>
        <w:tc>
          <w:tcPr>
            <w:tcW w:type="dxa" w:w="2880"/>
            <w:shd w:val="clear" w:color="auto" w:fill="F2F2F2"/>
          </w:tcPr>
          <w:p>
            <w:r>
              <w:rPr>
                <w:sz w:val="19"/>
              </w:rPr>
              <w:t>Career Development</w:t>
            </w:r>
          </w:p>
        </w:tc>
        <w:tc>
          <w:tcPr>
            <w:tcW w:type="dxa" w:w="6768"/>
            <w:shd w:val="clear" w:color="auto" w:fill="F2F2F2"/>
          </w:tcPr>
          <w:p>
            <w:r>
              <w:rPr>
                <w:sz w:val="19"/>
              </w:rPr>
              <w:t>Employee career path exploration; development plans aligned to career goals; skill gap → learning pathway → career milestone integration</w:t>
            </w:r>
          </w:p>
        </w:tc>
      </w:tr>
    </w:tbl>
    <w:p/>
    <w:p>
      <w:pPr>
        <w:pStyle w:val="Heading2"/>
      </w:pPr>
      <w:r>
        <w:rPr>
          <w:color w:val="1F3964"/>
        </w:rPr>
        <w:t>6.8  Oracle Fusion Workforce Compensation Cloud (W3S1-005)</w:t>
      </w:r>
    </w:p>
    <w:p>
      <w:pPr>
        <w:spacing w:after="120" w:before="40"/>
      </w:pPr>
      <w:r>
        <w:rPr>
          <w:b w:val="0"/>
          <w:i w:val="0"/>
          <w:sz w:val="21"/>
        </w:rPr>
        <w:t>APPSolve implements Oracle Fusion Workforce Compensation Cloud for 1,700 compensated individuals across Plennegy Group — enabling structured, workflow-driven merit cycles, bonus planning, and manager-led compensation reviews, aligned to Plennegy's compensation strategy.</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Capability</w:t>
            </w:r>
          </w:p>
        </w:tc>
        <w:tc>
          <w:tcPr>
            <w:tcW w:type="dxa" w:w="6480"/>
            <w:shd w:val="clear" w:color="auto" w:fill="1F3964"/>
          </w:tcPr>
          <w:p>
            <w:pPr>
              <w:jc w:val="center"/>
            </w:pPr>
            <w:r>
              <w:rPr>
                <w:b/>
                <w:color w:val="FFFFFF"/>
                <w:sz w:val="19"/>
              </w:rPr>
              <w:t>Plennegy Scope</w:t>
            </w:r>
          </w:p>
        </w:tc>
      </w:tr>
      <w:tr>
        <w:tc>
          <w:tcPr>
            <w:tcW w:type="dxa" w:w="3168"/>
            <w:shd w:val="clear" w:color="auto" w:fill="F2F2F2"/>
          </w:tcPr>
          <w:p>
            <w:r>
              <w:rPr>
                <w:sz w:val="19"/>
              </w:rPr>
              <w:t>Merit / Salary Plans</w:t>
            </w:r>
          </w:p>
        </w:tc>
        <w:tc>
          <w:tcPr>
            <w:tcW w:type="dxa" w:w="6480"/>
            <w:shd w:val="clear" w:color="auto" w:fill="F2F2F2"/>
          </w:tcPr>
          <w:p>
            <w:r>
              <w:rPr>
                <w:sz w:val="19"/>
              </w:rPr>
              <w:t>Annual merit increase cycles; salary range compliance; budget pool management; manager compensation worksheets</w:t>
            </w:r>
          </w:p>
        </w:tc>
      </w:tr>
      <w:tr>
        <w:tc>
          <w:tcPr>
            <w:tcW w:type="dxa" w:w="3168"/>
            <w:shd w:val="clear" w:color="auto" w:fill="FFFFFF"/>
          </w:tcPr>
          <w:p>
            <w:r>
              <w:rPr>
                <w:sz w:val="19"/>
              </w:rPr>
              <w:t>Bonus Plans</w:t>
            </w:r>
          </w:p>
        </w:tc>
        <w:tc>
          <w:tcPr>
            <w:tcW w:type="dxa" w:w="6480"/>
            <w:shd w:val="clear" w:color="auto" w:fill="FFFFFF"/>
          </w:tcPr>
          <w:p>
            <w:r>
              <w:rPr>
                <w:sz w:val="19"/>
              </w:rPr>
              <w:t>Variable cash bonus programmes; configurable eligibility, payout formulae, and approval workflows</w:t>
            </w:r>
          </w:p>
        </w:tc>
      </w:tr>
      <w:tr>
        <w:tc>
          <w:tcPr>
            <w:tcW w:type="dxa" w:w="3168"/>
            <w:shd w:val="clear" w:color="auto" w:fill="F2F2F2"/>
          </w:tcPr>
          <w:p>
            <w:r>
              <w:rPr>
                <w:sz w:val="19"/>
              </w:rPr>
              <w:t>Compensation Approval Workflows</w:t>
            </w:r>
          </w:p>
        </w:tc>
        <w:tc>
          <w:tcPr>
            <w:tcW w:type="dxa" w:w="6480"/>
            <w:shd w:val="clear" w:color="auto" w:fill="F2F2F2"/>
          </w:tcPr>
          <w:p>
            <w:r>
              <w:rPr>
                <w:sz w:val="19"/>
              </w:rPr>
              <w:t>Multi-level approval routing aligned to Plennegy's approval mandate structure; audit trails for all compensation decisions</w:t>
            </w:r>
          </w:p>
        </w:tc>
      </w:tr>
      <w:tr>
        <w:tc>
          <w:tcPr>
            <w:tcW w:type="dxa" w:w="3168"/>
            <w:shd w:val="clear" w:color="auto" w:fill="FFFFFF"/>
          </w:tcPr>
          <w:p>
            <w:r>
              <w:rPr>
                <w:sz w:val="19"/>
              </w:rPr>
              <w:t>Compensation Budgeting</w:t>
            </w:r>
          </w:p>
        </w:tc>
        <w:tc>
          <w:tcPr>
            <w:tcW w:type="dxa" w:w="6480"/>
            <w:shd w:val="clear" w:color="auto" w:fill="FFFFFF"/>
          </w:tcPr>
          <w:p>
            <w:r>
              <w:rPr>
                <w:sz w:val="19"/>
              </w:rPr>
              <w:t>Department-level budget control; budget allocation tracking; scenario modelling</w:t>
            </w:r>
          </w:p>
        </w:tc>
      </w:tr>
      <w:tr>
        <w:tc>
          <w:tcPr>
            <w:tcW w:type="dxa" w:w="3168"/>
            <w:shd w:val="clear" w:color="auto" w:fill="F2F2F2"/>
          </w:tcPr>
          <w:p>
            <w:r>
              <w:rPr>
                <w:sz w:val="19"/>
              </w:rPr>
              <w:t>Total Compensation Statements</w:t>
            </w:r>
          </w:p>
        </w:tc>
        <w:tc>
          <w:tcPr>
            <w:tcW w:type="dxa" w:w="6480"/>
            <w:shd w:val="clear" w:color="auto" w:fill="F2F2F2"/>
          </w:tcPr>
          <w:p>
            <w:r>
              <w:rPr>
                <w:sz w:val="19"/>
              </w:rPr>
              <w:t>Employee-facing total reward visibility — base salary, bonus, benefits, and non-cash rewards in a single view</w:t>
            </w:r>
          </w:p>
        </w:tc>
      </w:tr>
      <w:tr>
        <w:tc>
          <w:tcPr>
            <w:tcW w:type="dxa" w:w="3168"/>
            <w:shd w:val="clear" w:color="auto" w:fill="FFFFFF"/>
          </w:tcPr>
          <w:p>
            <w:r>
              <w:rPr>
                <w:sz w:val="19"/>
              </w:rPr>
              <w:t>Pay Equity Analysis</w:t>
            </w:r>
          </w:p>
        </w:tc>
        <w:tc>
          <w:tcPr>
            <w:tcW w:type="dxa" w:w="6480"/>
            <w:shd w:val="clear" w:color="auto" w:fill="FFFFFF"/>
          </w:tcPr>
          <w:p>
            <w:r>
              <w:rPr>
                <w:sz w:val="19"/>
              </w:rPr>
              <w:t>Internal pay equity monitoring across roles, grades, and demographics — supports equitable pay governance</w:t>
            </w:r>
          </w:p>
        </w:tc>
      </w:tr>
    </w:tbl>
    <w:p/>
    <w:p>
      <w:r>
        <w:rPr>
          <w:b/>
          <w:i/>
          <w:color w:val="B71C1C"/>
          <w:sz w:val="21"/>
        </w:rPr>
        <w:t>[GOVERNANCE NOTE — W3S1-005 is Tier 2 (WP3-EX-001 active). No named Tier 1 client reference for Workforce Compensation. Approved wording applied — "APPSolve is currently implementing Oracle Workforce Compensation for a mining-sector client." BU Lead to review reference section before submission.]</w:t>
      </w:r>
    </w:p>
    <w:p>
      <w:pPr>
        <w:ind w:left="360"/>
      </w:pPr>
      <w:r>
        <w:rPr>
          <w:b/>
          <w:color w:val="E65100"/>
          <w:sz w:val="19"/>
        </w:rPr>
        <w:t>▌ Status: Needs Review</w:t>
      </w:r>
      <w:r>
        <w:rPr>
          <w:sz w:val="19"/>
        </w:rPr>
        <w:t xml:space="preserve">  —  Sections 6.1–6.4, 6.6–6.8 sourced from approved KB assets. Section 6.5 (Recruiting Booster) uses Oracle documentation — no dedicated KB asset. BU Lead to review all sections.</w:t>
      </w:r>
    </w:p>
    <w:p/>
    <w:p>
      <w:r>
        <w:br w:type="page"/>
      </w:r>
    </w:p>
    <w:p>
      <w:pPr>
        <w:pStyle w:val="Heading1"/>
      </w:pPr>
      <w:r>
        <w:rPr>
          <w:color w:val="1F3964"/>
        </w:rPr>
        <w:t>7.  Integration Approach</w:t>
      </w:r>
    </w:p>
    <w:p>
      <w:pPr>
        <w:pStyle w:val="Heading2"/>
      </w:pPr>
      <w:r>
        <w:rPr>
          <w:color w:val="1F3964"/>
        </w:rPr>
        <w:t>7.1  Oracle Integration Cloud (OIC) — APPSolve's Standard Integration Layer</w:t>
      </w:r>
    </w:p>
    <w:p>
      <w:pPr>
        <w:spacing w:after="120" w:before="40"/>
      </w:pPr>
      <w:r>
        <w:rPr>
          <w:b w:val="0"/>
          <w:i w:val="0"/>
          <w:sz w:val="21"/>
        </w:rPr>
        <w:t>Oracle Integration Cloud (OIC) is APPSolve's mandatory standard integration layer in every Oracle Fusion HCM implementation. APPSolve holds a published OPN expertise certification in Oracle Integration, and OIC is present in every APPSolve Oracle Fusion HCM engagement — ensuring data integrity, process automation, and system interoperability.</w:t>
      </w:r>
    </w:p>
    <w:p>
      <w:pPr>
        <w:spacing w:after="120" w:before="40"/>
      </w:pPr>
      <w:r>
        <w:rPr>
          <w:b w:val="0"/>
          <w:i w:val="0"/>
          <w:sz w:val="21"/>
        </w:rPr>
        <w:t>For Plennegy, OIC Enterprise (2 × 1M message tiers) is included in the BOM, providing the integration fabric to connect Oracle Fusion HCM with Plennegy's payroll system, downstream HR systems, third-party job boards, and background check providers.</w:t>
      </w:r>
    </w:p>
    <w:p>
      <w:pPr>
        <w:pStyle w:val="Heading2"/>
      </w:pPr>
      <w:r>
        <w:rPr>
          <w:color w:val="1F3964"/>
        </w:rPr>
        <w:t>7.2  Payroll Integration Architecture (W3S1-009)</w:t>
      </w:r>
    </w:p>
    <w:p>
      <w:pPr>
        <w:spacing w:after="120" w:before="40"/>
      </w:pPr>
      <w:r>
        <w:rPr>
          <w:b w:val="0"/>
          <w:i w:val="0"/>
          <w:sz w:val="21"/>
        </w:rPr>
        <w:t>APPSolve designs and implements the bidirectional Oracle Fusion HCM payroll integration. Oracle Fusion HCM serves as the system of record for employee and workforce data; the third-party payroll platform processes payroll calculations and tax compliance. OIC orchestrates the data exchange between the two systems.</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Integration Flow</w:t>
            </w:r>
          </w:p>
        </w:tc>
        <w:tc>
          <w:tcPr>
            <w:tcW w:type="dxa" w:w="6480"/>
            <w:shd w:val="clear" w:color="auto" w:fill="1F3964"/>
          </w:tcPr>
          <w:p>
            <w:pPr>
              <w:jc w:val="center"/>
            </w:pPr>
            <w:r>
              <w:rPr>
                <w:b/>
                <w:color w:val="FFFFFF"/>
                <w:sz w:val="19"/>
              </w:rPr>
              <w:t>Description</w:t>
            </w:r>
          </w:p>
        </w:tc>
      </w:tr>
      <w:tr>
        <w:tc>
          <w:tcPr>
            <w:tcW w:type="dxa" w:w="3168"/>
            <w:shd w:val="clear" w:color="auto" w:fill="F2F2F2"/>
          </w:tcPr>
          <w:p>
            <w:r>
              <w:rPr>
                <w:sz w:val="19"/>
              </w:rPr>
              <w:t>HCM → Payroll (outbound)</w:t>
            </w:r>
          </w:p>
        </w:tc>
        <w:tc>
          <w:tcPr>
            <w:tcW w:type="dxa" w:w="6480"/>
            <w:shd w:val="clear" w:color="auto" w:fill="F2F2F2"/>
          </w:tcPr>
          <w:p>
            <w:r>
              <w:rPr>
                <w:sz w:val="19"/>
              </w:rPr>
              <w:t>Employee master data; assignments; compensation changes; new hires; transfers; terminations — structured extract via OIC to payroll platform</w:t>
            </w:r>
          </w:p>
        </w:tc>
      </w:tr>
      <w:tr>
        <w:tc>
          <w:tcPr>
            <w:tcW w:type="dxa" w:w="3168"/>
            <w:shd w:val="clear" w:color="auto" w:fill="FFFFFF"/>
          </w:tcPr>
          <w:p>
            <w:r>
              <w:rPr>
                <w:sz w:val="19"/>
              </w:rPr>
              <w:t>Payroll → HCM (inbound)</w:t>
            </w:r>
          </w:p>
        </w:tc>
        <w:tc>
          <w:tcPr>
            <w:tcW w:type="dxa" w:w="6480"/>
            <w:shd w:val="clear" w:color="auto" w:fill="FFFFFF"/>
          </w:tcPr>
          <w:p>
            <w:r>
              <w:rPr>
                <w:sz w:val="19"/>
              </w:rPr>
              <w:t>Payroll results; payslip data; cost allocations — returning from payroll to Oracle HCM via OIC for reporting and reconciliation</w:t>
            </w:r>
          </w:p>
        </w:tc>
      </w:tr>
      <w:tr>
        <w:tc>
          <w:tcPr>
            <w:tcW w:type="dxa" w:w="3168"/>
            <w:shd w:val="clear" w:color="auto" w:fill="F2F2F2"/>
          </w:tcPr>
          <w:p>
            <w:r>
              <w:rPr>
                <w:sz w:val="19"/>
              </w:rPr>
              <w:t>Validation framework</w:t>
            </w:r>
          </w:p>
        </w:tc>
        <w:tc>
          <w:tcPr>
            <w:tcW w:type="dxa" w:w="6480"/>
            <w:shd w:val="clear" w:color="auto" w:fill="F2F2F2"/>
          </w:tcPr>
          <w:p>
            <w:r>
              <w:rPr>
                <w:sz w:val="19"/>
              </w:rPr>
              <w:t>Consecutive validation and parallel run cycles before production cut-over; reconciliation controls</w:t>
            </w:r>
          </w:p>
        </w:tc>
      </w:tr>
      <w:tr>
        <w:tc>
          <w:tcPr>
            <w:tcW w:type="dxa" w:w="3168"/>
            <w:shd w:val="clear" w:color="auto" w:fill="FFFFFF"/>
          </w:tcPr>
          <w:p>
            <w:r>
              <w:rPr>
                <w:sz w:val="19"/>
              </w:rPr>
              <w:t>OIC monitoring</w:t>
            </w:r>
          </w:p>
        </w:tc>
        <w:tc>
          <w:tcPr>
            <w:tcW w:type="dxa" w:w="6480"/>
            <w:shd w:val="clear" w:color="auto" w:fill="FFFFFF"/>
          </w:tcPr>
          <w:p>
            <w:r>
              <w:rPr>
                <w:sz w:val="19"/>
              </w:rPr>
              <w:t>Interface monitoring dashboard; error alerting; scheduled and event-driven integration patterns</w:t>
            </w:r>
          </w:p>
        </w:tc>
      </w:tr>
      <w:tr>
        <w:tc>
          <w:tcPr>
            <w:tcW w:type="dxa" w:w="3168"/>
            <w:shd w:val="clear" w:color="auto" w:fill="F2F2F2"/>
          </w:tcPr>
          <w:p>
            <w:r>
              <w:rPr>
                <w:sz w:val="19"/>
              </w:rPr>
              <w:t>Payroll provider</w:t>
            </w:r>
          </w:p>
        </w:tc>
        <w:tc>
          <w:tcPr>
            <w:tcW w:type="dxa" w:w="6480"/>
            <w:shd w:val="clear" w:color="auto" w:fill="F2F2F2"/>
          </w:tcPr>
          <w:p>
            <w:r>
              <w:rPr>
                <w:sz w:val="19"/>
              </w:rPr>
              <w:t>[CLIENT INPUT REQUIRED — Plennegy's payroll system to be confirmed. APPSolve has confirmed production experience with PaySpace (bidirectional OIC integration). Other providers assessed during design phase.]</w:t>
            </w:r>
          </w:p>
        </w:tc>
      </w:tr>
    </w:tbl>
    <w:p/>
    <w:p>
      <w:pPr>
        <w:pStyle w:val="Heading2"/>
      </w:pPr>
      <w:r>
        <w:rPr>
          <w:color w:val="1F3964"/>
        </w:rPr>
        <w:t>7.3  Third-Party System Integrations</w:t>
      </w:r>
    </w:p>
    <w:tbl>
      <w:tblPr>
        <w:tblStyle w:val="TableGrid"/>
        <w:tblW w:type="auto" w:w="0"/>
        <w:tblLook w:firstColumn="1" w:firstRow="1" w:lastColumn="0" w:lastRow="0" w:noHBand="0" w:noVBand="1" w:val="04A0"/>
      </w:tblPr>
      <w:tblGrid>
        <w:gridCol w:w="4514"/>
        <w:gridCol w:w="4514"/>
      </w:tblGrid>
      <w:tr>
        <w:tc>
          <w:tcPr>
            <w:tcW w:type="dxa" w:w="3168"/>
            <w:shd w:val="clear" w:color="auto" w:fill="1F3964"/>
          </w:tcPr>
          <w:p>
            <w:pPr>
              <w:jc w:val="center"/>
            </w:pPr>
            <w:r>
              <w:rPr>
                <w:b/>
                <w:color w:val="FFFFFF"/>
                <w:sz w:val="19"/>
              </w:rPr>
              <w:t>Integration Point</w:t>
            </w:r>
          </w:p>
        </w:tc>
        <w:tc>
          <w:tcPr>
            <w:tcW w:type="dxa" w:w="6480"/>
            <w:shd w:val="clear" w:color="auto" w:fill="1F3964"/>
          </w:tcPr>
          <w:p>
            <w:pPr>
              <w:jc w:val="center"/>
            </w:pPr>
            <w:r>
              <w:rPr>
                <w:b/>
                <w:color w:val="FFFFFF"/>
                <w:sz w:val="19"/>
              </w:rPr>
              <w:t>Approach</w:t>
            </w:r>
          </w:p>
        </w:tc>
      </w:tr>
      <w:tr>
        <w:tc>
          <w:tcPr>
            <w:tcW w:type="dxa" w:w="3168"/>
            <w:shd w:val="clear" w:color="auto" w:fill="F2F2F2"/>
          </w:tcPr>
          <w:p>
            <w:r>
              <w:rPr>
                <w:sz w:val="19"/>
              </w:rPr>
              <w:t>LinkedIn / PNet / Job Boards</w:t>
            </w:r>
          </w:p>
        </w:tc>
        <w:tc>
          <w:tcPr>
            <w:tcW w:type="dxa" w:w="6480"/>
            <w:shd w:val="clear" w:color="auto" w:fill="F2F2F2"/>
          </w:tcPr>
          <w:p>
            <w:r>
              <w:rPr>
                <w:sz w:val="19"/>
              </w:rPr>
              <w:t>OIC REST API integration for automatic job posting to external career sites; Direct Apply via LinkedIn (Recruiting Booster)</w:t>
            </w:r>
          </w:p>
        </w:tc>
      </w:tr>
      <w:tr>
        <w:tc>
          <w:tcPr>
            <w:tcW w:type="dxa" w:w="3168"/>
            <w:shd w:val="clear" w:color="auto" w:fill="FFFFFF"/>
          </w:tcPr>
          <w:p>
            <w:r>
              <w:rPr>
                <w:sz w:val="19"/>
              </w:rPr>
              <w:t>Background Check Providers</w:t>
            </w:r>
          </w:p>
        </w:tc>
        <w:tc>
          <w:tcPr>
            <w:tcW w:type="dxa" w:w="6480"/>
            <w:shd w:val="clear" w:color="auto" w:fill="FFFFFF"/>
          </w:tcPr>
          <w:p>
            <w:r>
              <w:rPr>
                <w:sz w:val="19"/>
              </w:rPr>
              <w:t>Third-party background check platform integration via OIC or REST API — provider to be confirmed during Recruiting Design phase</w:t>
            </w:r>
          </w:p>
        </w:tc>
      </w:tr>
      <w:tr>
        <w:tc>
          <w:tcPr>
            <w:tcW w:type="dxa" w:w="3168"/>
            <w:shd w:val="clear" w:color="auto" w:fill="F2F2F2"/>
          </w:tcPr>
          <w:p>
            <w:r>
              <w:rPr>
                <w:sz w:val="19"/>
              </w:rPr>
              <w:t>Learning Content Providers</w:t>
            </w:r>
          </w:p>
        </w:tc>
        <w:tc>
          <w:tcPr>
            <w:tcW w:type="dxa" w:w="6480"/>
            <w:shd w:val="clear" w:color="auto" w:fill="F2F2F2"/>
          </w:tcPr>
          <w:p>
            <w:r>
              <w:rPr>
                <w:sz w:val="19"/>
              </w:rPr>
              <w:t>Integration with Moodle, Skillstown, and one additional platform via OIC or standard Oracle Learning connectors</w:t>
            </w:r>
          </w:p>
        </w:tc>
      </w:tr>
      <w:tr>
        <w:tc>
          <w:tcPr>
            <w:tcW w:type="dxa" w:w="3168"/>
            <w:shd w:val="clear" w:color="auto" w:fill="FFFFFF"/>
          </w:tcPr>
          <w:p>
            <w:r>
              <w:rPr>
                <w:sz w:val="19"/>
              </w:rPr>
              <w:t>Finance / ERP (downstream)</w:t>
            </w:r>
          </w:p>
        </w:tc>
        <w:tc>
          <w:tcPr>
            <w:tcW w:type="dxa" w:w="6480"/>
            <w:shd w:val="clear" w:color="auto" w:fill="FFFFFF"/>
          </w:tcPr>
          <w:p>
            <w:r>
              <w:rPr>
                <w:sz w:val="19"/>
              </w:rPr>
              <w:t>Cost centre and GL cost allocation integration from HCM payroll interface to Plennegy's finance system — architecture to be confirmed during integration design</w:t>
            </w:r>
          </w:p>
        </w:tc>
      </w:tr>
      <w:tr>
        <w:tc>
          <w:tcPr>
            <w:tcW w:type="dxa" w:w="3168"/>
            <w:shd w:val="clear" w:color="auto" w:fill="F2F2F2"/>
          </w:tcPr>
          <w:p>
            <w:r>
              <w:rPr>
                <w:sz w:val="19"/>
              </w:rPr>
              <w:t>Identity Provider / SSO</w:t>
            </w:r>
          </w:p>
        </w:tc>
        <w:tc>
          <w:tcPr>
            <w:tcW w:type="dxa" w:w="6480"/>
            <w:shd w:val="clear" w:color="auto" w:fill="F2F2F2"/>
          </w:tcPr>
          <w:p>
            <w:r>
              <w:rPr>
                <w:sz w:val="19"/>
              </w:rPr>
              <w:t>[CLIENT INPUT REQUIRED — APPSolve to assess SSO requirements and Active Directory integration during Mobilize phase]</w:t>
            </w:r>
          </w:p>
        </w:tc>
      </w:tr>
      <w:tr>
        <w:tc>
          <w:tcPr>
            <w:tcW w:type="dxa" w:w="3168"/>
            <w:shd w:val="clear" w:color="auto" w:fill="FFFFFF"/>
          </w:tcPr>
          <w:p>
            <w:r>
              <w:rPr>
                <w:sz w:val="19"/>
              </w:rPr>
              <w:t>Biometric / Time systems</w:t>
            </w:r>
          </w:p>
        </w:tc>
        <w:tc>
          <w:tcPr>
            <w:tcW w:type="dxa" w:w="6480"/>
            <w:shd w:val="clear" w:color="auto" w:fill="FFFFFF"/>
          </w:tcPr>
          <w:p>
            <w:r>
              <w:rPr>
                <w:sz w:val="19"/>
              </w:rPr>
              <w:t>[CLIENT INPUT REQUIRED — Plennegy to confirm time and attendance technology for absence and OTL integration scope]</w:t>
            </w:r>
          </w:p>
        </w:tc>
      </w:tr>
    </w:tbl>
    <w:p/>
    <w:p>
      <w:pPr>
        <w:ind w:left="360"/>
      </w:pPr>
      <w:r>
        <w:rPr>
          <w:b/>
          <w:color w:val="E65100"/>
          <w:sz w:val="19"/>
        </w:rPr>
        <w:t>▌ Status: Needs Review</w:t>
      </w:r>
      <w:r>
        <w:rPr>
          <w:sz w:val="19"/>
        </w:rPr>
        <w:t xml:space="preserve">  —  Source: W3S1-009-ORA-PayrollInterface-Integration (Approved). Payroll provider and SSO/biometric details require client input. OIC architecture will be confirmed during Mobilize / integration design workshop.</w:t>
      </w:r>
    </w:p>
    <w:p/>
    <w:p>
      <w:r>
        <w:br w:type="page"/>
      </w:r>
    </w:p>
    <w:p>
      <w:pPr>
        <w:pStyle w:val="Heading1"/>
      </w:pPr>
      <w:r>
        <w:rPr>
          <w:color w:val="1F3964"/>
        </w:rPr>
        <w:t>8.  Delivery Methodology</w:t>
      </w:r>
    </w:p>
    <w:p>
      <w:pPr>
        <w:spacing w:after="120" w:before="40"/>
      </w:pPr>
      <w:r>
        <w:rPr>
          <w:b w:val="0"/>
          <w:i w:val="0"/>
          <w:sz w:val="21"/>
        </w:rPr>
        <w:t>APPSolve's implementation methodology is a structured, iterative delivery framework built on the Oracle Unified Method (OUM) and the Oracle Customer Success Navigator — adapted through more than 23 years of Oracle delivery experience. The methodology guides every engagement from mobilisation through to a supported production go-live and hyper-care stabilisation.</w:t>
      </w:r>
    </w:p>
    <w:p>
      <w:pPr>
        <w:spacing w:after="120" w:before="40"/>
      </w:pPr>
      <w:r>
        <w:rPr>
          <w:b w:val="0"/>
          <w:i w:val="0"/>
          <w:sz w:val="21"/>
        </w:rPr>
        <w:t>The methodology is structured across six delivery phases:</w:t>
      </w:r>
    </w:p>
    <w:p>
      <w:pPr>
        <w:jc w:val="center"/>
      </w:pPr>
      <w:r>
        <w:rPr>
          <w:b/>
          <w:color w:val="1F3964"/>
          <w:sz w:val="24"/>
        </w:rPr>
        <w:t>Mobilize  →  Scope &amp; Design  →  Prototype  →  Validate  →  Deploy  →  Evolve</w:t>
      </w:r>
    </w:p>
    <w:p>
      <w:pPr>
        <w:spacing w:before="0" w:after="120"/>
      </w:pPr>
    </w:p>
    <w:p>
      <w:r>
        <w:rPr>
          <w:b/>
          <w:color w:val="E86A1B"/>
          <w:sz w:val="22"/>
        </w:rPr>
        <w:t>Mobilize</w:t>
      </w:r>
    </w:p>
    <w:p>
      <w:pPr>
        <w:pStyle w:val="ListBullet"/>
      </w:pPr>
      <w:r>
        <w:rPr>
          <w:sz w:val="21"/>
        </w:rPr>
        <w:t>Team assembly and scheduling — senior resources confirmed and committed for full project duration</w:t>
      </w:r>
    </w:p>
    <w:p>
      <w:pPr>
        <w:pStyle w:val="ListBullet"/>
      </w:pPr>
      <w:r>
        <w:rPr>
          <w:sz w:val="21"/>
        </w:rPr>
        <w:t>Initiative charter — vision, scope, success criteria, resource plan, commercial model</w:t>
      </w:r>
    </w:p>
    <w:p>
      <w:pPr>
        <w:pStyle w:val="ListBullet"/>
      </w:pPr>
      <w:r>
        <w:rPr>
          <w:sz w:val="21"/>
        </w:rPr>
        <w:t>Work plan — detailed delivery schedule aligned to Plennegy's operational calendar</w:t>
      </w:r>
    </w:p>
    <w:p>
      <w:pPr>
        <w:pStyle w:val="ListBullet"/>
      </w:pPr>
      <w:r>
        <w:rPr>
          <w:sz w:val="21"/>
        </w:rPr>
        <w:t>Environment provisioning — Oracle tenancy, test and production environment access</w:t>
      </w:r>
    </w:p>
    <w:p>
      <w:pPr>
        <w:pStyle w:val="ListBullet"/>
      </w:pPr>
      <w:r>
        <w:rPr>
          <w:sz w:val="21"/>
        </w:rPr>
        <w:t>Kick-off — formal project launch with Plennegy Steering Committee and project team</w:t>
      </w:r>
    </w:p>
    <w:p>
      <w:pPr>
        <w:spacing w:before="0" w:after="60"/>
      </w:pPr>
    </w:p>
    <w:p>
      <w:r>
        <w:rPr>
          <w:b/>
          <w:color w:val="E86A1B"/>
          <w:sz w:val="22"/>
        </w:rPr>
        <w:t>Scope &amp; Design</w:t>
      </w:r>
    </w:p>
    <w:p>
      <w:pPr>
        <w:pStyle w:val="ListBullet"/>
      </w:pPr>
      <w:r>
        <w:rPr>
          <w:sz w:val="21"/>
        </w:rPr>
        <w:t>Scope confirmation — detailed module-by-module requirements workshops with Plennegy HR and subsidiary leads</w:t>
      </w:r>
    </w:p>
    <w:p>
      <w:pPr>
        <w:pStyle w:val="ListBullet"/>
      </w:pPr>
      <w:r>
        <w:rPr>
          <w:sz w:val="21"/>
        </w:rPr>
        <w:t>Oracle Modern Best Practices alignment — standard configuration baseline identified; gaps and customisations documented</w:t>
      </w:r>
    </w:p>
    <w:p>
      <w:pPr>
        <w:pStyle w:val="ListBullet"/>
      </w:pPr>
      <w:r>
        <w:rPr>
          <w:sz w:val="21"/>
        </w:rPr>
        <w:t>Integration design — OIC integration architecture agreed for payroll, SSO, job boards, and third-party systems</w:t>
      </w:r>
    </w:p>
    <w:p>
      <w:pPr>
        <w:pStyle w:val="ListBullet"/>
      </w:pPr>
      <w:r>
        <w:rPr>
          <w:sz w:val="21"/>
        </w:rPr>
        <w:t>Data assessment — current system data mapping; migration templates prepared; data quality baseline established</w:t>
      </w:r>
    </w:p>
    <w:p>
      <w:pPr>
        <w:pStyle w:val="ListBullet"/>
      </w:pPr>
      <w:r>
        <w:rPr>
          <w:sz w:val="21"/>
        </w:rPr>
        <w:t>Security model — role-based access design across subsidiaries, HR functions, and employee self-service</w:t>
      </w:r>
    </w:p>
    <w:p>
      <w:pPr>
        <w:spacing w:before="0" w:after="60"/>
      </w:pPr>
    </w:p>
    <w:p>
      <w:r>
        <w:rPr>
          <w:b/>
          <w:color w:val="E86A1B"/>
          <w:sz w:val="22"/>
        </w:rPr>
        <w:t>Prototype</w:t>
      </w:r>
    </w:p>
    <w:p>
      <w:pPr>
        <w:pStyle w:val="ListBullet"/>
      </w:pPr>
      <w:r>
        <w:rPr>
          <w:sz w:val="21"/>
        </w:rPr>
        <w:t>Conference Room Pilot 1 (CRP1) — first rapid build of Oracle HCM configuration; facilitated demonstration and structured feedback with Plennegy stakeholders</w:t>
      </w:r>
    </w:p>
    <w:p>
      <w:pPr>
        <w:pStyle w:val="ListBullet"/>
      </w:pPr>
      <w:r>
        <w:rPr>
          <w:sz w:val="21"/>
        </w:rPr>
        <w:t>Issue resolution — design changes from CRP1 incorporated; configuration refined</w:t>
      </w:r>
    </w:p>
    <w:p>
      <w:pPr>
        <w:pStyle w:val="ListBullet"/>
      </w:pPr>
      <w:r>
        <w:rPr>
          <w:sz w:val="21"/>
        </w:rPr>
        <w:t>Conference Room Pilot 2 (CRP2) — second iteration; end-to-end scenario testing; final configuration decisions signed off</w:t>
      </w:r>
    </w:p>
    <w:p>
      <w:pPr>
        <w:pStyle w:val="ListBullet"/>
      </w:pPr>
      <w:r>
        <w:rPr>
          <w:sz w:val="21"/>
        </w:rPr>
        <w:t>Technical build — integrations, data migration loads, custom reports, and OTBI dashboards</w:t>
      </w:r>
    </w:p>
    <w:p>
      <w:pPr>
        <w:pStyle w:val="ListBullet"/>
      </w:pPr>
      <w:r>
        <w:rPr>
          <w:sz w:val="21"/>
        </w:rPr>
        <w:t>System Integration Testing (SIT) — end-to-end testing across all modules and integrated systems</w:t>
      </w:r>
    </w:p>
    <w:p>
      <w:pPr>
        <w:spacing w:before="0" w:after="60"/>
      </w:pPr>
    </w:p>
    <w:p>
      <w:r>
        <w:rPr>
          <w:b/>
          <w:color w:val="E86A1B"/>
          <w:sz w:val="22"/>
        </w:rPr>
        <w:t>Validate</w:t>
      </w:r>
    </w:p>
    <w:p>
      <w:pPr>
        <w:pStyle w:val="ListBullet"/>
      </w:pPr>
      <w:r>
        <w:rPr>
          <w:sz w:val="21"/>
        </w:rPr>
        <w:t>User Acceptance Testing (UAT) — Plennegy-led testing across all HCM modules and integration points; APPSolve-facilitated and supported</w:t>
      </w:r>
    </w:p>
    <w:p>
      <w:pPr>
        <w:pStyle w:val="ListBullet"/>
      </w:pPr>
      <w:r>
        <w:rPr>
          <w:sz w:val="21"/>
        </w:rPr>
        <w:t>Training delivery — train-the-trainer; end-user training guides; Oracle HCM navigation for Plennegy HR administrators, managers, and employees</w:t>
      </w:r>
    </w:p>
    <w:p>
      <w:pPr>
        <w:pStyle w:val="ListBullet"/>
      </w:pPr>
      <w:r>
        <w:rPr>
          <w:sz w:val="21"/>
        </w:rPr>
        <w:t>Data migration final validation — production-ready data confirmed and signed off by Plennegy</w:t>
      </w:r>
    </w:p>
    <w:p>
      <w:pPr>
        <w:pStyle w:val="ListBullet"/>
      </w:pPr>
      <w:r>
        <w:rPr>
          <w:sz w:val="21"/>
        </w:rPr>
        <w:t>Cut-over planning — production migration schedule; day-one support plan; hyper-care team confirmed</w:t>
      </w:r>
    </w:p>
    <w:p>
      <w:pPr>
        <w:spacing w:before="0" w:after="60"/>
      </w:pPr>
    </w:p>
    <w:p>
      <w:r>
        <w:rPr>
          <w:b/>
          <w:color w:val="E86A1B"/>
          <w:sz w:val="22"/>
        </w:rPr>
        <w:t>Deploy</w:t>
      </w:r>
    </w:p>
    <w:p>
      <w:pPr>
        <w:pStyle w:val="ListBullet"/>
      </w:pPr>
      <w:r>
        <w:rPr>
          <w:sz w:val="21"/>
        </w:rPr>
        <w:t>Production build — all approved configuration and data migrated to production Oracle tenancy</w:t>
      </w:r>
    </w:p>
    <w:p>
      <w:pPr>
        <w:pStyle w:val="ListBullet"/>
      </w:pPr>
      <w:r>
        <w:rPr>
          <w:sz w:val="21"/>
        </w:rPr>
        <w:t>Go-live execution — structured cut-over sequence; business readiness sign-off by Plennegy</w:t>
      </w:r>
    </w:p>
    <w:p>
      <w:pPr>
        <w:pStyle w:val="ListBullet"/>
      </w:pPr>
      <w:r>
        <w:rPr>
          <w:sz w:val="21"/>
        </w:rPr>
        <w:t>Day-one support — APPSolve senior team on-hand for immediate post-go-live issue resolution</w:t>
      </w:r>
    </w:p>
    <w:p>
      <w:pPr>
        <w:pStyle w:val="ListBullet"/>
      </w:pPr>
      <w:r>
        <w:rPr>
          <w:sz w:val="21"/>
        </w:rPr>
        <w:t>Hyper-care begins — minimum 4 weeks of intensive post-go-live support</w:t>
      </w:r>
    </w:p>
    <w:p>
      <w:pPr>
        <w:spacing w:before="0" w:after="60"/>
      </w:pPr>
    </w:p>
    <w:p>
      <w:r>
        <w:rPr>
          <w:b/>
          <w:color w:val="E86A1B"/>
          <w:sz w:val="22"/>
        </w:rPr>
        <w:t>Evolve (Hyper-Care and Transition)</w:t>
      </w:r>
    </w:p>
    <w:p>
      <w:pPr>
        <w:pStyle w:val="ListBullet"/>
      </w:pPr>
      <w:r>
        <w:rPr>
          <w:sz w:val="21"/>
        </w:rPr>
        <w:t>Hyper-care — full complement of senior APPSolve resources available for issue resolution, design adjustments, and bug fixes; minimum 4 weeks</w:t>
      </w:r>
    </w:p>
    <w:p>
      <w:pPr>
        <w:pStyle w:val="ListBullet"/>
      </w:pPr>
      <w:r>
        <w:rPr>
          <w:sz w:val="21"/>
        </w:rPr>
        <w:t>Critical care — reduced support team; senior-led; typically 3–6 months post-hyper-care</w:t>
      </w:r>
    </w:p>
    <w:p>
      <w:pPr>
        <w:pStyle w:val="ListBullet"/>
      </w:pPr>
      <w:r>
        <w:rPr>
          <w:sz w:val="21"/>
        </w:rPr>
        <w:t>Quarterly release management — APPSolve guides Plennegy through Oracle's quarterly feature releases; testing and activation of new capabilities</w:t>
      </w:r>
    </w:p>
    <w:p>
      <w:pPr>
        <w:pStyle w:val="ListBullet"/>
      </w:pPr>
      <w:r>
        <w:rPr>
          <w:sz w:val="21"/>
        </w:rPr>
        <w:t>Transition to AMS — structured handover to APPSolve's Application Managed Services model (see Section 10)</w:t>
      </w:r>
    </w:p>
    <w:p>
      <w:pPr>
        <w:spacing w:before="0" w:after="60"/>
      </w:pPr>
    </w:p>
    <w:p>
      <w:pPr>
        <w:pStyle w:val="Heading2"/>
      </w:pPr>
      <w:r>
        <w:rPr>
          <w:color w:val="1F3964"/>
        </w:rPr>
        <w:t>8.1  Data Migration Approach</w:t>
      </w:r>
    </w:p>
    <w:p>
      <w:pPr>
        <w:spacing w:after="120" w:before="40"/>
      </w:pPr>
      <w:r>
        <w:rPr>
          <w:b w:val="0"/>
          <w:i w:val="0"/>
          <w:sz w:val="21"/>
        </w:rPr>
        <w:t>APPSolve follows a structured method for data migration. APPSolve provides the templates, structures, and guidance; Plennegy is responsible for extracting, cleaning, and providing data in the required format at the correct stage of the project.</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Migration Component</w:t>
            </w:r>
          </w:p>
        </w:tc>
        <w:tc>
          <w:tcPr>
            <w:tcW w:type="dxa" w:w="6768"/>
            <w:shd w:val="clear" w:color="auto" w:fill="1F3964"/>
          </w:tcPr>
          <w:p>
            <w:pPr>
              <w:jc w:val="center"/>
            </w:pPr>
            <w:r>
              <w:rPr>
                <w:b/>
                <w:color w:val="FFFFFF"/>
                <w:sz w:val="19"/>
              </w:rPr>
              <w:t>Approach</w:t>
            </w:r>
          </w:p>
        </w:tc>
      </w:tr>
      <w:tr>
        <w:tc>
          <w:tcPr>
            <w:tcW w:type="dxa" w:w="2880"/>
            <w:shd w:val="clear" w:color="auto" w:fill="F2F2F2"/>
          </w:tcPr>
          <w:p>
            <w:r>
              <w:rPr>
                <w:sz w:val="19"/>
              </w:rPr>
              <w:t>Data templates</w:t>
            </w:r>
          </w:p>
        </w:tc>
        <w:tc>
          <w:tcPr>
            <w:tcW w:type="dxa" w:w="6768"/>
            <w:shd w:val="clear" w:color="auto" w:fill="F2F2F2"/>
          </w:tcPr>
          <w:p>
            <w:r>
              <w:rPr>
                <w:sz w:val="19"/>
              </w:rPr>
              <w:t>APPSolve provides Oracle FBDI-compliant data templates for all in-scope entities: employee records, position structures, absence entitlements, learning history (active employees; ≤2 years of historical data)</w:t>
            </w:r>
          </w:p>
        </w:tc>
      </w:tr>
      <w:tr>
        <w:tc>
          <w:tcPr>
            <w:tcW w:type="dxa" w:w="2880"/>
            <w:shd w:val="clear" w:color="auto" w:fill="FFFFFF"/>
          </w:tcPr>
          <w:p>
            <w:r>
              <w:rPr>
                <w:sz w:val="19"/>
              </w:rPr>
              <w:t>Data quality</w:t>
            </w:r>
          </w:p>
        </w:tc>
        <w:tc>
          <w:tcPr>
            <w:tcW w:type="dxa" w:w="6768"/>
            <w:shd w:val="clear" w:color="auto" w:fill="FFFFFF"/>
          </w:tcPr>
          <w:p>
            <w:r>
              <w:rPr>
                <w:sz w:val="19"/>
              </w:rPr>
              <w:t>Plennegy-led data cleansing and normalisation; APPSolve workshops guide data preparation requirements and identify quality issues</w:t>
            </w:r>
          </w:p>
        </w:tc>
      </w:tr>
      <w:tr>
        <w:tc>
          <w:tcPr>
            <w:tcW w:type="dxa" w:w="2880"/>
            <w:shd w:val="clear" w:color="auto" w:fill="F2F2F2"/>
          </w:tcPr>
          <w:p>
            <w:r>
              <w:rPr>
                <w:sz w:val="19"/>
              </w:rPr>
              <w:t>Data sign-off</w:t>
            </w:r>
          </w:p>
        </w:tc>
        <w:tc>
          <w:tcPr>
            <w:tcW w:type="dxa" w:w="6768"/>
            <w:shd w:val="clear" w:color="auto" w:fill="F2F2F2"/>
          </w:tcPr>
          <w:p>
            <w:r>
              <w:rPr>
                <w:sz w:val="19"/>
              </w:rPr>
              <w:t>Plennegy signs off all migrated data; APPSolve confirms data loaded correctly but does not take responsibility for source data accuracy</w:t>
            </w:r>
          </w:p>
        </w:tc>
      </w:tr>
      <w:tr>
        <w:tc>
          <w:tcPr>
            <w:tcW w:type="dxa" w:w="2880"/>
            <w:shd w:val="clear" w:color="auto" w:fill="FFFFFF"/>
          </w:tcPr>
          <w:p>
            <w:r>
              <w:rPr>
                <w:sz w:val="19"/>
              </w:rPr>
              <w:t>Production migration</w:t>
            </w:r>
          </w:p>
        </w:tc>
        <w:tc>
          <w:tcPr>
            <w:tcW w:type="dxa" w:w="6768"/>
            <w:shd w:val="clear" w:color="auto" w:fill="FFFFFF"/>
          </w:tcPr>
          <w:p>
            <w:r>
              <w:rPr>
                <w:sz w:val="19"/>
              </w:rPr>
              <w:t>Only active employees are migrated; historical terminated records excluded unless specifically agreed in scope</w:t>
            </w:r>
          </w:p>
        </w:tc>
      </w:tr>
      <w:tr>
        <w:tc>
          <w:tcPr>
            <w:tcW w:type="dxa" w:w="2880"/>
            <w:shd w:val="clear" w:color="auto" w:fill="F2F2F2"/>
          </w:tcPr>
          <w:p>
            <w:r>
              <w:rPr>
                <w:sz w:val="19"/>
              </w:rPr>
              <w:t>Parallel validation</w:t>
            </w:r>
          </w:p>
        </w:tc>
        <w:tc>
          <w:tcPr>
            <w:tcW w:type="dxa" w:w="6768"/>
            <w:shd w:val="clear" w:color="auto" w:fill="F2F2F2"/>
          </w:tcPr>
          <w:p>
            <w:r>
              <w:rPr>
                <w:sz w:val="19"/>
              </w:rPr>
              <w:t>Data reconciliation controls provided by APPSolve; Plennegy-led reconciliation with auditors</w:t>
            </w:r>
          </w:p>
        </w:tc>
      </w:tr>
    </w:tbl>
    <w:p/>
    <w:p>
      <w:pPr>
        <w:ind w:left="360"/>
      </w:pPr>
      <w:r>
        <w:rPr>
          <w:b/>
          <w:color w:val="2E7D32"/>
          <w:sz w:val="19"/>
        </w:rPr>
        <w:t>▌ Status: Complete</w:t>
      </w:r>
      <w:r>
        <w:rPr>
          <w:sz w:val="19"/>
        </w:rPr>
        <w:t xml:space="preserve">  —  Source: W2S1-005-ORA-ImplementationMethodology (Approved 2026-06-12). Phase names aligned to OUM. Data migration approach from W2S1-005 Section data migration.</w:t>
      </w:r>
    </w:p>
    <w:p/>
    <w:p>
      <w:r>
        <w:br w:type="page"/>
      </w:r>
    </w:p>
    <w:p>
      <w:pPr>
        <w:pStyle w:val="Heading1"/>
      </w:pPr>
      <w:r>
        <w:rPr>
          <w:color w:val="1F3964"/>
        </w:rPr>
        <w:t>9.  Governance and Quality Assurance</w:t>
      </w:r>
    </w:p>
    <w:p>
      <w:pPr>
        <w:spacing w:after="120" w:before="40"/>
      </w:pPr>
      <w:r>
        <w:rPr>
          <w:b w:val="0"/>
          <w:i w:val="0"/>
          <w:sz w:val="21"/>
        </w:rPr>
        <w:t>APPSolve applies a three-tier governance model on all enterprise engagements, ensuring consistent visibility, rapid issue resolution, and structured decision-making throughout the programme lifecycle.</w:t>
      </w:r>
    </w:p>
    <w:p>
      <w:pPr>
        <w:pStyle w:val="Heading2"/>
      </w:pPr>
      <w:r>
        <w:rPr>
          <w:color w:val="1F3964"/>
        </w:rPr>
        <w:t>9.1  Project Governance Tiers</w:t>
      </w:r>
    </w:p>
    <w:tbl>
      <w:tblPr>
        <w:tblStyle w:val="TableGrid"/>
        <w:tblW w:type="auto" w:w="0"/>
        <w:tblLook w:firstColumn="1" w:firstRow="1" w:lastColumn="0" w:lastRow="0" w:noHBand="0" w:noVBand="1" w:val="04A0"/>
      </w:tblPr>
      <w:tblGrid>
        <w:gridCol w:w="2257"/>
        <w:gridCol w:w="2257"/>
        <w:gridCol w:w="2257"/>
        <w:gridCol w:w="2257"/>
      </w:tblGrid>
      <w:tr>
        <w:tc>
          <w:tcPr>
            <w:tcW w:type="dxa" w:w="720"/>
            <w:shd w:val="clear" w:color="auto" w:fill="1F3964"/>
          </w:tcPr>
          <w:p>
            <w:pPr>
              <w:jc w:val="center"/>
            </w:pPr>
            <w:r>
              <w:rPr>
                <w:b/>
                <w:color w:val="FFFFFF"/>
                <w:sz w:val="19"/>
              </w:rPr>
              <w:t>Tier</w:t>
            </w:r>
          </w:p>
        </w:tc>
        <w:tc>
          <w:tcPr>
            <w:tcW w:type="dxa" w:w="1728"/>
            <w:shd w:val="clear" w:color="auto" w:fill="1F3964"/>
          </w:tcPr>
          <w:p>
            <w:pPr>
              <w:jc w:val="center"/>
            </w:pPr>
            <w:r>
              <w:rPr>
                <w:b/>
                <w:color w:val="FFFFFF"/>
                <w:sz w:val="19"/>
              </w:rPr>
              <w:t>Name</w:t>
            </w:r>
          </w:p>
        </w:tc>
        <w:tc>
          <w:tcPr>
            <w:tcW w:type="dxa" w:w="1872"/>
            <w:shd w:val="clear" w:color="auto" w:fill="1F3964"/>
          </w:tcPr>
          <w:p>
            <w:pPr>
              <w:jc w:val="center"/>
            </w:pPr>
            <w:r>
              <w:rPr>
                <w:b/>
                <w:color w:val="FFFFFF"/>
                <w:sz w:val="19"/>
              </w:rPr>
              <w:t>Frequency</w:t>
            </w:r>
          </w:p>
        </w:tc>
        <w:tc>
          <w:tcPr>
            <w:tcW w:type="dxa" w:w="5328"/>
            <w:shd w:val="clear" w:color="auto" w:fill="1F3964"/>
          </w:tcPr>
          <w:p>
            <w:pPr>
              <w:jc w:val="center"/>
            </w:pPr>
            <w:r>
              <w:rPr>
                <w:b/>
                <w:color w:val="FFFFFF"/>
                <w:sz w:val="19"/>
              </w:rPr>
              <w:t>Content</w:t>
            </w:r>
          </w:p>
        </w:tc>
      </w:tr>
      <w:tr>
        <w:tc>
          <w:tcPr>
            <w:tcW w:type="dxa" w:w="720"/>
            <w:shd w:val="clear" w:color="auto" w:fill="F2F2F2"/>
          </w:tcPr>
          <w:p>
            <w:r>
              <w:rPr>
                <w:sz w:val="19"/>
              </w:rPr>
              <w:t>Tier 1</w:t>
            </w:r>
          </w:p>
        </w:tc>
        <w:tc>
          <w:tcPr>
            <w:tcW w:type="dxa" w:w="1728"/>
            <w:shd w:val="clear" w:color="auto" w:fill="F2F2F2"/>
          </w:tcPr>
          <w:p>
            <w:r>
              <w:rPr>
                <w:sz w:val="19"/>
              </w:rPr>
              <w:t>Operational</w:t>
            </w:r>
          </w:p>
        </w:tc>
        <w:tc>
          <w:tcPr>
            <w:tcW w:type="dxa" w:w="1872"/>
            <w:shd w:val="clear" w:color="auto" w:fill="F2F2F2"/>
          </w:tcPr>
          <w:p>
            <w:r>
              <w:rPr>
                <w:sz w:val="19"/>
              </w:rPr>
              <w:t>Weekly</w:t>
            </w:r>
          </w:p>
        </w:tc>
        <w:tc>
          <w:tcPr>
            <w:tcW w:type="dxa" w:w="5328"/>
            <w:shd w:val="clear" w:color="auto" w:fill="F2F2F2"/>
          </w:tcPr>
          <w:p>
            <w:r>
              <w:rPr>
                <w:sz w:val="19"/>
              </w:rPr>
              <w:t>Project team status meeting; risk and issue log reviewed; progress tracked against milestones (OUM phase gates); action log circulated within 24 hours</w:t>
            </w:r>
          </w:p>
        </w:tc>
      </w:tr>
      <w:tr>
        <w:tc>
          <w:tcPr>
            <w:tcW w:type="dxa" w:w="720"/>
            <w:shd w:val="clear" w:color="auto" w:fill="FFFFFF"/>
          </w:tcPr>
          <w:p>
            <w:r>
              <w:rPr>
                <w:sz w:val="19"/>
              </w:rPr>
              <w:t>Tier 2</w:t>
            </w:r>
          </w:p>
        </w:tc>
        <w:tc>
          <w:tcPr>
            <w:tcW w:type="dxa" w:w="1728"/>
            <w:shd w:val="clear" w:color="auto" w:fill="FFFFFF"/>
          </w:tcPr>
          <w:p>
            <w:r>
              <w:rPr>
                <w:sz w:val="19"/>
              </w:rPr>
              <w:t>Steering</w:t>
            </w:r>
          </w:p>
        </w:tc>
        <w:tc>
          <w:tcPr>
            <w:tcW w:type="dxa" w:w="1872"/>
            <w:shd w:val="clear" w:color="auto" w:fill="FFFFFF"/>
          </w:tcPr>
          <w:p>
            <w:r>
              <w:rPr>
                <w:sz w:val="19"/>
              </w:rPr>
              <w:t>Monthly</w:t>
            </w:r>
          </w:p>
        </w:tc>
        <w:tc>
          <w:tcPr>
            <w:tcW w:type="dxa" w:w="5328"/>
            <w:shd w:val="clear" w:color="auto" w:fill="FFFFFF"/>
          </w:tcPr>
          <w:p>
            <w:r>
              <w:rPr>
                <w:sz w:val="19"/>
              </w:rPr>
              <w:t>Steering Committee with Plennegy Sponsor and APPSolve Engagement Lead; budget vs. actuals; change requests assessed; key risk escalations</w:t>
            </w:r>
          </w:p>
        </w:tc>
      </w:tr>
      <w:tr>
        <w:tc>
          <w:tcPr>
            <w:tcW w:type="dxa" w:w="720"/>
            <w:shd w:val="clear" w:color="auto" w:fill="F2F2F2"/>
          </w:tcPr>
          <w:p>
            <w:r>
              <w:rPr>
                <w:sz w:val="19"/>
              </w:rPr>
              <w:t>Tier 3</w:t>
            </w:r>
          </w:p>
        </w:tc>
        <w:tc>
          <w:tcPr>
            <w:tcW w:type="dxa" w:w="1728"/>
            <w:shd w:val="clear" w:color="auto" w:fill="F2F2F2"/>
          </w:tcPr>
          <w:p>
            <w:r>
              <w:rPr>
                <w:sz w:val="19"/>
              </w:rPr>
              <w:t>Executive</w:t>
            </w:r>
          </w:p>
        </w:tc>
        <w:tc>
          <w:tcPr>
            <w:tcW w:type="dxa" w:w="1872"/>
            <w:shd w:val="clear" w:color="auto" w:fill="F2F2F2"/>
          </w:tcPr>
          <w:p>
            <w:r>
              <w:rPr>
                <w:sz w:val="19"/>
              </w:rPr>
              <w:t>Quarterly / Milestone</w:t>
            </w:r>
          </w:p>
        </w:tc>
        <w:tc>
          <w:tcPr>
            <w:tcW w:type="dxa" w:w="5328"/>
            <w:shd w:val="clear" w:color="auto" w:fill="F2F2F2"/>
          </w:tcPr>
          <w:p>
            <w:r>
              <w:rPr>
                <w:sz w:val="19"/>
              </w:rPr>
              <w:t>Executive business review with Plennegy CIO/HR Director and APPSolve Director; strategic alignment; resource adequacy; forward plan</w:t>
            </w:r>
          </w:p>
        </w:tc>
      </w:tr>
    </w:tbl>
    <w:p/>
    <w:p>
      <w:pPr>
        <w:pStyle w:val="Heading2"/>
      </w:pPr>
      <w:r>
        <w:rPr>
          <w:color w:val="1F3964"/>
        </w:rPr>
        <w:t>9.2  Risk Management</w:t>
      </w:r>
    </w:p>
    <w:p>
      <w:pPr>
        <w:spacing w:after="120" w:before="40"/>
      </w:pPr>
      <w:r>
        <w:rPr>
          <w:b w:val="0"/>
          <w:i w:val="0"/>
          <w:sz w:val="21"/>
        </w:rPr>
        <w:t>Identified risks are logged in a centralised risk register, assigned to an owner, and analysed for impact and likelihood at each weekly project review. Risks that cannot be mitigated at the operational level are escalated to the Steering Committee within 48 hours.</w:t>
      </w:r>
    </w:p>
    <w:p>
      <w:pPr>
        <w:pStyle w:val="Heading2"/>
      </w:pPr>
      <w:r>
        <w:rPr>
          <w:color w:val="1F3964"/>
        </w:rPr>
        <w:t>9.3  Issue Management</w:t>
      </w:r>
    </w:p>
    <w:p>
      <w:pPr>
        <w:spacing w:after="120" w:before="40"/>
      </w:pPr>
      <w:r>
        <w:rPr>
          <w:b w:val="0"/>
          <w:i w:val="0"/>
          <w:sz w:val="21"/>
        </w:rPr>
        <w:t>Issues are documented in an Issues Log immediately upon identification. The Project Manager assesses each issue for impact on scope, budget, and schedule. Issues without scope/budget/schedule impact are resolved by the project team. Issues with impact trigger a formal Change Request reviewed by the Steering Committee.</w:t>
      </w:r>
    </w:p>
    <w:p>
      <w:pPr>
        <w:pStyle w:val="Heading2"/>
      </w:pPr>
      <w:r>
        <w:rPr>
          <w:color w:val="1F3964"/>
        </w:rPr>
        <w:t>9.4  Change Control</w:t>
      </w:r>
    </w:p>
    <w:p>
      <w:pPr>
        <w:spacing w:after="120" w:before="40"/>
      </w:pPr>
      <w:r>
        <w:rPr>
          <w:b w:val="0"/>
          <w:i w:val="0"/>
          <w:sz w:val="21"/>
        </w:rPr>
        <w:t>A formal Change Control process governs any activity that alters the scope, deliverable, architecture, cost, or schedule of the project. Change Requests are submitted, evaluated for impact, and approved by the Steering Committee before any deviation from the agreed project plan. No production configuration change is made without a signed Change Request.</w:t>
      </w:r>
    </w:p>
    <w:p>
      <w:pPr>
        <w:pStyle w:val="Heading2"/>
      </w:pPr>
      <w:r>
        <w:rPr>
          <w:color w:val="1F3964"/>
        </w:rPr>
        <w:t>9.5  Quality Assurance</w:t>
      </w:r>
    </w:p>
    <w:tbl>
      <w:tblPr>
        <w:tblStyle w:val="TableGrid"/>
        <w:tblW w:type="auto" w:w="0"/>
        <w:tblLook w:firstColumn="1" w:firstRow="1" w:lastColumn="0" w:lastRow="0" w:noHBand="0" w:noVBand="1" w:val="04A0"/>
      </w:tblPr>
      <w:tblGrid>
        <w:gridCol w:w="4514"/>
        <w:gridCol w:w="4514"/>
      </w:tblGrid>
      <w:tr>
        <w:tc>
          <w:tcPr>
            <w:tcW w:type="dxa" w:w="2880"/>
            <w:shd w:val="clear" w:color="auto" w:fill="1F3964"/>
          </w:tcPr>
          <w:p>
            <w:pPr>
              <w:jc w:val="center"/>
            </w:pPr>
            <w:r>
              <w:rPr>
                <w:b/>
                <w:color w:val="FFFFFF"/>
                <w:sz w:val="19"/>
              </w:rPr>
              <w:t>QA Control</w:t>
            </w:r>
          </w:p>
        </w:tc>
        <w:tc>
          <w:tcPr>
            <w:tcW w:type="dxa" w:w="6768"/>
            <w:shd w:val="clear" w:color="auto" w:fill="1F3964"/>
          </w:tcPr>
          <w:p>
            <w:pPr>
              <w:jc w:val="center"/>
            </w:pPr>
            <w:r>
              <w:rPr>
                <w:b/>
                <w:color w:val="FFFFFF"/>
                <w:sz w:val="19"/>
              </w:rPr>
              <w:t>Approach</w:t>
            </w:r>
          </w:p>
        </w:tc>
      </w:tr>
      <w:tr>
        <w:tc>
          <w:tcPr>
            <w:tcW w:type="dxa" w:w="2880"/>
            <w:shd w:val="clear" w:color="auto" w:fill="F2F2F2"/>
          </w:tcPr>
          <w:p>
            <w:r>
              <w:rPr>
                <w:sz w:val="19"/>
              </w:rPr>
              <w:t>Deliverable review</w:t>
            </w:r>
          </w:p>
        </w:tc>
        <w:tc>
          <w:tcPr>
            <w:tcW w:type="dxa" w:w="6768"/>
            <w:shd w:val="clear" w:color="auto" w:fill="F2F2F2"/>
          </w:tcPr>
          <w:p>
            <w:r>
              <w:rPr>
                <w:sz w:val="19"/>
              </w:rPr>
              <w:t>All deliverables undergo internal APPSolve QA review before client submission; QA Lead sign-off required</w:t>
            </w:r>
          </w:p>
        </w:tc>
      </w:tr>
      <w:tr>
        <w:tc>
          <w:tcPr>
            <w:tcW w:type="dxa" w:w="2880"/>
            <w:shd w:val="clear" w:color="auto" w:fill="FFFFFF"/>
          </w:tcPr>
          <w:p>
            <w:r>
              <w:rPr>
                <w:sz w:val="19"/>
              </w:rPr>
              <w:t>UAT governance</w:t>
            </w:r>
          </w:p>
        </w:tc>
        <w:tc>
          <w:tcPr>
            <w:tcW w:type="dxa" w:w="6768"/>
            <w:shd w:val="clear" w:color="auto" w:fill="FFFFFF"/>
          </w:tcPr>
          <w:p>
            <w:r>
              <w:rPr>
                <w:sz w:val="19"/>
              </w:rPr>
              <w:t>All UAT sessions facilitated by APPSolve; attendance registers and feedback sheets captured as formal deliverables; all defects tracked to resolution</w:t>
            </w:r>
          </w:p>
        </w:tc>
      </w:tr>
      <w:tr>
        <w:tc>
          <w:tcPr>
            <w:tcW w:type="dxa" w:w="2880"/>
            <w:shd w:val="clear" w:color="auto" w:fill="F2F2F2"/>
          </w:tcPr>
          <w:p>
            <w:r>
              <w:rPr>
                <w:sz w:val="19"/>
              </w:rPr>
              <w:t>Go-live readiness</w:t>
            </w:r>
          </w:p>
        </w:tc>
        <w:tc>
          <w:tcPr>
            <w:tcW w:type="dxa" w:w="6768"/>
            <w:shd w:val="clear" w:color="auto" w:fill="F2F2F2"/>
          </w:tcPr>
          <w:p>
            <w:r>
              <w:rPr>
                <w:sz w:val="19"/>
              </w:rPr>
              <w:t>Formal go-live readiness checklist completed and signed off by both APPSolve and Plennegy before production migration; no go-live without mutual sign-off</w:t>
            </w:r>
          </w:p>
        </w:tc>
      </w:tr>
      <w:tr>
        <w:tc>
          <w:tcPr>
            <w:tcW w:type="dxa" w:w="2880"/>
            <w:shd w:val="clear" w:color="auto" w:fill="FFFFFF"/>
          </w:tcPr>
          <w:p>
            <w:r>
              <w:rPr>
                <w:sz w:val="19"/>
              </w:rPr>
              <w:t>Configuration management</w:t>
            </w:r>
          </w:p>
        </w:tc>
        <w:tc>
          <w:tcPr>
            <w:tcW w:type="dxa" w:w="6768"/>
            <w:shd w:val="clear" w:color="auto" w:fill="FFFFFF"/>
          </w:tcPr>
          <w:p>
            <w:r>
              <w:rPr>
                <w:sz w:val="19"/>
              </w:rPr>
              <w:t>All Oracle HCM configuration documented; version-controlled and backed up throughout implementation; release notes produced for each CRP cycle</w:t>
            </w:r>
          </w:p>
        </w:tc>
      </w:tr>
    </w:tbl>
    <w:p/>
    <w:p>
      <w:pPr>
        <w:ind w:left="360"/>
      </w:pPr>
      <w:r>
        <w:rPr>
          <w:b/>
          <w:color w:val="2E7D32"/>
          <w:sz w:val="19"/>
        </w:rPr>
        <w:t>▌ Status: Complete</w:t>
      </w:r>
      <w:r>
        <w:rPr>
          <w:sz w:val="19"/>
        </w:rPr>
        <w:t xml:space="preserve">  —  Source: W2S1-005-ORA-ImplementationMethodology (Approved 2026-06-12). Three-tier governance model is APPSolve standard.</w:t>
      </w:r>
    </w:p>
    <w:p/>
    <w:p>
      <w:r>
        <w:br w:type="page"/>
      </w:r>
    </w:p>
    <w:p>
      <w:pPr>
        <w:pStyle w:val="Heading1"/>
      </w:pPr>
      <w:r>
        <w:rPr>
          <w:color w:val="1F3964"/>
        </w:rPr>
        <w:t>10.  Support and Managed Services</w:t>
      </w:r>
    </w:p>
    <w:p>
      <w:pPr>
        <w:spacing w:after="120" w:before="40"/>
      </w:pPr>
      <w:r>
        <w:rPr>
          <w:b w:val="0"/>
          <w:i w:val="0"/>
          <w:sz w:val="21"/>
        </w:rPr>
        <w:t>APPSolve recommends a tapering post-go-live support model that progressively transfers operational ownership to Plennegy's internal team while maintaining APPSolve expert support on standby.</w:t>
      </w:r>
    </w:p>
    <w:tbl>
      <w:tblPr>
        <w:tblStyle w:val="TableGrid"/>
        <w:tblW w:type="auto" w:w="0"/>
        <w:tblLook w:firstColumn="1" w:firstRow="1" w:lastColumn="0" w:lastRow="0" w:noHBand="0" w:noVBand="1" w:val="04A0"/>
      </w:tblPr>
      <w:tblGrid>
        <w:gridCol w:w="3010"/>
        <w:gridCol w:w="3010"/>
        <w:gridCol w:w="3010"/>
      </w:tblGrid>
      <w:tr>
        <w:tc>
          <w:tcPr>
            <w:tcW w:type="dxa" w:w="2160"/>
            <w:shd w:val="clear" w:color="auto" w:fill="1F3964"/>
          </w:tcPr>
          <w:p>
            <w:pPr>
              <w:jc w:val="center"/>
            </w:pPr>
            <w:r>
              <w:rPr>
                <w:b/>
                <w:color w:val="FFFFFF"/>
                <w:sz w:val="19"/>
              </w:rPr>
              <w:t>Support Phase</w:t>
            </w:r>
          </w:p>
        </w:tc>
        <w:tc>
          <w:tcPr>
            <w:tcW w:type="dxa" w:w="3600"/>
            <w:shd w:val="clear" w:color="auto" w:fill="1F3964"/>
          </w:tcPr>
          <w:p>
            <w:pPr>
              <w:jc w:val="center"/>
            </w:pPr>
            <w:r>
              <w:rPr>
                <w:b/>
                <w:color w:val="FFFFFF"/>
                <w:sz w:val="19"/>
              </w:rPr>
              <w:t>Duration</w:t>
            </w:r>
          </w:p>
        </w:tc>
        <w:tc>
          <w:tcPr>
            <w:tcW w:type="dxa" w:w="3888"/>
            <w:shd w:val="clear" w:color="auto" w:fill="1F3964"/>
          </w:tcPr>
          <w:p>
            <w:pPr>
              <w:jc w:val="center"/>
            </w:pPr>
            <w:r>
              <w:rPr>
                <w:b/>
                <w:color w:val="FFFFFF"/>
                <w:sz w:val="19"/>
              </w:rPr>
              <w:t>Model</w:t>
            </w:r>
          </w:p>
        </w:tc>
      </w:tr>
      <w:tr>
        <w:tc>
          <w:tcPr>
            <w:tcW w:type="dxa" w:w="2160"/>
            <w:shd w:val="clear" w:color="auto" w:fill="F2F2F2"/>
          </w:tcPr>
          <w:p>
            <w:r>
              <w:rPr>
                <w:sz w:val="19"/>
              </w:rPr>
              <w:t>Hyper-care</w:t>
            </w:r>
          </w:p>
        </w:tc>
        <w:tc>
          <w:tcPr>
            <w:tcW w:type="dxa" w:w="3600"/>
            <w:shd w:val="clear" w:color="auto" w:fill="F2F2F2"/>
          </w:tcPr>
          <w:p>
            <w:r>
              <w:rPr>
                <w:sz w:val="19"/>
              </w:rPr>
              <w:t>Months 1 (minimum 4 weeks post-go-live)</w:t>
            </w:r>
          </w:p>
        </w:tc>
        <w:tc>
          <w:tcPr>
            <w:tcW w:type="dxa" w:w="3888"/>
            <w:shd w:val="clear" w:color="auto" w:fill="F2F2F2"/>
          </w:tcPr>
          <w:p>
            <w:r>
              <w:rPr>
                <w:sz w:val="19"/>
              </w:rPr>
              <w:t>Full APPSolve senior team on call; immediate response to any production issue; daily check-ins; environment monitoring</w:t>
            </w:r>
          </w:p>
        </w:tc>
      </w:tr>
      <w:tr>
        <w:tc>
          <w:tcPr>
            <w:tcW w:type="dxa" w:w="2160"/>
            <w:shd w:val="clear" w:color="auto" w:fill="FFFFFF"/>
          </w:tcPr>
          <w:p>
            <w:r>
              <w:rPr>
                <w:sz w:val="19"/>
              </w:rPr>
              <w:t>Critical care</w:t>
            </w:r>
          </w:p>
        </w:tc>
        <w:tc>
          <w:tcPr>
            <w:tcW w:type="dxa" w:w="3600"/>
            <w:shd w:val="clear" w:color="auto" w:fill="FFFFFF"/>
          </w:tcPr>
          <w:p>
            <w:r>
              <w:rPr>
                <w:sz w:val="19"/>
              </w:rPr>
              <w:t>Months 2–7 (approximately, based on Plennegy team readiness)</w:t>
            </w:r>
          </w:p>
        </w:tc>
        <w:tc>
          <w:tcPr>
            <w:tcW w:type="dxa" w:w="3888"/>
            <w:shd w:val="clear" w:color="auto" w:fill="FFFFFF"/>
          </w:tcPr>
          <w:p>
            <w:r>
              <w:rPr>
                <w:sz w:val="19"/>
              </w:rPr>
              <w:t>Reduced team; senior-led; P1 response within 2 hours; covers release management, business change, and user adoption</w:t>
            </w:r>
          </w:p>
        </w:tc>
      </w:tr>
      <w:tr>
        <w:tc>
          <w:tcPr>
            <w:tcW w:type="dxa" w:w="2160"/>
            <w:shd w:val="clear" w:color="auto" w:fill="F2F2F2"/>
          </w:tcPr>
          <w:p>
            <w:r>
              <w:rPr>
                <w:sz w:val="19"/>
              </w:rPr>
              <w:t>Ongoing AMS</w:t>
            </w:r>
          </w:p>
        </w:tc>
        <w:tc>
          <w:tcPr>
            <w:tcW w:type="dxa" w:w="3600"/>
            <w:shd w:val="clear" w:color="auto" w:fill="F2F2F2"/>
          </w:tcPr>
          <w:p>
            <w:r>
              <w:rPr>
                <w:sz w:val="19"/>
              </w:rPr>
              <w:t>From Month 7 (or when Plennegy team is operationally self-sufficient)</w:t>
            </w:r>
          </w:p>
        </w:tc>
        <w:tc>
          <w:tcPr>
            <w:tcW w:type="dxa" w:w="3888"/>
            <w:shd w:val="clear" w:color="auto" w:fill="F2F2F2"/>
          </w:tcPr>
          <w:p>
            <w:r>
              <w:rPr>
                <w:sz w:val="19"/>
              </w:rPr>
              <w:t>Scheduled support; quarterly release guidance; named support consultant; SLA-governed response times</w:t>
            </w:r>
          </w:p>
        </w:tc>
      </w:tr>
    </w:tbl>
    <w:p/>
    <w:p>
      <w:pPr>
        <w:pStyle w:val="Heading2"/>
      </w:pPr>
      <w:r>
        <w:rPr>
          <w:color w:val="1F3964"/>
        </w:rPr>
        <w:t>10.1  AMS SLA Framework</w:t>
      </w:r>
    </w:p>
    <w:tbl>
      <w:tblPr>
        <w:tblStyle w:val="TableGrid"/>
        <w:tblW w:type="auto" w:w="0"/>
        <w:tblLook w:firstColumn="1" w:firstRow="1" w:lastColumn="0" w:lastRow="0" w:noHBand="0" w:noVBand="1" w:val="04A0"/>
      </w:tblPr>
      <w:tblGrid>
        <w:gridCol w:w="3010"/>
        <w:gridCol w:w="3010"/>
        <w:gridCol w:w="3010"/>
      </w:tblGrid>
      <w:tr>
        <w:tc>
          <w:tcPr>
            <w:tcW w:type="dxa" w:w="1728"/>
            <w:shd w:val="clear" w:color="auto" w:fill="1F3964"/>
          </w:tcPr>
          <w:p>
            <w:pPr>
              <w:jc w:val="center"/>
            </w:pPr>
            <w:r>
              <w:rPr>
                <w:b/>
                <w:color w:val="FFFFFF"/>
                <w:sz w:val="19"/>
              </w:rPr>
              <w:t>Priority</w:t>
            </w:r>
          </w:p>
        </w:tc>
        <w:tc>
          <w:tcPr>
            <w:tcW w:type="dxa" w:w="4320"/>
            <w:shd w:val="clear" w:color="auto" w:fill="1F3964"/>
          </w:tcPr>
          <w:p>
            <w:pPr>
              <w:jc w:val="center"/>
            </w:pPr>
            <w:r>
              <w:rPr>
                <w:b/>
                <w:color w:val="FFFFFF"/>
                <w:sz w:val="19"/>
              </w:rPr>
              <w:t>Definition</w:t>
            </w:r>
          </w:p>
        </w:tc>
        <w:tc>
          <w:tcPr>
            <w:tcW w:type="dxa" w:w="3600"/>
            <w:shd w:val="clear" w:color="auto" w:fill="1F3964"/>
          </w:tcPr>
          <w:p>
            <w:pPr>
              <w:jc w:val="center"/>
            </w:pPr>
            <w:r>
              <w:rPr>
                <w:b/>
                <w:color w:val="FFFFFF"/>
                <w:sz w:val="19"/>
              </w:rPr>
              <w:t>SLA Target</w:t>
            </w:r>
          </w:p>
        </w:tc>
      </w:tr>
      <w:tr>
        <w:tc>
          <w:tcPr>
            <w:tcW w:type="dxa" w:w="1728"/>
            <w:shd w:val="clear" w:color="auto" w:fill="F2F2F2"/>
          </w:tcPr>
          <w:p>
            <w:r>
              <w:rPr>
                <w:sz w:val="19"/>
              </w:rPr>
              <w:t>P1 Critical</w:t>
            </w:r>
          </w:p>
        </w:tc>
        <w:tc>
          <w:tcPr>
            <w:tcW w:type="dxa" w:w="4320"/>
            <w:shd w:val="clear" w:color="auto" w:fill="F2F2F2"/>
          </w:tcPr>
          <w:p>
            <w:r>
              <w:rPr>
                <w:sz w:val="19"/>
              </w:rPr>
              <w:t>Production system unavailable; payroll-impacting issue</w:t>
            </w:r>
          </w:p>
        </w:tc>
        <w:tc>
          <w:tcPr>
            <w:tcW w:type="dxa" w:w="3600"/>
            <w:shd w:val="clear" w:color="auto" w:fill="F2F2F2"/>
          </w:tcPr>
          <w:p>
            <w:r>
              <w:rPr>
                <w:sz w:val="19"/>
              </w:rPr>
              <w:t>2 hours response; 4 hours resolution target</w:t>
            </w:r>
          </w:p>
        </w:tc>
      </w:tr>
      <w:tr>
        <w:tc>
          <w:tcPr>
            <w:tcW w:type="dxa" w:w="1728"/>
            <w:shd w:val="clear" w:color="auto" w:fill="FFFFFF"/>
          </w:tcPr>
          <w:p>
            <w:r>
              <w:rPr>
                <w:sz w:val="19"/>
              </w:rPr>
              <w:t>P2 High</w:t>
            </w:r>
          </w:p>
        </w:tc>
        <w:tc>
          <w:tcPr>
            <w:tcW w:type="dxa" w:w="4320"/>
            <w:shd w:val="clear" w:color="auto" w:fill="FFFFFF"/>
          </w:tcPr>
          <w:p>
            <w:r>
              <w:rPr>
                <w:sz w:val="19"/>
              </w:rPr>
              <w:t>Major function unavailable; significant business impact</w:t>
            </w:r>
          </w:p>
        </w:tc>
        <w:tc>
          <w:tcPr>
            <w:tcW w:type="dxa" w:w="3600"/>
            <w:shd w:val="clear" w:color="auto" w:fill="FFFFFF"/>
          </w:tcPr>
          <w:p>
            <w:r>
              <w:rPr>
                <w:sz w:val="19"/>
              </w:rPr>
              <w:t>4 hours response; 1 business day resolution target</w:t>
            </w:r>
          </w:p>
        </w:tc>
      </w:tr>
      <w:tr>
        <w:tc>
          <w:tcPr>
            <w:tcW w:type="dxa" w:w="1728"/>
            <w:shd w:val="clear" w:color="auto" w:fill="F2F2F2"/>
          </w:tcPr>
          <w:p>
            <w:r>
              <w:rPr>
                <w:sz w:val="19"/>
              </w:rPr>
              <w:t>P3 Medium</w:t>
            </w:r>
          </w:p>
        </w:tc>
        <w:tc>
          <w:tcPr>
            <w:tcW w:type="dxa" w:w="4320"/>
            <w:shd w:val="clear" w:color="auto" w:fill="F2F2F2"/>
          </w:tcPr>
          <w:p>
            <w:r>
              <w:rPr>
                <w:sz w:val="19"/>
              </w:rPr>
              <w:t>Non-critical issue; workaround available</w:t>
            </w:r>
          </w:p>
        </w:tc>
        <w:tc>
          <w:tcPr>
            <w:tcW w:type="dxa" w:w="3600"/>
            <w:shd w:val="clear" w:color="auto" w:fill="F2F2F2"/>
          </w:tcPr>
          <w:p>
            <w:r>
              <w:rPr>
                <w:sz w:val="19"/>
              </w:rPr>
              <w:t>Next business day response; 3 business day resolution</w:t>
            </w:r>
          </w:p>
        </w:tc>
      </w:tr>
      <w:tr>
        <w:tc>
          <w:tcPr>
            <w:tcW w:type="dxa" w:w="1728"/>
            <w:shd w:val="clear" w:color="auto" w:fill="FFFFFF"/>
          </w:tcPr>
          <w:p>
            <w:r>
              <w:rPr>
                <w:sz w:val="19"/>
              </w:rPr>
              <w:t>P4 Low</w:t>
            </w:r>
          </w:p>
        </w:tc>
        <w:tc>
          <w:tcPr>
            <w:tcW w:type="dxa" w:w="4320"/>
            <w:shd w:val="clear" w:color="auto" w:fill="FFFFFF"/>
          </w:tcPr>
          <w:p>
            <w:r>
              <w:rPr>
                <w:sz w:val="19"/>
              </w:rPr>
              <w:t>Minor cosmetic or informational; no business impact</w:t>
            </w:r>
          </w:p>
        </w:tc>
        <w:tc>
          <w:tcPr>
            <w:tcW w:type="dxa" w:w="3600"/>
            <w:shd w:val="clear" w:color="auto" w:fill="FFFFFF"/>
          </w:tcPr>
          <w:p>
            <w:r>
              <w:rPr>
                <w:sz w:val="19"/>
              </w:rPr>
              <w:t>5 business days response</w:t>
            </w:r>
          </w:p>
        </w:tc>
      </w:tr>
    </w:tbl>
    <w:p/>
    <w:p>
      <w:r>
        <w:rPr>
          <w:b/>
          <w:i/>
          <w:color w:val="B71C1C"/>
          <w:sz w:val="21"/>
        </w:rPr>
        <w:t>[COMMERCIAL INPUT REQUIRED — Specific SLA targets and AMS contract terms to be negotiated and agreed in the support agreement during Phase 1 (Deploy).]</w:t>
      </w:r>
    </w:p>
    <w:p>
      <w:pPr>
        <w:pStyle w:val="Heading2"/>
      </w:pPr>
      <w:r>
        <w:rPr>
          <w:color w:val="1F3964"/>
        </w:rPr>
        <w:t>10.2  Oracle Quarterly Release Management</w:t>
      </w:r>
    </w:p>
    <w:p>
      <w:pPr>
        <w:spacing w:after="120" w:before="40"/>
      </w:pPr>
      <w:r>
        <w:rPr>
          <w:b w:val="0"/>
          <w:i w:val="0"/>
          <w:sz w:val="21"/>
        </w:rPr>
        <w:t>Oracle Fusion HCM Cloud is updated quarterly. APPSolve's AMS service includes proactive quarterly release review: assessment of new features relevant to Plennegy, impact analysis, recommendation on feature activation, and test support. This ensures Plennegy's Oracle environment continuously benefits from Oracle's product investment.</w:t>
      </w:r>
    </w:p>
    <w:p>
      <w:pPr>
        <w:ind w:left="360"/>
      </w:pPr>
      <w:r>
        <w:rPr>
          <w:b/>
          <w:color w:val="E65100"/>
          <w:sz w:val="19"/>
        </w:rPr>
        <w:t>▌ Status: Needs Review</w:t>
      </w:r>
      <w:r>
        <w:rPr>
          <w:sz w:val="19"/>
        </w:rPr>
        <w:t xml:space="preserve">  —  Source: W2S1-004-ORA-ManagedServicesSupportModel (Approved 2026-06-11) — partial. BU Lead to confirm current AMS pricing model and SLA parameters before submission.</w:t>
      </w:r>
    </w:p>
    <w:p/>
    <w:p>
      <w:r>
        <w:br w:type="page"/>
      </w:r>
    </w:p>
    <w:p>
      <w:pPr>
        <w:pStyle w:val="Heading1"/>
      </w:pPr>
      <w:r>
        <w:rPr>
          <w:color w:val="1F3964"/>
        </w:rPr>
        <w:t>11.  Proposed Delivery Team</w:t>
      </w:r>
    </w:p>
    <w:p>
      <w:pPr>
        <w:spacing w:after="120" w:before="40"/>
      </w:pPr>
      <w:r>
        <w:rPr>
          <w:b w:val="0"/>
          <w:i w:val="0"/>
          <w:sz w:val="21"/>
        </w:rPr>
        <w:t>APPSolve proposes the following delivery team for Plennegy's Oracle HCM Cloud implementation. All named resources hold CVs on file and are available for client interview. Specific resource availability and phasing will be confirmed during the Mobilize phase.</w:t>
      </w:r>
    </w:p>
    <w:tbl>
      <w:tblPr>
        <w:tblStyle w:val="TableGrid"/>
        <w:tblW w:type="auto" w:w="0"/>
        <w:tblLook w:firstColumn="1" w:firstRow="1" w:lastColumn="0" w:lastRow="0" w:noHBand="0" w:noVBand="1" w:val="04A0"/>
      </w:tblPr>
      <w:tblGrid>
        <w:gridCol w:w="2257"/>
        <w:gridCol w:w="2257"/>
        <w:gridCol w:w="2257"/>
        <w:gridCol w:w="2257"/>
      </w:tblGrid>
      <w:tr>
        <w:tc>
          <w:tcPr>
            <w:tcW w:type="dxa" w:w="2592"/>
            <w:shd w:val="clear" w:color="auto" w:fill="1F3964"/>
          </w:tcPr>
          <w:p>
            <w:pPr>
              <w:jc w:val="center"/>
            </w:pPr>
            <w:r>
              <w:rPr>
                <w:b/>
                <w:color w:val="FFFFFF"/>
                <w:sz w:val="19"/>
              </w:rPr>
              <w:t>Role</w:t>
            </w:r>
          </w:p>
        </w:tc>
        <w:tc>
          <w:tcPr>
            <w:tcW w:type="dxa" w:w="2160"/>
            <w:shd w:val="clear" w:color="auto" w:fill="1F3964"/>
          </w:tcPr>
          <w:p>
            <w:pPr>
              <w:jc w:val="center"/>
            </w:pPr>
            <w:r>
              <w:rPr>
                <w:b/>
                <w:color w:val="FFFFFF"/>
                <w:sz w:val="19"/>
              </w:rPr>
              <w:t>Proposed Resource</w:t>
            </w:r>
          </w:p>
        </w:tc>
        <w:tc>
          <w:tcPr>
            <w:tcW w:type="dxa" w:w="1296"/>
            <w:shd w:val="clear" w:color="auto" w:fill="1F3964"/>
          </w:tcPr>
          <w:p>
            <w:pPr>
              <w:jc w:val="center"/>
            </w:pPr>
            <w:r>
              <w:rPr>
                <w:b/>
                <w:color w:val="FFFFFF"/>
                <w:sz w:val="19"/>
              </w:rPr>
              <w:t>Type</w:t>
            </w:r>
          </w:p>
        </w:tc>
        <w:tc>
          <w:tcPr>
            <w:tcW w:type="dxa" w:w="3672"/>
            <w:shd w:val="clear" w:color="auto" w:fill="1F3964"/>
          </w:tcPr>
          <w:p>
            <w:pPr>
              <w:jc w:val="center"/>
            </w:pPr>
            <w:r>
              <w:rPr>
                <w:b/>
                <w:color w:val="FFFFFF"/>
                <w:sz w:val="19"/>
              </w:rPr>
              <w:t>Qualification Summary</w:t>
            </w:r>
          </w:p>
        </w:tc>
      </w:tr>
      <w:tr>
        <w:tc>
          <w:tcPr>
            <w:tcW w:type="dxa" w:w="2592"/>
            <w:shd w:val="clear" w:color="auto" w:fill="F2F2F2"/>
          </w:tcPr>
          <w:p>
            <w:r>
              <w:rPr>
                <w:sz w:val="19"/>
              </w:rPr>
              <w:t>Programme Manager</w:t>
            </w:r>
          </w:p>
        </w:tc>
        <w:tc>
          <w:tcPr>
            <w:tcW w:type="dxa" w:w="2160"/>
            <w:shd w:val="clear" w:color="auto" w:fill="F2F2F2"/>
          </w:tcPr>
          <w:p>
            <w:r>
              <w:rPr>
                <w:sz w:val="19"/>
              </w:rPr>
              <w:t>Marlene Mostert</w:t>
            </w:r>
          </w:p>
        </w:tc>
        <w:tc>
          <w:tcPr>
            <w:tcW w:type="dxa" w:w="1296"/>
            <w:shd w:val="clear" w:color="auto" w:fill="F2F2F2"/>
          </w:tcPr>
          <w:p>
            <w:r>
              <w:rPr>
                <w:sz w:val="19"/>
              </w:rPr>
              <w:t>Employee</w:t>
            </w:r>
          </w:p>
        </w:tc>
        <w:tc>
          <w:tcPr>
            <w:tcW w:type="dxa" w:w="3672"/>
            <w:shd w:val="clear" w:color="auto" w:fill="F2F2F2"/>
          </w:tcPr>
          <w:p>
            <w:r>
              <w:rPr>
                <w:sz w:val="19"/>
              </w:rPr>
              <w:t>Multi-national Oracle ERP programme delivery experience; responsible for executive stakeholder management, budget governance, and programme oversight across all 5 phases</w:t>
            </w:r>
          </w:p>
        </w:tc>
      </w:tr>
      <w:tr>
        <w:tc>
          <w:tcPr>
            <w:tcW w:type="dxa" w:w="2592"/>
            <w:shd w:val="clear" w:color="auto" w:fill="FFFFFF"/>
          </w:tcPr>
          <w:p>
            <w:r>
              <w:rPr>
                <w:sz w:val="19"/>
              </w:rPr>
              <w:t>Principal HCM Functional Lead</w:t>
            </w:r>
          </w:p>
        </w:tc>
        <w:tc>
          <w:tcPr>
            <w:tcW w:type="dxa" w:w="2160"/>
            <w:shd w:val="clear" w:color="auto" w:fill="FFFFFF"/>
          </w:tcPr>
          <w:p>
            <w:r>
              <w:rPr>
                <w:sz w:val="19"/>
              </w:rPr>
              <w:t>Debbie Blignaut</w:t>
            </w:r>
          </w:p>
        </w:tc>
        <w:tc>
          <w:tcPr>
            <w:tcW w:type="dxa" w:w="1296"/>
            <w:shd w:val="clear" w:color="auto" w:fill="FFFFFF"/>
          </w:tcPr>
          <w:p>
            <w:r>
              <w:rPr>
                <w:sz w:val="19"/>
              </w:rPr>
              <w:t>Employee</w:t>
            </w:r>
          </w:p>
        </w:tc>
        <w:tc>
          <w:tcPr>
            <w:tcW w:type="dxa" w:w="3672"/>
            <w:shd w:val="clear" w:color="auto" w:fill="FFFFFF"/>
          </w:tcPr>
          <w:p>
            <w:r>
              <w:rPr>
                <w:sz w:val="19"/>
              </w:rPr>
              <w:t>Principal HCM Consultant; 20+ years Oracle HRMS and Fusion HCM experience; Fusion HCM go-live delivery for a major SA enterprise (7,000 users, July 2025); Full HCM suite expertise: Global HR, Recruiting, Learning, HR Help Desk, Absence, OTL; Oracle Learning Cloud 2023 and Recruiting Cloud 2022 certified</w:t>
            </w:r>
          </w:p>
        </w:tc>
      </w:tr>
      <w:tr>
        <w:tc>
          <w:tcPr>
            <w:tcW w:type="dxa" w:w="2592"/>
            <w:shd w:val="clear" w:color="auto" w:fill="F2F2F2"/>
          </w:tcPr>
          <w:p>
            <w:r>
              <w:rPr>
                <w:sz w:val="19"/>
              </w:rPr>
              <w:t>Principal HCM Payroll / T&amp;L Specialist</w:t>
            </w:r>
          </w:p>
        </w:tc>
        <w:tc>
          <w:tcPr>
            <w:tcW w:type="dxa" w:w="2160"/>
            <w:shd w:val="clear" w:color="auto" w:fill="F2F2F2"/>
          </w:tcPr>
          <w:p>
            <w:r>
              <w:rPr>
                <w:sz w:val="19"/>
              </w:rPr>
              <w:t>Annatjie Theron</w:t>
            </w:r>
          </w:p>
        </w:tc>
        <w:tc>
          <w:tcPr>
            <w:tcW w:type="dxa" w:w="1296"/>
            <w:shd w:val="clear" w:color="auto" w:fill="F2F2F2"/>
          </w:tcPr>
          <w:p>
            <w:r>
              <w:rPr>
                <w:sz w:val="19"/>
              </w:rPr>
              <w:t>Contractor</w:t>
            </w:r>
          </w:p>
        </w:tc>
        <w:tc>
          <w:tcPr>
            <w:tcW w:type="dxa" w:w="3672"/>
            <w:shd w:val="clear" w:color="auto" w:fill="F2F2F2"/>
          </w:tcPr>
          <w:p>
            <w:r>
              <w:rPr>
                <w:sz w:val="19"/>
              </w:rPr>
              <w:t>Principal HCM Consultant; Oracle HRMS specialist since 1996; Oracle Fusion Global Payroll; Absence Management; Compensation; Payroll Interface configuration</w:t>
            </w:r>
          </w:p>
        </w:tc>
      </w:tr>
      <w:tr>
        <w:tc>
          <w:tcPr>
            <w:tcW w:type="dxa" w:w="2592"/>
            <w:shd w:val="clear" w:color="auto" w:fill="FFFFFF"/>
          </w:tcPr>
          <w:p>
            <w:r>
              <w:rPr>
                <w:sz w:val="19"/>
              </w:rPr>
              <w:t>Learning Cloud Specialist</w:t>
            </w:r>
          </w:p>
        </w:tc>
        <w:tc>
          <w:tcPr>
            <w:tcW w:type="dxa" w:w="2160"/>
            <w:shd w:val="clear" w:color="auto" w:fill="FFFFFF"/>
          </w:tcPr>
          <w:p>
            <w:r>
              <w:rPr>
                <w:sz w:val="19"/>
              </w:rPr>
              <w:t>Michael Palombo</w:t>
            </w:r>
          </w:p>
        </w:tc>
        <w:tc>
          <w:tcPr>
            <w:tcW w:type="dxa" w:w="1296"/>
            <w:shd w:val="clear" w:color="auto" w:fill="FFFFFF"/>
          </w:tcPr>
          <w:p>
            <w:r>
              <w:rPr>
                <w:sz w:val="19"/>
              </w:rPr>
              <w:t>Employee</w:t>
            </w:r>
          </w:p>
        </w:tc>
        <w:tc>
          <w:tcPr>
            <w:tcW w:type="dxa" w:w="3672"/>
            <w:shd w:val="clear" w:color="auto" w:fill="FFFFFF"/>
          </w:tcPr>
          <w:p>
            <w:r>
              <w:rPr>
                <w:sz w:val="19"/>
              </w:rPr>
              <w:t>Principal HCM Consultant; Oracle HCM Learning Management specialist; Oracle HCM Cloud 2019 certified; former Oracle University training delivery; ICAgile certified</w:t>
            </w:r>
          </w:p>
        </w:tc>
      </w:tr>
      <w:tr>
        <w:tc>
          <w:tcPr>
            <w:tcW w:type="dxa" w:w="2592"/>
            <w:shd w:val="clear" w:color="auto" w:fill="F2F2F2"/>
          </w:tcPr>
          <w:p>
            <w:r>
              <w:rPr>
                <w:sz w:val="19"/>
              </w:rPr>
              <w:t>Supporting HCM Consultant</w:t>
            </w:r>
          </w:p>
        </w:tc>
        <w:tc>
          <w:tcPr>
            <w:tcW w:type="dxa" w:w="2160"/>
            <w:shd w:val="clear" w:color="auto" w:fill="F2F2F2"/>
          </w:tcPr>
          <w:p>
            <w:r>
              <w:rPr>
                <w:sz w:val="19"/>
              </w:rPr>
              <w:t>Ian de Koker</w:t>
            </w:r>
          </w:p>
        </w:tc>
        <w:tc>
          <w:tcPr>
            <w:tcW w:type="dxa" w:w="1296"/>
            <w:shd w:val="clear" w:color="auto" w:fill="F2F2F2"/>
          </w:tcPr>
          <w:p>
            <w:r>
              <w:rPr>
                <w:sz w:val="19"/>
              </w:rPr>
              <w:t>Employee</w:t>
            </w:r>
          </w:p>
        </w:tc>
        <w:tc>
          <w:tcPr>
            <w:tcW w:type="dxa" w:w="3672"/>
            <w:shd w:val="clear" w:color="auto" w:fill="F2F2F2"/>
          </w:tcPr>
          <w:p>
            <w:r>
              <w:rPr>
                <w:sz w:val="19"/>
              </w:rPr>
              <w:t>Senior HCM Consultant; 15+ years Oracle HRMS EBS and Cloud; Global HR Cloud certifications (2017/2020/2021/2022); Techno-functional capability for HCM configuration and reporting</w:t>
            </w:r>
          </w:p>
        </w:tc>
      </w:tr>
      <w:tr>
        <w:tc>
          <w:tcPr>
            <w:tcW w:type="dxa" w:w="2592"/>
            <w:shd w:val="clear" w:color="auto" w:fill="FFFFFF"/>
          </w:tcPr>
          <w:p>
            <w:r>
              <w:rPr>
                <w:sz w:val="19"/>
              </w:rPr>
              <w:t>OIC Integration Architect</w:t>
            </w:r>
          </w:p>
        </w:tc>
        <w:tc>
          <w:tcPr>
            <w:tcW w:type="dxa" w:w="2160"/>
            <w:shd w:val="clear" w:color="auto" w:fill="FFFFFF"/>
          </w:tcPr>
          <w:p>
            <w:r>
              <w:rPr>
                <w:sz w:val="19"/>
              </w:rPr>
              <w:t>Carin Webb</w:t>
            </w:r>
          </w:p>
        </w:tc>
        <w:tc>
          <w:tcPr>
            <w:tcW w:type="dxa" w:w="1296"/>
            <w:shd w:val="clear" w:color="auto" w:fill="FFFFFF"/>
          </w:tcPr>
          <w:p>
            <w:r>
              <w:rPr>
                <w:sz w:val="19"/>
              </w:rPr>
              <w:t>Employee</w:t>
            </w:r>
          </w:p>
        </w:tc>
        <w:tc>
          <w:tcPr>
            <w:tcW w:type="dxa" w:w="3672"/>
            <w:shd w:val="clear" w:color="auto" w:fill="FFFFFF"/>
          </w:tcPr>
          <w:p>
            <w:r>
              <w:rPr>
                <w:sz w:val="19"/>
              </w:rPr>
              <w:t>Principal Developer / OIC Architect; 12+ years OIC, SOA, integration design; Oracle OCI App Integration 2025 certified; confirmed bidirectional HCM-to-PaySpace production integration delivery</w:t>
            </w:r>
          </w:p>
        </w:tc>
      </w:tr>
      <w:tr>
        <w:tc>
          <w:tcPr>
            <w:tcW w:type="dxa" w:w="2592"/>
            <w:shd w:val="clear" w:color="auto" w:fill="F2F2F2"/>
          </w:tcPr>
          <w:p>
            <w:r>
              <w:rPr>
                <w:sz w:val="19"/>
              </w:rPr>
              <w:t>Senior Apps DBA / Infrastructure</w:t>
            </w:r>
          </w:p>
        </w:tc>
        <w:tc>
          <w:tcPr>
            <w:tcW w:type="dxa" w:w="2160"/>
            <w:shd w:val="clear" w:color="auto" w:fill="F2F2F2"/>
          </w:tcPr>
          <w:p>
            <w:r>
              <w:rPr>
                <w:sz w:val="19"/>
              </w:rPr>
              <w:t>Tim Kriel</w:t>
            </w:r>
          </w:p>
        </w:tc>
        <w:tc>
          <w:tcPr>
            <w:tcW w:type="dxa" w:w="1296"/>
            <w:shd w:val="clear" w:color="auto" w:fill="F2F2F2"/>
          </w:tcPr>
          <w:p>
            <w:r>
              <w:rPr>
                <w:sz w:val="19"/>
              </w:rPr>
              <w:t>Employee</w:t>
            </w:r>
          </w:p>
        </w:tc>
        <w:tc>
          <w:tcPr>
            <w:tcW w:type="dxa" w:w="3672"/>
            <w:shd w:val="clear" w:color="auto" w:fill="F2F2F2"/>
          </w:tcPr>
          <w:p>
            <w:r>
              <w:rPr>
                <w:sz w:val="19"/>
              </w:rPr>
              <w:t>Senior Apps DBA; 18+ years; Oracle Apps DBA, ODA, WebLogic, Oracle Linux, OCI; Oracle certifications: 11g OCP, R12 Apps OCP, OCA WebLogic, ODA Specialist; APPSolve since 2009</w:t>
            </w:r>
          </w:p>
        </w:tc>
      </w:tr>
    </w:tbl>
    <w:p/>
    <w:p>
      <w:pPr>
        <w:pStyle w:val="Heading2"/>
      </w:pPr>
      <w:r>
        <w:rPr>
          <w:color w:val="1F3964"/>
        </w:rPr>
        <w:t>11.1  Resource Availability and Named Resource Commitment</w:t>
      </w:r>
    </w:p>
    <w:p>
      <w:pPr>
        <w:spacing w:after="120" w:before="40"/>
      </w:pPr>
      <w:r>
        <w:rPr>
          <w:b w:val="0"/>
          <w:i w:val="0"/>
          <w:sz w:val="21"/>
        </w:rPr>
        <w:t>APPSolve commits that the named resources above are the team that will mobilise and deliver the Plennegy HCM programme. APPSolve does not substitute named resources after award without prior written agreement from Plennegy. Should substitution become necessary, APPSolve will provide a resource of equivalent seniority and skill within 10 business days.</w:t>
      </w:r>
    </w:p>
    <w:p>
      <w:r>
        <w:rPr>
          <w:b/>
          <w:i/>
          <w:color w:val="B71C1C"/>
          <w:sz w:val="21"/>
        </w:rPr>
        <w:t>[CLIENT INPUT REQUIRED — Plennegy to confirm required on-site presence vs. remote delivery ratio. APPSolve proposes primarily remote delivery with key workshop phases (CRP1, CRP2, UAT, Go-Live) conducted on-site. Travel costs are for Plennegy's account.]</w:t>
      </w:r>
    </w:p>
    <w:p>
      <w:r>
        <w:rPr>
          <w:b/>
          <w:i/>
          <w:color w:val="B71C1C"/>
          <w:sz w:val="21"/>
        </w:rPr>
        <w:t>[NOTE — Hollywood Bets AM approval required before explicitly naming Hollywood Bets as Debbie Blignaut's reference project in an external submission. Anonymous framing already applied above ("major SA enterprise"). BU Lead to obtain AM approval before submission.]</w:t>
      </w:r>
    </w:p>
    <w:p>
      <w:pPr>
        <w:ind w:left="360"/>
      </w:pPr>
      <w:r>
        <w:rPr>
          <w:b/>
          <w:color w:val="E65100"/>
          <w:sz w:val="19"/>
        </w:rPr>
        <w:t>▌ Status: Needs Review</w:t>
      </w:r>
      <w:r>
        <w:rPr>
          <w:sz w:val="19"/>
        </w:rPr>
        <w:t xml:space="preserve">  —  Team proposal sourced from CONSULTANT_INDEX.csv (WP10). CVs on file in Tender Pack/Rate Card/. HCM Cloud reference projects listed require AM approval per NAMED_REFERENCE_MATRIX before naming externally.</w:t>
      </w:r>
    </w:p>
    <w:p/>
    <w:p>
      <w:r>
        <w:br w:type="page"/>
      </w:r>
    </w:p>
    <w:p>
      <w:pPr>
        <w:pStyle w:val="Heading1"/>
      </w:pPr>
      <w:r>
        <w:rPr>
          <w:color w:val="1F3964"/>
        </w:rPr>
        <w:t>12.  Relevant Experience and References</w:t>
      </w:r>
    </w:p>
    <w:p>
      <w:pPr>
        <w:spacing w:after="120" w:before="40"/>
      </w:pPr>
      <w:r>
        <w:rPr>
          <w:b w:val="0"/>
          <w:i w:val="0"/>
          <w:sz w:val="21"/>
        </w:rPr>
        <w:t>APPSolve has an extensive Oracle reference portfolio. The following references are most relevant to Plennegy's Oracle HCM Cloud implementation. All references listed below have registered letters on file.</w:t>
      </w:r>
    </w:p>
    <w:p>
      <w:pPr>
        <w:pStyle w:val="Heading2"/>
      </w:pPr>
      <w:r>
        <w:rPr>
          <w:color w:val="1F3964"/>
        </w:rPr>
        <w:t>12.1  Oracle Corporation Partner Endorsement (Gold)</w:t>
      </w:r>
    </w:p>
    <w:p>
      <w:pPr>
        <w:spacing w:after="120" w:before="40"/>
      </w:pPr>
      <w:r>
        <w:rPr>
          <w:b w:val="0"/>
          <w:i w:val="0"/>
          <w:sz w:val="21"/>
        </w:rPr>
        <w:t>Oracle Corporation (South Africa) (Pty) Ltd — Oracle Country Manager Ashley Sanichar has provided a formal reference endorsement letter confirming:</w:t>
      </w:r>
    </w:p>
    <w:p>
      <w:pPr>
        <w:pStyle w:val="ListBullet"/>
      </w:pPr>
      <w:r>
        <w:rPr>
          <w:sz w:val="21"/>
        </w:rPr>
        <w:t>APPSolve is an Oracle Partner of more than 20 years</w:t>
      </w:r>
    </w:p>
    <w:p>
      <w:pPr>
        <w:pStyle w:val="ListBullet"/>
      </w:pPr>
      <w:r>
        <w:rPr>
          <w:sz w:val="21"/>
        </w:rPr>
        <w:t>APPSolve holds Published Expertise in: Cloud Applications (SaaS) Financials; Cloud Applications (SaaS) Human Resources (Core); Cloud Infrastructure and Platform Oracle Cloud Integration</w:t>
      </w:r>
    </w:p>
    <w:p>
      <w:pPr>
        <w:pStyle w:val="ListBullet"/>
      </w:pPr>
      <w:r>
        <w:rPr>
          <w:sz w:val="21"/>
        </w:rPr>
        <w:t>APPSolve has consistently demonstrated exceptional expertise in delivering Oracle solutions</w:t>
      </w:r>
    </w:p>
    <w:p>
      <w:pPr>
        <w:pStyle w:val="ListBullet"/>
      </w:pPr>
      <w:r>
        <w:rPr>
          <w:sz w:val="21"/>
        </w:rPr>
        <w:t>"Their proficiency in Oracle technologies, coupled with their deep understanding of client needs, has allowed them to execute projects with precision, timeliness, and a high standard of quality"</w:t>
      </w:r>
    </w:p>
    <w:p>
      <w:pPr>
        <w:pStyle w:val="Heading2"/>
      </w:pPr>
      <w:r>
        <w:rPr>
          <w:color w:val="1F3964"/>
        </w:rPr>
        <w:t>12.2  Oracle HCM Reference Summary</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296"/>
            <w:shd w:val="clear" w:color="auto" w:fill="1F3964"/>
          </w:tcPr>
          <w:p>
            <w:pPr>
              <w:jc w:val="center"/>
            </w:pPr>
            <w:r>
              <w:rPr>
                <w:b/>
                <w:color w:val="FFFFFF"/>
                <w:sz w:val="19"/>
              </w:rPr>
              <w:t>Ref ID</w:t>
            </w:r>
          </w:p>
        </w:tc>
        <w:tc>
          <w:tcPr>
            <w:tcW w:type="dxa" w:w="2016"/>
            <w:shd w:val="clear" w:color="auto" w:fill="1F3964"/>
          </w:tcPr>
          <w:p>
            <w:pPr>
              <w:jc w:val="center"/>
            </w:pPr>
            <w:r>
              <w:rPr>
                <w:b/>
                <w:color w:val="FFFFFF"/>
                <w:sz w:val="19"/>
              </w:rPr>
              <w:t>Client</w:t>
            </w:r>
          </w:p>
        </w:tc>
        <w:tc>
          <w:tcPr>
            <w:tcW w:type="dxa" w:w="864"/>
            <w:shd w:val="clear" w:color="auto" w:fill="1F3964"/>
          </w:tcPr>
          <w:p>
            <w:pPr>
              <w:jc w:val="center"/>
            </w:pPr>
            <w:r>
              <w:rPr>
                <w:b/>
                <w:color w:val="FFFFFF"/>
                <w:sz w:val="19"/>
              </w:rPr>
              <w:t>Tier</w:t>
            </w:r>
          </w:p>
        </w:tc>
        <w:tc>
          <w:tcPr>
            <w:tcW w:type="dxa" w:w="1296"/>
            <w:shd w:val="clear" w:color="auto" w:fill="1F3964"/>
          </w:tcPr>
          <w:p>
            <w:pPr>
              <w:jc w:val="center"/>
            </w:pPr>
            <w:r>
              <w:rPr>
                <w:b/>
                <w:color w:val="FFFFFF"/>
                <w:sz w:val="19"/>
              </w:rPr>
              <w:t>Sector</w:t>
            </w:r>
          </w:p>
        </w:tc>
        <w:tc>
          <w:tcPr>
            <w:tcW w:type="dxa" w:w="3600"/>
            <w:shd w:val="clear" w:color="auto" w:fill="1F3964"/>
          </w:tcPr>
          <w:p>
            <w:pPr>
              <w:jc w:val="center"/>
            </w:pPr>
            <w:r>
              <w:rPr>
                <w:b/>
                <w:color w:val="FFFFFF"/>
                <w:sz w:val="19"/>
              </w:rPr>
              <w:t>Scope</w:t>
            </w:r>
          </w:p>
        </w:tc>
        <w:tc>
          <w:tcPr>
            <w:tcW w:type="dxa" w:w="2016"/>
            <w:shd w:val="clear" w:color="auto" w:fill="1F3964"/>
          </w:tcPr>
          <w:p>
            <w:pPr>
              <w:jc w:val="center"/>
            </w:pPr>
            <w:r>
              <w:rPr>
                <w:b/>
                <w:color w:val="FFFFFF"/>
                <w:sz w:val="19"/>
              </w:rPr>
              <w:t>Naming Status</w:t>
            </w:r>
          </w:p>
        </w:tc>
      </w:tr>
      <w:tr>
        <w:tc>
          <w:tcPr>
            <w:tcW w:type="dxa" w:w="1296"/>
            <w:shd w:val="clear" w:color="auto" w:fill="F2F2F2"/>
          </w:tcPr>
          <w:p>
            <w:r>
              <w:rPr>
                <w:sz w:val="19"/>
              </w:rPr>
              <w:t>REF-ORA-008</w:t>
            </w:r>
          </w:p>
        </w:tc>
        <w:tc>
          <w:tcPr>
            <w:tcW w:type="dxa" w:w="2016"/>
            <w:shd w:val="clear" w:color="auto" w:fill="F2F2F2"/>
          </w:tcPr>
          <w:p>
            <w:r>
              <w:rPr>
                <w:sz w:val="19"/>
              </w:rPr>
              <w:t>ARM (African Rainbow Minerals)</w:t>
            </w:r>
          </w:p>
        </w:tc>
        <w:tc>
          <w:tcPr>
            <w:tcW w:type="dxa" w:w="864"/>
            <w:shd w:val="clear" w:color="auto" w:fill="F2F2F2"/>
          </w:tcPr>
          <w:p>
            <w:r>
              <w:rPr>
                <w:sz w:val="19"/>
              </w:rPr>
              <w:t>Gold</w:t>
            </w:r>
          </w:p>
        </w:tc>
        <w:tc>
          <w:tcPr>
            <w:tcW w:type="dxa" w:w="1296"/>
            <w:shd w:val="clear" w:color="auto" w:fill="F2F2F2"/>
          </w:tcPr>
          <w:p>
            <w:r>
              <w:rPr>
                <w:sz w:val="19"/>
              </w:rPr>
              <w:t>Mining</w:t>
            </w:r>
          </w:p>
        </w:tc>
        <w:tc>
          <w:tcPr>
            <w:tcW w:type="dxa" w:w="3600"/>
            <w:shd w:val="clear" w:color="auto" w:fill="F2F2F2"/>
          </w:tcPr>
          <w:p>
            <w:r>
              <w:rPr>
                <w:sz w:val="19"/>
              </w:rPr>
              <w:t>Oracle EBS HCM; 5+ years continuous AMS; HR Core, Absence, Self-Service; OCI infrastructure</w:t>
            </w:r>
          </w:p>
        </w:tc>
        <w:tc>
          <w:tcPr>
            <w:tcW w:type="dxa" w:w="2016"/>
            <w:shd w:val="clear" w:color="auto" w:fill="F2F2F2"/>
          </w:tcPr>
          <w:p>
            <w:r>
              <w:rPr>
                <w:sz w:val="19"/>
              </w:rPr>
              <w:t>Named</w:t>
            </w:r>
          </w:p>
        </w:tc>
      </w:tr>
      <w:tr>
        <w:tc>
          <w:tcPr>
            <w:tcW w:type="dxa" w:w="1296"/>
            <w:shd w:val="clear" w:color="auto" w:fill="FFFFFF"/>
          </w:tcPr>
          <w:p>
            <w:r>
              <w:rPr>
                <w:sz w:val="19"/>
              </w:rPr>
              <w:t>REF-ORA-010</w:t>
            </w:r>
          </w:p>
        </w:tc>
        <w:tc>
          <w:tcPr>
            <w:tcW w:type="dxa" w:w="2016"/>
            <w:shd w:val="clear" w:color="auto" w:fill="FFFFFF"/>
          </w:tcPr>
          <w:p>
            <w:r>
              <w:rPr>
                <w:sz w:val="19"/>
              </w:rPr>
              <w:t>WITS University</w:t>
            </w:r>
          </w:p>
        </w:tc>
        <w:tc>
          <w:tcPr>
            <w:tcW w:type="dxa" w:w="864"/>
            <w:shd w:val="clear" w:color="auto" w:fill="FFFFFF"/>
          </w:tcPr>
          <w:p>
            <w:r>
              <w:rPr>
                <w:sz w:val="19"/>
              </w:rPr>
              <w:t>Gold</w:t>
            </w:r>
          </w:p>
        </w:tc>
        <w:tc>
          <w:tcPr>
            <w:tcW w:type="dxa" w:w="1296"/>
            <w:shd w:val="clear" w:color="auto" w:fill="FFFFFF"/>
          </w:tcPr>
          <w:p>
            <w:r>
              <w:rPr>
                <w:sz w:val="19"/>
              </w:rPr>
              <w:t>Higher Education</w:t>
            </w:r>
          </w:p>
        </w:tc>
        <w:tc>
          <w:tcPr>
            <w:tcW w:type="dxa" w:w="3600"/>
            <w:shd w:val="clear" w:color="auto" w:fill="FFFFFF"/>
          </w:tcPr>
          <w:p>
            <w:r>
              <w:rPr>
                <w:sz w:val="19"/>
              </w:rPr>
              <w:t>Oracle EBS HCM + Payroll; BeBanking H2H integration; Finance; multi-year managed services</w:t>
            </w:r>
          </w:p>
        </w:tc>
        <w:tc>
          <w:tcPr>
            <w:tcW w:type="dxa" w:w="2016"/>
            <w:shd w:val="clear" w:color="auto" w:fill="FFFFFF"/>
          </w:tcPr>
          <w:p>
            <w:r>
              <w:rPr>
                <w:sz w:val="19"/>
              </w:rPr>
              <w:t>Named</w:t>
            </w:r>
          </w:p>
        </w:tc>
      </w:tr>
      <w:tr>
        <w:tc>
          <w:tcPr>
            <w:tcW w:type="dxa" w:w="1296"/>
            <w:shd w:val="clear" w:color="auto" w:fill="F2F2F2"/>
          </w:tcPr>
          <w:p>
            <w:r>
              <w:rPr>
                <w:sz w:val="19"/>
              </w:rPr>
              <w:t>REF-ORA-006</w:t>
            </w:r>
          </w:p>
        </w:tc>
        <w:tc>
          <w:tcPr>
            <w:tcW w:type="dxa" w:w="2016"/>
            <w:shd w:val="clear" w:color="auto" w:fill="F2F2F2"/>
          </w:tcPr>
          <w:p>
            <w:r>
              <w:rPr>
                <w:sz w:val="19"/>
              </w:rPr>
              <w:t>Mr Price Group</w:t>
            </w:r>
          </w:p>
        </w:tc>
        <w:tc>
          <w:tcPr>
            <w:tcW w:type="dxa" w:w="864"/>
            <w:shd w:val="clear" w:color="auto" w:fill="F2F2F2"/>
          </w:tcPr>
          <w:p>
            <w:r>
              <w:rPr>
                <w:sz w:val="19"/>
              </w:rPr>
              <w:t>Silver</w:t>
            </w:r>
          </w:p>
        </w:tc>
        <w:tc>
          <w:tcPr>
            <w:tcW w:type="dxa" w:w="1296"/>
            <w:shd w:val="clear" w:color="auto" w:fill="F2F2F2"/>
          </w:tcPr>
          <w:p>
            <w:r>
              <w:rPr>
                <w:sz w:val="19"/>
              </w:rPr>
              <w:t>Retail</w:t>
            </w:r>
          </w:p>
        </w:tc>
        <w:tc>
          <w:tcPr>
            <w:tcW w:type="dxa" w:w="3600"/>
            <w:shd w:val="clear" w:color="auto" w:fill="F2F2F2"/>
          </w:tcPr>
          <w:p>
            <w:r>
              <w:rPr>
                <w:sz w:val="19"/>
              </w:rPr>
              <w:t>Oracle Fusion Learning Cloud implementation and ongoing support; AI-powered learning; compliance training</w:t>
            </w:r>
          </w:p>
        </w:tc>
        <w:tc>
          <w:tcPr>
            <w:tcW w:type="dxa" w:w="2016"/>
            <w:shd w:val="clear" w:color="auto" w:fill="F2F2F2"/>
          </w:tcPr>
          <w:p>
            <w:r>
              <w:rPr>
                <w:sz w:val="19"/>
              </w:rPr>
              <w:t>Named — Learning Cloud scope only (C-W3-002)</w:t>
            </w:r>
          </w:p>
        </w:tc>
      </w:tr>
      <w:tr>
        <w:tc>
          <w:tcPr>
            <w:tcW w:type="dxa" w:w="1296"/>
            <w:shd w:val="clear" w:color="auto" w:fill="FFFFFF"/>
          </w:tcPr>
          <w:p>
            <w:r>
              <w:rPr>
                <w:sz w:val="19"/>
              </w:rPr>
              <w:t>[Pending letter]</w:t>
            </w:r>
          </w:p>
        </w:tc>
        <w:tc>
          <w:tcPr>
            <w:tcW w:type="dxa" w:w="2016"/>
            <w:shd w:val="clear" w:color="auto" w:fill="FFFFFF"/>
          </w:tcPr>
          <w:p>
            <w:r>
              <w:rPr>
                <w:sz w:val="19"/>
              </w:rPr>
              <w:t>Large SA enterprise (7,000 users)</w:t>
            </w:r>
          </w:p>
        </w:tc>
        <w:tc>
          <w:tcPr>
            <w:tcW w:type="dxa" w:w="864"/>
            <w:shd w:val="clear" w:color="auto" w:fill="FFFFFF"/>
          </w:tcPr>
          <w:p>
            <w:r>
              <w:rPr>
                <w:sz w:val="19"/>
              </w:rPr>
              <w:t>Pending</w:t>
            </w:r>
          </w:p>
        </w:tc>
        <w:tc>
          <w:tcPr>
            <w:tcW w:type="dxa" w:w="1296"/>
            <w:shd w:val="clear" w:color="auto" w:fill="FFFFFF"/>
          </w:tcPr>
          <w:p>
            <w:r>
              <w:rPr>
                <w:sz w:val="19"/>
              </w:rPr>
              <w:t>Retail / Gaming</w:t>
            </w:r>
          </w:p>
        </w:tc>
        <w:tc>
          <w:tcPr>
            <w:tcW w:type="dxa" w:w="3600"/>
            <w:shd w:val="clear" w:color="auto" w:fill="FFFFFF"/>
          </w:tcPr>
          <w:p>
            <w:r>
              <w:rPr>
                <w:sz w:val="19"/>
              </w:rPr>
              <w:t>Oracle Fusion HCM full suite go-live July 2025: Global HR; Absence; Journeys; Recruiting; Learning; Talent; HR Help Desk; OIC/PaySpace integration</w:t>
            </w:r>
          </w:p>
        </w:tc>
        <w:tc>
          <w:tcPr>
            <w:tcW w:type="dxa" w:w="2016"/>
            <w:shd w:val="clear" w:color="auto" w:fill="FFFFFF"/>
          </w:tcPr>
          <w:p>
            <w:r>
              <w:rPr>
                <w:sz w:val="19"/>
              </w:rPr>
              <w:t>AM approval required to name</w:t>
            </w:r>
          </w:p>
        </w:tc>
      </w:tr>
      <w:tr>
        <w:tc>
          <w:tcPr>
            <w:tcW w:type="dxa" w:w="1296"/>
            <w:shd w:val="clear" w:color="auto" w:fill="F2F2F2"/>
          </w:tcPr>
          <w:p>
            <w:r>
              <w:rPr>
                <w:sz w:val="19"/>
              </w:rPr>
              <w:t>[Pending letter]</w:t>
            </w:r>
          </w:p>
        </w:tc>
        <w:tc>
          <w:tcPr>
            <w:tcW w:type="dxa" w:w="2016"/>
            <w:shd w:val="clear" w:color="auto" w:fill="F2F2F2"/>
          </w:tcPr>
          <w:p>
            <w:r>
              <w:rPr>
                <w:sz w:val="19"/>
              </w:rPr>
              <w:t>Mining-sector client</w:t>
            </w:r>
          </w:p>
        </w:tc>
        <w:tc>
          <w:tcPr>
            <w:tcW w:type="dxa" w:w="864"/>
            <w:shd w:val="clear" w:color="auto" w:fill="F2F2F2"/>
          </w:tcPr>
          <w:p>
            <w:r>
              <w:rPr>
                <w:sz w:val="19"/>
              </w:rPr>
              <w:t>N/A</w:t>
            </w:r>
          </w:p>
        </w:tc>
        <w:tc>
          <w:tcPr>
            <w:tcW w:type="dxa" w:w="1296"/>
            <w:shd w:val="clear" w:color="auto" w:fill="F2F2F2"/>
          </w:tcPr>
          <w:p>
            <w:r>
              <w:rPr>
                <w:sz w:val="19"/>
              </w:rPr>
              <w:t>Mining</w:t>
            </w:r>
          </w:p>
        </w:tc>
        <w:tc>
          <w:tcPr>
            <w:tcW w:type="dxa" w:w="3600"/>
            <w:shd w:val="clear" w:color="auto" w:fill="F2F2F2"/>
          </w:tcPr>
          <w:p>
            <w:r>
              <w:rPr>
                <w:sz w:val="19"/>
              </w:rPr>
              <w:t>Oracle Fusion HCM Recruiting; Absence; Compensation (active implementation)</w:t>
            </w:r>
          </w:p>
        </w:tc>
        <w:tc>
          <w:tcPr>
            <w:tcW w:type="dxa" w:w="2016"/>
            <w:shd w:val="clear" w:color="auto" w:fill="F2F2F2"/>
          </w:tcPr>
          <w:p>
            <w:r>
              <w:rPr>
                <w:sz w:val="19"/>
              </w:rPr>
              <w:t>Rule 21.5 — not yet live; cite as "mining-sector client" only</w:t>
            </w:r>
          </w:p>
        </w:tc>
      </w:tr>
    </w:tbl>
    <w:p/>
    <w:p>
      <w:pPr>
        <w:spacing w:after="120" w:before="40"/>
      </w:pPr>
      <w:r>
        <w:rPr>
          <w:b w:val="0"/>
          <w:i w:val="0"/>
          <w:sz w:val="21"/>
        </w:rPr>
        <w:br/>
        <w:t>Reference letters for ARM, WITS, and Mr Price Group are available on request. The Oracle Corporation partner endorsement letter is included as a supporting document to this proposal.</w:t>
      </w:r>
    </w:p>
    <w:p>
      <w:r>
        <w:rPr>
          <w:b/>
          <w:i/>
          <w:color w:val="B71C1C"/>
          <w:sz w:val="21"/>
        </w:rPr>
        <w:t>[REFERENCE GAP — No signed Oracle Fusion HCM full-suite reference letter is currently available. The Hollywood Bets Oracle Fusion HCM reference letter (pending AM approval) will close this gap. BU Lead to obtain and attach signed reference letter before submission if at all possible.]</w:t>
      </w:r>
    </w:p>
    <w:p>
      <w:pPr>
        <w:ind w:left="360"/>
      </w:pPr>
      <w:r>
        <w:rPr>
          <w:b/>
          <w:color w:val="E65100"/>
          <w:sz w:val="19"/>
        </w:rPr>
        <w:t>▌ Status: Needs Review</w:t>
      </w:r>
      <w:r>
        <w:rPr>
          <w:sz w:val="19"/>
        </w:rPr>
        <w:t xml:space="preserve">  —  References sourced from REFERENCE_MASTER.csv (WP9). Fusion HCM reference letter is the single most important missing document for this tender. Hollywood Bets AM approval is required before naming. All other references are named and approved.</w:t>
      </w:r>
    </w:p>
    <w:p/>
    <w:p>
      <w:r>
        <w:br w:type="page"/>
      </w:r>
    </w:p>
    <w:p>
      <w:pPr>
        <w:pStyle w:val="Heading1"/>
      </w:pPr>
      <w:r>
        <w:rPr>
          <w:color w:val="1F3964"/>
        </w:rPr>
        <w:t>13.  Assumptions</w:t>
      </w:r>
    </w:p>
    <w:p>
      <w:pPr>
        <w:pStyle w:val="Heading2"/>
      </w:pPr>
      <w:r>
        <w:rPr>
          <w:color w:val="1F3964"/>
        </w:rPr>
        <w:t>13.1  General Assumptions</w:t>
      </w:r>
    </w:p>
    <w:p>
      <w:pPr>
        <w:pStyle w:val="ListBullet"/>
      </w:pPr>
      <w:r>
        <w:rPr>
          <w:sz w:val="21"/>
        </w:rPr>
        <w:t>The project will be delivered primarily remotely, with key phases (CRP1, CRP2, UAT, Go-Live) conducted on-site at Plennegy's premises. Travel, accommodation, and expenses are for Plennegy's account.</w:t>
      </w:r>
    </w:p>
    <w:p>
      <w:pPr>
        <w:pStyle w:val="ListBullet"/>
      </w:pPr>
      <w:r>
        <w:rPr>
          <w:sz w:val="21"/>
        </w:rPr>
        <w:t>No organisational Change Management programme is included in this proposal. APPSolve recommends Plennegy appoints an internal Change Manager. Change Management services can be scoped and priced separately on request.</w:t>
      </w:r>
    </w:p>
    <w:p>
      <w:pPr>
        <w:pStyle w:val="ListBullet"/>
      </w:pPr>
      <w:r>
        <w:rPr>
          <w:sz w:val="21"/>
        </w:rPr>
        <w:t>Plennegy will provide a dedicated Project Administrator and Project Sponsor with adequate authority to make design and business decisions during the implementation.</w:t>
      </w:r>
    </w:p>
    <w:p>
      <w:pPr>
        <w:pStyle w:val="ListBullet"/>
      </w:pPr>
      <w:r>
        <w:rPr>
          <w:sz w:val="21"/>
        </w:rPr>
        <w:t>Timely availability and active participation of appropriately skilled Plennegy HR and subsidiary staff is assumed throughout the project. Delays caused by Plennegy unavailability may impact timeline and cost.</w:t>
      </w:r>
    </w:p>
    <w:p>
      <w:pPr>
        <w:pStyle w:val="ListBullet"/>
      </w:pPr>
      <w:r>
        <w:rPr>
          <w:sz w:val="21"/>
        </w:rPr>
        <w:t>Data Migration is ultimately Plennegy's responsibility. APPSolve provides templates, structures, and guidance; extraction, preparation, cleansing, and provision of data in the required format is Plennegy's responsibility.</w:t>
      </w:r>
    </w:p>
    <w:p>
      <w:pPr>
        <w:pStyle w:val="ListBullet"/>
      </w:pPr>
      <w:r>
        <w:rPr>
          <w:sz w:val="21"/>
        </w:rPr>
        <w:t>Only active employee records will be migrated to Oracle HCM. Historical terminated records are excluded unless specifically agreed.</w:t>
      </w:r>
    </w:p>
    <w:p>
      <w:pPr>
        <w:pStyle w:val="ListBullet"/>
      </w:pPr>
      <w:r>
        <w:rPr>
          <w:sz w:val="21"/>
        </w:rPr>
        <w:t>Standard Oracle-delivered reports and OTBI dashboards will be used as the primary reporting approach. Custom reports beyond those confirmed in scope will be quoted separately.</w:t>
      </w:r>
    </w:p>
    <w:p>
      <w:pPr>
        <w:pStyle w:val="ListBullet"/>
      </w:pPr>
      <w:r>
        <w:rPr>
          <w:sz w:val="21"/>
        </w:rPr>
        <w:t>Train-the-trainer training will be delivered in English only.</w:t>
      </w:r>
    </w:p>
    <w:p>
      <w:pPr>
        <w:pStyle w:val="ListBullet"/>
      </w:pPr>
      <w:r>
        <w:rPr>
          <w:sz w:val="21"/>
        </w:rPr>
        <w:t>The final scope and costing will be confirmed only after a detailed scoping workshop and confirmation of the number of legal entities, legislative frameworks, and integration points.</w:t>
      </w:r>
    </w:p>
    <w:p>
      <w:pPr>
        <w:pStyle w:val="ListBullet"/>
      </w:pPr>
      <w:r>
        <w:rPr>
          <w:sz w:val="21"/>
        </w:rPr>
        <w:t>If after-hours access is required to Plennegy premises, such access will be provided to the relevant APPSolve consultants.</w:t>
      </w:r>
    </w:p>
    <w:p>
      <w:pPr>
        <w:pStyle w:val="Heading2"/>
      </w:pPr>
      <w:r>
        <w:rPr>
          <w:color w:val="1F3964"/>
        </w:rPr>
        <w:t>13.2  Oracle HCM Core and Absence — Specific Assumptions</w:t>
      </w:r>
    </w:p>
    <w:p>
      <w:pPr>
        <w:pStyle w:val="ListBullet"/>
      </w:pPr>
      <w:r>
        <w:rPr>
          <w:sz w:val="21"/>
        </w:rPr>
        <w:t>The costing and scope will be confirmed once the number of legal entities and applicable legislative frameworks are agreed.</w:t>
      </w:r>
    </w:p>
    <w:p>
      <w:pPr>
        <w:pStyle w:val="ListBullet"/>
      </w:pPr>
      <w:r>
        <w:rPr>
          <w:sz w:val="21"/>
        </w:rPr>
        <w:t>Organisational structures and design principles will be standardised across Distribution Centres and subsidiaries where practicable.</w:t>
      </w:r>
    </w:p>
    <w:p>
      <w:pPr>
        <w:pStyle w:val="ListBullet"/>
      </w:pPr>
      <w:r>
        <w:rPr>
          <w:sz w:val="21"/>
        </w:rPr>
        <w:t>Only legislative-required fields will be defined as mandatory in Oracle HCM Core.</w:t>
      </w:r>
    </w:p>
    <w:p>
      <w:pPr>
        <w:pStyle w:val="ListBullet"/>
      </w:pPr>
      <w:r>
        <w:rPr>
          <w:sz w:val="21"/>
        </w:rPr>
        <w:t>Legislative-specific absence requirements must be documented in a standardised format by Plennegy before the Absence Management Design workshop.</w:t>
      </w:r>
    </w:p>
    <w:p>
      <w:pPr>
        <w:pStyle w:val="Heading2"/>
      </w:pPr>
      <w:r>
        <w:rPr>
          <w:color w:val="1F3964"/>
        </w:rPr>
        <w:t>13.3  Recruiting — Specific Assumptions</w:t>
      </w:r>
    </w:p>
    <w:p>
      <w:pPr>
        <w:pStyle w:val="ListBullet"/>
      </w:pPr>
      <w:r>
        <w:rPr>
          <w:sz w:val="21"/>
        </w:rPr>
        <w:t>Recruiting is treated as a global function; each subsidiary does not require its own separate recruitment portal.</w:t>
      </w:r>
    </w:p>
    <w:p>
      <w:pPr>
        <w:pStyle w:val="ListBullet"/>
      </w:pPr>
      <w:r>
        <w:rPr>
          <w:sz w:val="21"/>
        </w:rPr>
        <w:t>Career sites: 2 external (LinkedIn and PNet); 1 internal (including employee referral); 1 agency portal with 1 supplier configured. Graphical design beyond logo branding is not included.</w:t>
      </w:r>
    </w:p>
    <w:p>
      <w:pPr>
        <w:pStyle w:val="ListBullet"/>
      </w:pPr>
      <w:r>
        <w:rPr>
          <w:sz w:val="21"/>
        </w:rPr>
        <w:t>1 candidate selection process; 1 job application flow; no more than 3 offer letter templates.</w:t>
      </w:r>
    </w:p>
    <w:p>
      <w:pPr>
        <w:pStyle w:val="ListBullet"/>
      </w:pPr>
      <w:r>
        <w:rPr>
          <w:sz w:val="21"/>
        </w:rPr>
        <w:t>Plennegy already holds appropriate recruiter accounts for LinkedIn.</w:t>
      </w:r>
    </w:p>
    <w:p>
      <w:pPr>
        <w:pStyle w:val="ListBullet"/>
      </w:pPr>
      <w:r>
        <w:rPr>
          <w:sz w:val="21"/>
        </w:rPr>
        <w:t>2 onboarding processes configured: 1 for pre-hires; 1 for new hires.</w:t>
      </w:r>
    </w:p>
    <w:p>
      <w:pPr>
        <w:pStyle w:val="ListBullet"/>
      </w:pPr>
      <w:r>
        <w:rPr>
          <w:sz w:val="21"/>
        </w:rPr>
        <w:t>No requisitions will be migrated; new requisitions to be created by end users after go-live.</w:t>
      </w:r>
    </w:p>
    <w:p>
      <w:pPr>
        <w:pStyle w:val="ListBullet"/>
      </w:pPr>
      <w:r>
        <w:rPr>
          <w:sz w:val="21"/>
        </w:rPr>
        <w:t>Job profiles (competencies, skills, qualifications) must be defined and ready before the Recruiting Design workshop.</w:t>
      </w:r>
    </w:p>
    <w:p>
      <w:pPr>
        <w:pStyle w:val="Heading2"/>
      </w:pPr>
      <w:r>
        <w:rPr>
          <w:color w:val="1F3964"/>
        </w:rPr>
        <w:t>13.4  Learning — Specific Assumptions</w:t>
      </w:r>
    </w:p>
    <w:p>
      <w:pPr>
        <w:pStyle w:val="ListBullet"/>
      </w:pPr>
      <w:r>
        <w:rPr>
          <w:sz w:val="21"/>
        </w:rPr>
        <w:t>Learning is treated as a global function; a single Learning portal serves all subsidiaries.</w:t>
      </w:r>
    </w:p>
    <w:p>
      <w:pPr>
        <w:pStyle w:val="ListBullet"/>
      </w:pPr>
      <w:r>
        <w:rPr>
          <w:sz w:val="21"/>
        </w:rPr>
        <w:t>Learning content is Plennegy's responsibility to provide in Oracle-supported formats: SCORM, AICC, PDF, video, assessments, and web links.</w:t>
      </w:r>
    </w:p>
    <w:p>
      <w:pPr>
        <w:pStyle w:val="ListBullet"/>
      </w:pPr>
      <w:r>
        <w:rPr>
          <w:sz w:val="21"/>
        </w:rPr>
        <w:t>SETA/WSP/ATR statutory reporting is supported via a structured data extract; APPSolve does not produce the statutory submission.</w:t>
      </w:r>
    </w:p>
    <w:p>
      <w:pPr>
        <w:pStyle w:val="ListBullet"/>
      </w:pPr>
      <w:r>
        <w:rPr>
          <w:sz w:val="21"/>
        </w:rPr>
        <w:t>Historical learning data migration: completed learning records for active employees; maximum 2 years of history; all data preparation by Plennegy.</w:t>
      </w:r>
    </w:p>
    <w:p>
      <w:pPr>
        <w:pStyle w:val="ListBullet"/>
      </w:pPr>
      <w:r>
        <w:rPr>
          <w:sz w:val="21"/>
        </w:rPr>
        <w:t>Third-party integrations are limited to 3 systems in scope (Moodle, Skillstown, and 1 other — to be confirmed during scoping).</w:t>
      </w:r>
    </w:p>
    <w:p>
      <w:pPr>
        <w:pStyle w:val="ListBullet"/>
      </w:pPr>
      <w:r>
        <w:rPr>
          <w:sz w:val="21"/>
        </w:rPr>
        <w:t>APPSolve provides the Learning Administration framework; populating the course catalogue and learner enrolments is Plennegy's responsibility after training.</w:t>
      </w:r>
    </w:p>
    <w:p>
      <w:pPr>
        <w:pStyle w:val="Heading2"/>
      </w:pPr>
      <w:r>
        <w:rPr>
          <w:color w:val="1F3964"/>
        </w:rPr>
        <w:t>13.5  Workforce Compensation — Specific Assumptions</w:t>
      </w:r>
    </w:p>
    <w:p>
      <w:pPr>
        <w:pStyle w:val="ListBullet"/>
      </w:pPr>
      <w:r>
        <w:rPr>
          <w:sz w:val="21"/>
        </w:rPr>
        <w:t>Workforce Compensation is treated as a global function; common business rules apply across all business units unless specifically documented.</w:t>
      </w:r>
    </w:p>
    <w:p>
      <w:pPr>
        <w:pStyle w:val="ListBullet"/>
      </w:pPr>
      <w:r>
        <w:rPr>
          <w:sz w:val="21"/>
        </w:rPr>
        <w:t>The compensation framework structure will be configured and enabled; development of individual compensation plans after framework setup is Plennegy's responsibility.</w:t>
      </w:r>
    </w:p>
    <w:p>
      <w:pPr>
        <w:pStyle w:val="ListBullet"/>
      </w:pPr>
      <w:r>
        <w:rPr>
          <w:sz w:val="21"/>
        </w:rPr>
        <w:t>No historical compensation data take-on is required.</w:t>
      </w:r>
    </w:p>
    <w:p>
      <w:pPr>
        <w:ind w:left="360"/>
      </w:pPr>
      <w:r>
        <w:rPr>
          <w:b/>
          <w:color w:val="2E7D32"/>
          <w:sz w:val="19"/>
        </w:rPr>
        <w:t>▌ Status: Complete</w:t>
      </w:r>
      <w:r>
        <w:rPr>
          <w:sz w:val="19"/>
        </w:rPr>
        <w:t xml:space="preserve">  —  Assumptions sourced from Plennegy_Oracle_HCM_V3.docx (22 May 2026) and W2S1-005-ORA-ImplementationMethodology. BU Lead to review and confirm all assumptions remain accurate.</w:t>
      </w:r>
    </w:p>
    <w:p/>
    <w:p>
      <w:r>
        <w:br w:type="page"/>
      </w:r>
    </w:p>
    <w:p>
      <w:pPr>
        <w:pStyle w:val="Heading1"/>
      </w:pPr>
      <w:r>
        <w:rPr>
          <w:color w:val="1F3964"/>
        </w:rPr>
        <w:t>14.  Exclusions</w:t>
      </w:r>
    </w:p>
    <w:p>
      <w:pPr>
        <w:pStyle w:val="ListBullet"/>
      </w:pPr>
      <w:r>
        <w:rPr>
          <w:sz w:val="21"/>
        </w:rPr>
        <w:t>Oracle Fusion Payroll (native SA payroll processing) — APPSolve configures the Oracle Fusion HCM Payroll Interface and OIC integration to a third-party payroll provider. Oracle Fusion native payroll is not included unless specifically agreed.</w:t>
      </w:r>
    </w:p>
    <w:p>
      <w:pPr>
        <w:pStyle w:val="ListBullet"/>
      </w:pPr>
      <w:r>
        <w:rPr>
          <w:sz w:val="21"/>
        </w:rPr>
        <w:t>Organisational Change Management — not included in this proposal scope; available as an optional service at additional cost.</w:t>
      </w:r>
    </w:p>
    <w:p>
      <w:pPr>
        <w:pStyle w:val="ListBullet"/>
      </w:pPr>
      <w:r>
        <w:rPr>
          <w:sz w:val="21"/>
        </w:rPr>
        <w:t>Custom reporting beyond standard OTBI and Oracle Recruiting Administration reports confirmed in scope — to be quoted separately.</w:t>
      </w:r>
    </w:p>
    <w:p>
      <w:pPr>
        <w:pStyle w:val="ListBullet"/>
      </w:pPr>
      <w:r>
        <w:rPr>
          <w:sz w:val="21"/>
        </w:rPr>
        <w:t>Third-party learning content procurement or authoring — Plennegy is responsible for providing learning content in Oracle-supported formats.</w:t>
      </w:r>
    </w:p>
    <w:p>
      <w:pPr>
        <w:pStyle w:val="ListBullet"/>
      </w:pPr>
      <w:r>
        <w:rPr>
          <w:sz w:val="21"/>
        </w:rPr>
        <w:t>Oracle EPM (Planning / Budgeting / Forecasting) — workforce planning and budgeting beyond Oracle HCM Workforce Compensation are not in scope.</w:t>
      </w:r>
    </w:p>
    <w:p>
      <w:pPr>
        <w:pStyle w:val="ListBullet"/>
      </w:pPr>
      <w:r>
        <w:rPr>
          <w:sz w:val="21"/>
        </w:rPr>
        <w:t>Oracle ERP / Finance / GL / AR / AP — financial system implementation is not in scope for this proposal (separate opportunity).</w:t>
      </w:r>
    </w:p>
    <w:p>
      <w:pPr>
        <w:pStyle w:val="ListBullet"/>
      </w:pPr>
      <w:r>
        <w:rPr>
          <w:sz w:val="21"/>
        </w:rPr>
        <w:t>SAP system integration or migration — not in scope; to be assessed separately if required.</w:t>
      </w:r>
    </w:p>
    <w:p>
      <w:pPr>
        <w:pStyle w:val="ListBullet"/>
      </w:pPr>
      <w:r>
        <w:rPr>
          <w:sz w:val="21"/>
        </w:rPr>
        <w:t>Hardware, infrastructure, or network procurement — Oracle Fusion HCM is a cloud SaaS platform; no on-premises infrastructure is required.</w:t>
      </w:r>
    </w:p>
    <w:p>
      <w:pPr>
        <w:pStyle w:val="ListBullet"/>
      </w:pPr>
      <w:r>
        <w:rPr>
          <w:sz w:val="21"/>
        </w:rPr>
        <w:t>Oracle training for Plennegy staff beyond train-the-trainer — Oracle University training is available directly from Oracle; APPSolve recommends senior users attend relevant Oracle University courses.</w:t>
      </w:r>
    </w:p>
    <w:p>
      <w:pPr>
        <w:pStyle w:val="ListBullet"/>
      </w:pPr>
      <w:r>
        <w:rPr>
          <w:sz w:val="21"/>
        </w:rPr>
        <w:t>Biometric / time and attendance system implementation — integration support can be scoped if Plennegy confirms the specific technology and scope.</w:t>
      </w:r>
    </w:p>
    <w:p>
      <w:pPr>
        <w:ind w:left="360"/>
      </w:pPr>
      <w:r>
        <w:rPr>
          <w:b/>
          <w:color w:val="2E7D32"/>
          <w:sz w:val="19"/>
        </w:rPr>
        <w:t>▌ Status: Complete</w:t>
      </w:r>
      <w:r>
        <w:rPr>
          <w:sz w:val="19"/>
        </w:rPr>
        <w:t xml:space="preserve">  —  Exclusions defined based on BOM scope and APPSolve standard exclusion register. BU Lead to confirm all exclusions are appropriate for Plennegy's expectation.</w:t>
      </w:r>
    </w:p>
    <w:p/>
    <w:p>
      <w:r>
        <w:br w:type="page"/>
      </w:r>
    </w:p>
    <w:p>
      <w:pPr>
        <w:pStyle w:val="Heading1"/>
      </w:pPr>
      <w:r>
        <w:rPr>
          <w:color w:val="1F3964"/>
        </w:rPr>
        <w:t>15.  Next Steps</w:t>
      </w:r>
    </w:p>
    <w:p>
      <w:pPr>
        <w:spacing w:after="120" w:before="40"/>
      </w:pPr>
      <w:r>
        <w:rPr>
          <w:b w:val="0"/>
          <w:i w:val="0"/>
          <w:sz w:val="21"/>
        </w:rPr>
        <w:t>APPSolve is ready to begin this engagement and proposes the following next steps:</w:t>
      </w:r>
    </w:p>
    <w:tbl>
      <w:tblPr>
        <w:tblStyle w:val="TableGrid"/>
        <w:tblW w:type="auto" w:w="0"/>
        <w:tblLook w:firstColumn="1" w:firstRow="1" w:lastColumn="0" w:lastRow="0" w:noHBand="0" w:noVBand="1" w:val="04A0"/>
      </w:tblPr>
      <w:tblGrid>
        <w:gridCol w:w="2257"/>
        <w:gridCol w:w="2257"/>
        <w:gridCol w:w="2257"/>
        <w:gridCol w:w="2257"/>
      </w:tblGrid>
      <w:tr>
        <w:tc>
          <w:tcPr>
            <w:tcW w:type="dxa" w:w="576"/>
            <w:shd w:val="clear" w:color="auto" w:fill="1F3964"/>
          </w:tcPr>
          <w:p>
            <w:pPr>
              <w:jc w:val="center"/>
            </w:pPr>
            <w:r>
              <w:rPr>
                <w:b/>
                <w:color w:val="FFFFFF"/>
                <w:sz w:val="19"/>
              </w:rPr>
              <w:t>Step</w:t>
            </w:r>
          </w:p>
        </w:tc>
        <w:tc>
          <w:tcPr>
            <w:tcW w:type="dxa" w:w="2592"/>
            <w:shd w:val="clear" w:color="auto" w:fill="1F3964"/>
          </w:tcPr>
          <w:p>
            <w:pPr>
              <w:jc w:val="center"/>
            </w:pPr>
            <w:r>
              <w:rPr>
                <w:b/>
                <w:color w:val="FFFFFF"/>
                <w:sz w:val="19"/>
              </w:rPr>
              <w:t>Activity</w:t>
            </w:r>
          </w:p>
        </w:tc>
        <w:tc>
          <w:tcPr>
            <w:tcW w:type="dxa" w:w="3168"/>
            <w:shd w:val="clear" w:color="auto" w:fill="1F3964"/>
          </w:tcPr>
          <w:p>
            <w:pPr>
              <w:jc w:val="center"/>
            </w:pPr>
            <w:r>
              <w:rPr>
                <w:b/>
                <w:color w:val="FFFFFF"/>
                <w:sz w:val="19"/>
              </w:rPr>
              <w:t>Participants</w:t>
            </w:r>
          </w:p>
        </w:tc>
        <w:tc>
          <w:tcPr>
            <w:tcW w:type="dxa" w:w="3312"/>
            <w:shd w:val="clear" w:color="auto" w:fill="1F3964"/>
          </w:tcPr>
          <w:p>
            <w:pPr>
              <w:jc w:val="center"/>
            </w:pPr>
            <w:r>
              <w:rPr>
                <w:b/>
                <w:color w:val="FFFFFF"/>
                <w:sz w:val="19"/>
              </w:rPr>
              <w:t>Timing</w:t>
            </w:r>
          </w:p>
        </w:tc>
      </w:tr>
      <w:tr>
        <w:tc>
          <w:tcPr>
            <w:tcW w:type="dxa" w:w="576"/>
            <w:shd w:val="clear" w:color="auto" w:fill="F2F2F2"/>
          </w:tcPr>
          <w:p>
            <w:r>
              <w:rPr>
                <w:sz w:val="19"/>
              </w:rPr>
              <w:t>1</w:t>
            </w:r>
          </w:p>
        </w:tc>
        <w:tc>
          <w:tcPr>
            <w:tcW w:type="dxa" w:w="2592"/>
            <w:shd w:val="clear" w:color="auto" w:fill="F2F2F2"/>
          </w:tcPr>
          <w:p>
            <w:r>
              <w:rPr>
                <w:sz w:val="19"/>
              </w:rPr>
              <w:t>Proposal Q&amp;A session</w:t>
            </w:r>
          </w:p>
        </w:tc>
        <w:tc>
          <w:tcPr>
            <w:tcW w:type="dxa" w:w="3168"/>
            <w:shd w:val="clear" w:color="auto" w:fill="F2F2F2"/>
          </w:tcPr>
          <w:p>
            <w:r>
              <w:rPr>
                <w:sz w:val="19"/>
              </w:rPr>
              <w:t>APPSolve team + Plennegy HCM team</w:t>
            </w:r>
          </w:p>
        </w:tc>
        <w:tc>
          <w:tcPr>
            <w:tcW w:type="dxa" w:w="3312"/>
            <w:shd w:val="clear" w:color="auto" w:fill="F2F2F2"/>
          </w:tcPr>
          <w:p>
            <w:r>
              <w:rPr>
                <w:sz w:val="19"/>
              </w:rPr>
              <w:t>Within 5 business days of submission</w:t>
            </w:r>
          </w:p>
        </w:tc>
      </w:tr>
      <w:tr>
        <w:tc>
          <w:tcPr>
            <w:tcW w:type="dxa" w:w="576"/>
            <w:shd w:val="clear" w:color="auto" w:fill="FFFFFF"/>
          </w:tcPr>
          <w:p>
            <w:r>
              <w:rPr>
                <w:sz w:val="19"/>
              </w:rPr>
              <w:t>2</w:t>
            </w:r>
          </w:p>
        </w:tc>
        <w:tc>
          <w:tcPr>
            <w:tcW w:type="dxa" w:w="2592"/>
            <w:shd w:val="clear" w:color="auto" w:fill="FFFFFF"/>
          </w:tcPr>
          <w:p>
            <w:r>
              <w:rPr>
                <w:sz w:val="19"/>
              </w:rPr>
              <w:t>Scoping workshop</w:t>
            </w:r>
          </w:p>
        </w:tc>
        <w:tc>
          <w:tcPr>
            <w:tcW w:type="dxa" w:w="3168"/>
            <w:shd w:val="clear" w:color="auto" w:fill="FFFFFF"/>
          </w:tcPr>
          <w:p>
            <w:r>
              <w:rPr>
                <w:sz w:val="19"/>
              </w:rPr>
              <w:t>APPSolve HCM Lead + Plennegy HR Leads per subsidiary</w:t>
            </w:r>
          </w:p>
        </w:tc>
        <w:tc>
          <w:tcPr>
            <w:tcW w:type="dxa" w:w="3312"/>
            <w:shd w:val="clear" w:color="auto" w:fill="FFFFFF"/>
          </w:tcPr>
          <w:p>
            <w:r>
              <w:rPr>
                <w:sz w:val="19"/>
              </w:rPr>
              <w:t>Agreed date — to finalise entity list, integration scope, phase sequencing, and assumptions</w:t>
            </w:r>
          </w:p>
        </w:tc>
      </w:tr>
      <w:tr>
        <w:tc>
          <w:tcPr>
            <w:tcW w:type="dxa" w:w="576"/>
            <w:shd w:val="clear" w:color="auto" w:fill="F2F2F2"/>
          </w:tcPr>
          <w:p>
            <w:r>
              <w:rPr>
                <w:sz w:val="19"/>
              </w:rPr>
              <w:t>3</w:t>
            </w:r>
          </w:p>
        </w:tc>
        <w:tc>
          <w:tcPr>
            <w:tcW w:type="dxa" w:w="2592"/>
            <w:shd w:val="clear" w:color="auto" w:fill="F2F2F2"/>
          </w:tcPr>
          <w:p>
            <w:r>
              <w:rPr>
                <w:sz w:val="19"/>
              </w:rPr>
              <w:t>Commercial agreement</w:t>
            </w:r>
          </w:p>
        </w:tc>
        <w:tc>
          <w:tcPr>
            <w:tcW w:type="dxa" w:w="3168"/>
            <w:shd w:val="clear" w:color="auto" w:fill="F2F2F2"/>
          </w:tcPr>
          <w:p>
            <w:r>
              <w:rPr>
                <w:sz w:val="19"/>
              </w:rPr>
              <w:t>APPSolve + Plennegy Procurement</w:t>
            </w:r>
          </w:p>
        </w:tc>
        <w:tc>
          <w:tcPr>
            <w:tcW w:type="dxa" w:w="3312"/>
            <w:shd w:val="clear" w:color="auto" w:fill="F2F2F2"/>
          </w:tcPr>
          <w:p>
            <w:r>
              <w:rPr>
                <w:sz w:val="19"/>
              </w:rPr>
              <w:t>Following scoping; APPSolve to provide revised and finalised cost proposal</w:t>
            </w:r>
          </w:p>
        </w:tc>
      </w:tr>
      <w:tr>
        <w:tc>
          <w:tcPr>
            <w:tcW w:type="dxa" w:w="576"/>
            <w:shd w:val="clear" w:color="auto" w:fill="FFFFFF"/>
          </w:tcPr>
          <w:p>
            <w:r>
              <w:rPr>
                <w:sz w:val="19"/>
              </w:rPr>
              <w:t>4</w:t>
            </w:r>
          </w:p>
        </w:tc>
        <w:tc>
          <w:tcPr>
            <w:tcW w:type="dxa" w:w="2592"/>
            <w:shd w:val="clear" w:color="auto" w:fill="FFFFFF"/>
          </w:tcPr>
          <w:p>
            <w:r>
              <w:rPr>
                <w:sz w:val="19"/>
              </w:rPr>
              <w:t>Contract signing</w:t>
            </w:r>
          </w:p>
        </w:tc>
        <w:tc>
          <w:tcPr>
            <w:tcW w:type="dxa" w:w="3168"/>
            <w:shd w:val="clear" w:color="auto" w:fill="FFFFFF"/>
          </w:tcPr>
          <w:p>
            <w:r>
              <w:rPr>
                <w:sz w:val="19"/>
              </w:rPr>
              <w:t>APPSolve Directors + Plennegy</w:t>
            </w:r>
          </w:p>
        </w:tc>
        <w:tc>
          <w:tcPr>
            <w:tcW w:type="dxa" w:w="3312"/>
            <w:shd w:val="clear" w:color="auto" w:fill="FFFFFF"/>
          </w:tcPr>
          <w:p>
            <w:r>
              <w:rPr>
                <w:sz w:val="19"/>
              </w:rPr>
              <w:t>Upon commercial agreement</w:t>
            </w:r>
          </w:p>
        </w:tc>
      </w:tr>
      <w:tr>
        <w:tc>
          <w:tcPr>
            <w:tcW w:type="dxa" w:w="576"/>
            <w:shd w:val="clear" w:color="auto" w:fill="F2F2F2"/>
          </w:tcPr>
          <w:p>
            <w:r>
              <w:rPr>
                <w:sz w:val="19"/>
              </w:rPr>
              <w:t>5</w:t>
            </w:r>
          </w:p>
        </w:tc>
        <w:tc>
          <w:tcPr>
            <w:tcW w:type="dxa" w:w="2592"/>
            <w:shd w:val="clear" w:color="auto" w:fill="F2F2F2"/>
          </w:tcPr>
          <w:p>
            <w:r>
              <w:rPr>
                <w:sz w:val="19"/>
              </w:rPr>
              <w:t>Project Mobilize</w:t>
            </w:r>
          </w:p>
        </w:tc>
        <w:tc>
          <w:tcPr>
            <w:tcW w:type="dxa" w:w="3168"/>
            <w:shd w:val="clear" w:color="auto" w:fill="F2F2F2"/>
          </w:tcPr>
          <w:p>
            <w:r>
              <w:rPr>
                <w:sz w:val="19"/>
              </w:rPr>
              <w:t>APPSolve Programme Manager + full delivery team</w:t>
            </w:r>
          </w:p>
        </w:tc>
        <w:tc>
          <w:tcPr>
            <w:tcW w:type="dxa" w:w="3312"/>
            <w:shd w:val="clear" w:color="auto" w:fill="F2F2F2"/>
          </w:tcPr>
          <w:p>
            <w:r>
              <w:rPr>
                <w:sz w:val="19"/>
              </w:rPr>
              <w:t>Within 2 weeks of contract signing; Oracle tenancy provisioning initiated</w:t>
            </w:r>
          </w:p>
        </w:tc>
      </w:tr>
    </w:tbl>
    <w:p/>
    <w:p>
      <w:pPr>
        <w:spacing w:before="0" w:after="200"/>
      </w:pPr>
    </w:p>
    <w:p>
      <w:pPr>
        <w:pStyle w:val="Heading2"/>
      </w:pPr>
      <w:r>
        <w:rPr>
          <w:color w:val="1F3964"/>
        </w:rPr>
        <w:t>Contact Us</w:t>
      </w:r>
    </w:p>
    <w:tbl>
      <w:tblPr>
        <w:tblStyle w:val="TableGrid"/>
        <w:tblW w:type="auto" w:w="0"/>
        <w:tblLook w:firstColumn="1" w:firstRow="1" w:lastColumn="0" w:lastRow="0" w:noHBand="0" w:noVBand="1" w:val="04A0"/>
      </w:tblPr>
      <w:tblGrid>
        <w:gridCol w:w="2257"/>
        <w:gridCol w:w="2257"/>
        <w:gridCol w:w="2257"/>
        <w:gridCol w:w="2257"/>
      </w:tblGrid>
      <w:tr>
        <w:tc>
          <w:tcPr>
            <w:tcW w:type="dxa" w:w="2160"/>
            <w:shd w:val="clear" w:color="auto" w:fill="1F3964"/>
          </w:tcPr>
          <w:p>
            <w:pPr>
              <w:jc w:val="center"/>
            </w:pPr>
            <w:r>
              <w:rPr>
                <w:b/>
                <w:color w:val="FFFFFF"/>
                <w:sz w:val="19"/>
              </w:rPr>
              <w:t>Name</w:t>
            </w:r>
          </w:p>
        </w:tc>
        <w:tc>
          <w:tcPr>
            <w:tcW w:type="dxa" w:w="2880"/>
            <w:shd w:val="clear" w:color="auto" w:fill="1F3964"/>
          </w:tcPr>
          <w:p>
            <w:pPr>
              <w:jc w:val="center"/>
            </w:pPr>
            <w:r>
              <w:rPr>
                <w:b/>
                <w:color w:val="FFFFFF"/>
                <w:sz w:val="19"/>
              </w:rPr>
              <w:t>Role</w:t>
            </w:r>
          </w:p>
        </w:tc>
        <w:tc>
          <w:tcPr>
            <w:tcW w:type="dxa" w:w="3600"/>
            <w:shd w:val="clear" w:color="auto" w:fill="1F3964"/>
          </w:tcPr>
          <w:p>
            <w:pPr>
              <w:jc w:val="center"/>
            </w:pPr>
            <w:r>
              <w:rPr>
                <w:b/>
                <w:color w:val="FFFFFF"/>
                <w:sz w:val="19"/>
              </w:rPr>
              <w:t>Email</w:t>
            </w:r>
          </w:p>
        </w:tc>
        <w:tc>
          <w:tcPr>
            <w:tcW w:type="dxa" w:w="1728"/>
            <w:shd w:val="clear" w:color="auto" w:fill="1F3964"/>
          </w:tcPr>
          <w:p>
            <w:pPr>
              <w:jc w:val="center"/>
            </w:pPr>
            <w:r>
              <w:rPr>
                <w:b/>
                <w:color w:val="FFFFFF"/>
                <w:sz w:val="19"/>
              </w:rPr>
              <w:t>Mobile</w:t>
            </w:r>
          </w:p>
        </w:tc>
      </w:tr>
      <w:tr>
        <w:tc>
          <w:tcPr>
            <w:tcW w:type="dxa" w:w="2160"/>
            <w:shd w:val="clear" w:color="auto" w:fill="F2F2F2"/>
          </w:tcPr>
          <w:p>
            <w:r>
              <w:rPr>
                <w:sz w:val="19"/>
              </w:rPr>
              <w:t>Hein Blignaut</w:t>
            </w:r>
          </w:p>
        </w:tc>
        <w:tc>
          <w:tcPr>
            <w:tcW w:type="dxa" w:w="2880"/>
            <w:shd w:val="clear" w:color="auto" w:fill="F2F2F2"/>
          </w:tcPr>
          <w:p>
            <w:r>
              <w:rPr>
                <w:sz w:val="19"/>
              </w:rPr>
              <w:t>Managing Director</w:t>
            </w:r>
          </w:p>
        </w:tc>
        <w:tc>
          <w:tcPr>
            <w:tcW w:type="dxa" w:w="3600"/>
            <w:shd w:val="clear" w:color="auto" w:fill="F2F2F2"/>
          </w:tcPr>
          <w:p>
            <w:r>
              <w:rPr>
                <w:sz w:val="19"/>
              </w:rPr>
              <w:t>hein.blignaut@appsolve.co.za</w:t>
            </w:r>
          </w:p>
        </w:tc>
        <w:tc>
          <w:tcPr>
            <w:tcW w:type="dxa" w:w="1728"/>
            <w:shd w:val="clear" w:color="auto" w:fill="F2F2F2"/>
          </w:tcPr>
          <w:p>
            <w:r>
              <w:rPr>
                <w:sz w:val="19"/>
              </w:rPr>
              <w:t>082 901 6688</w:t>
            </w:r>
          </w:p>
        </w:tc>
      </w:tr>
      <w:tr>
        <w:tc>
          <w:tcPr>
            <w:tcW w:type="dxa" w:w="2160"/>
            <w:shd w:val="clear" w:color="auto" w:fill="FFFFFF"/>
          </w:tcPr>
          <w:p>
            <w:r>
              <w:rPr>
                <w:sz w:val="19"/>
              </w:rPr>
              <w:t>Andre Pelser</w:t>
            </w:r>
          </w:p>
        </w:tc>
        <w:tc>
          <w:tcPr>
            <w:tcW w:type="dxa" w:w="2880"/>
            <w:shd w:val="clear" w:color="auto" w:fill="FFFFFF"/>
          </w:tcPr>
          <w:p>
            <w:r>
              <w:rPr>
                <w:sz w:val="19"/>
              </w:rPr>
              <w:t>Director: ERP Development</w:t>
            </w:r>
          </w:p>
        </w:tc>
        <w:tc>
          <w:tcPr>
            <w:tcW w:type="dxa" w:w="3600"/>
            <w:shd w:val="clear" w:color="auto" w:fill="FFFFFF"/>
          </w:tcPr>
          <w:p>
            <w:r>
              <w:rPr>
                <w:sz w:val="19"/>
              </w:rPr>
              <w:t>andre.pelser@appsolve.co.za</w:t>
            </w:r>
          </w:p>
        </w:tc>
        <w:tc>
          <w:tcPr>
            <w:tcW w:type="dxa" w:w="1728"/>
            <w:shd w:val="clear" w:color="auto" w:fill="FFFFFF"/>
          </w:tcPr>
          <w:p>
            <w:r>
              <w:rPr>
                <w:sz w:val="19"/>
              </w:rPr>
              <w:t>083 257 1626</w:t>
            </w:r>
          </w:p>
        </w:tc>
      </w:tr>
    </w:tbl>
    <w:p/>
    <w:p>
      <w:pPr>
        <w:ind w:left="360"/>
      </w:pPr>
      <w:r>
        <w:rPr>
          <w:b/>
          <w:color w:val="2E7D32"/>
          <w:sz w:val="19"/>
        </w:rPr>
        <w:t>▌ Status: Complete</w:t>
      </w:r>
      <w:r>
        <w:rPr>
          <w:sz w:val="19"/>
        </w:rPr>
        <w:t xml:space="preserve">  —  Next steps are standard. Adjust dates to align with Plennegy's decision timeline.</w:t>
      </w:r>
    </w:p>
    <w:p/>
    <w:p>
      <w:r>
        <w:br w:type="page"/>
      </w:r>
    </w:p>
    <w:p>
      <w:pPr>
        <w:pStyle w:val="Heading1"/>
      </w:pPr>
      <w:r>
        <w:rPr>
          <w:color w:val="1F3964"/>
        </w:rPr>
        <w:t>Appendix A — Supporting Documents</w:t>
      </w:r>
    </w:p>
    <w:p>
      <w:pPr>
        <w:spacing w:after="120" w:before="40"/>
      </w:pPr>
      <w:r>
        <w:rPr>
          <w:b w:val="0"/>
          <w:i w:val="0"/>
          <w:sz w:val="21"/>
        </w:rPr>
        <w:t>The following documents are submitted as supporting attachments to this proposal:</w:t>
      </w:r>
    </w:p>
    <w:tbl>
      <w:tblPr>
        <w:tblStyle w:val="TableGrid"/>
        <w:tblW w:type="auto" w:w="0"/>
        <w:tblLook w:firstColumn="1" w:firstRow="1" w:lastColumn="0" w:lastRow="0" w:noHBand="0" w:noVBand="1" w:val="04A0"/>
      </w:tblPr>
      <w:tblGrid>
        <w:gridCol w:w="2257"/>
        <w:gridCol w:w="2257"/>
        <w:gridCol w:w="2257"/>
        <w:gridCol w:w="2257"/>
      </w:tblGrid>
      <w:tr>
        <w:tc>
          <w:tcPr>
            <w:tcW w:type="dxa" w:w="3168"/>
            <w:shd w:val="clear" w:color="auto" w:fill="1F3964"/>
          </w:tcPr>
          <w:p>
            <w:pPr>
              <w:jc w:val="center"/>
            </w:pPr>
            <w:r>
              <w:rPr>
                <w:b/>
                <w:color w:val="FFFFFF"/>
                <w:sz w:val="19"/>
              </w:rPr>
              <w:t>Document</w:t>
            </w:r>
          </w:p>
        </w:tc>
        <w:tc>
          <w:tcPr>
            <w:tcW w:type="dxa" w:w="1728"/>
            <w:shd w:val="clear" w:color="auto" w:fill="1F3964"/>
          </w:tcPr>
          <w:p>
            <w:pPr>
              <w:jc w:val="center"/>
            </w:pPr>
            <w:r>
              <w:rPr>
                <w:b/>
                <w:color w:val="FFFFFF"/>
                <w:sz w:val="19"/>
              </w:rPr>
              <w:t>Reference ID</w:t>
            </w:r>
          </w:p>
        </w:tc>
        <w:tc>
          <w:tcPr>
            <w:tcW w:type="dxa" w:w="2880"/>
            <w:shd w:val="clear" w:color="auto" w:fill="1F3964"/>
          </w:tcPr>
          <w:p>
            <w:pPr>
              <w:jc w:val="center"/>
            </w:pPr>
            <w:r>
              <w:rPr>
                <w:b/>
                <w:color w:val="FFFFFF"/>
                <w:sz w:val="19"/>
              </w:rPr>
              <w:t>Detail</w:t>
            </w:r>
          </w:p>
        </w:tc>
        <w:tc>
          <w:tcPr>
            <w:tcW w:type="dxa" w:w="1872"/>
            <w:shd w:val="clear" w:color="auto" w:fill="1F3964"/>
          </w:tcPr>
          <w:p>
            <w:pPr>
              <w:jc w:val="center"/>
            </w:pPr>
            <w:r>
              <w:rPr>
                <w:b/>
                <w:color w:val="FFFFFF"/>
                <w:sz w:val="19"/>
              </w:rPr>
              <w:t>Status</w:t>
            </w:r>
          </w:p>
        </w:tc>
      </w:tr>
      <w:tr>
        <w:tc>
          <w:tcPr>
            <w:tcW w:type="dxa" w:w="3168"/>
            <w:shd w:val="clear" w:color="auto" w:fill="F2F2F2"/>
          </w:tcPr>
          <w:p>
            <w:r>
              <w:rPr>
                <w:sz w:val="19"/>
              </w:rPr>
              <w:t>Oracle Corporation Partner Endorsement Letter (2024)</w:t>
            </w:r>
          </w:p>
        </w:tc>
        <w:tc>
          <w:tcPr>
            <w:tcW w:type="dxa" w:w="1728"/>
            <w:shd w:val="clear" w:color="auto" w:fill="F2F2F2"/>
          </w:tcPr>
          <w:p>
            <w:r>
              <w:rPr>
                <w:sz w:val="19"/>
              </w:rPr>
              <w:t>REF-ORA-007</w:t>
            </w:r>
          </w:p>
        </w:tc>
        <w:tc>
          <w:tcPr>
            <w:tcW w:type="dxa" w:w="2880"/>
            <w:shd w:val="clear" w:color="auto" w:fill="F2F2F2"/>
          </w:tcPr>
          <w:p>
            <w:r>
              <w:rPr>
                <w:sz w:val="19"/>
              </w:rPr>
              <w:t>Confirms 20+ year Oracle partnership and 3 Published Expertise areas</w:t>
            </w:r>
          </w:p>
        </w:tc>
        <w:tc>
          <w:tcPr>
            <w:tcW w:type="dxa" w:w="1872"/>
            <w:shd w:val="clear" w:color="auto" w:fill="F2F2F2"/>
          </w:tcPr>
          <w:p>
            <w:r>
              <w:rPr>
                <w:sz w:val="19"/>
              </w:rPr>
              <w:t>Available</w:t>
            </w:r>
          </w:p>
        </w:tc>
      </w:tr>
      <w:tr>
        <w:tc>
          <w:tcPr>
            <w:tcW w:type="dxa" w:w="3168"/>
            <w:shd w:val="clear" w:color="auto" w:fill="FFFFFF"/>
          </w:tcPr>
          <w:p>
            <w:r>
              <w:rPr>
                <w:sz w:val="19"/>
              </w:rPr>
              <w:t>B-BBEE Level 3 Certificate</w:t>
            </w:r>
          </w:p>
        </w:tc>
        <w:tc>
          <w:tcPr>
            <w:tcW w:type="dxa" w:w="1728"/>
            <w:shd w:val="clear" w:color="auto" w:fill="FFFFFF"/>
          </w:tcPr>
          <w:p>
            <w:r>
              <w:rPr>
                <w:sz w:val="19"/>
              </w:rPr>
              <w:t>COMP-001</w:t>
            </w:r>
          </w:p>
        </w:tc>
        <w:tc>
          <w:tcPr>
            <w:tcW w:type="dxa" w:w="2880"/>
            <w:shd w:val="clear" w:color="auto" w:fill="FFFFFF"/>
          </w:tcPr>
          <w:p>
            <w:r>
              <w:rPr>
                <w:sz w:val="19"/>
              </w:rPr>
              <w:t>RS-19451 — Level 3 contributor</w:t>
            </w:r>
          </w:p>
        </w:tc>
        <w:tc>
          <w:tcPr>
            <w:tcW w:type="dxa" w:w="1872"/>
            <w:shd w:val="clear" w:color="auto" w:fill="FFFFFF"/>
          </w:tcPr>
          <w:p>
            <w:r>
              <w:rPr>
                <w:sz w:val="19"/>
              </w:rPr>
              <w:t>⚠ Expires 2026-07-31 — RENEW BEFORE SUBMISSION</w:t>
            </w:r>
          </w:p>
        </w:tc>
      </w:tr>
      <w:tr>
        <w:tc>
          <w:tcPr>
            <w:tcW w:type="dxa" w:w="3168"/>
            <w:shd w:val="clear" w:color="auto" w:fill="F2F2F2"/>
          </w:tcPr>
          <w:p>
            <w:r>
              <w:rPr>
                <w:sz w:val="19"/>
              </w:rPr>
              <w:t>SARS Tax Clearance PIN</w:t>
            </w:r>
          </w:p>
        </w:tc>
        <w:tc>
          <w:tcPr>
            <w:tcW w:type="dxa" w:w="1728"/>
            <w:shd w:val="clear" w:color="auto" w:fill="F2F2F2"/>
          </w:tcPr>
          <w:p>
            <w:r>
              <w:rPr>
                <w:sz w:val="19"/>
              </w:rPr>
              <w:t>COMP-002</w:t>
            </w:r>
          </w:p>
        </w:tc>
        <w:tc>
          <w:tcPr>
            <w:tcW w:type="dxa" w:w="2880"/>
            <w:shd w:val="clear" w:color="auto" w:fill="F2F2F2"/>
          </w:tcPr>
          <w:p>
            <w:r>
              <w:rPr>
                <w:sz w:val="19"/>
              </w:rPr>
              <w:t>Valid to February 2027</w:t>
            </w:r>
          </w:p>
        </w:tc>
        <w:tc>
          <w:tcPr>
            <w:tcW w:type="dxa" w:w="1872"/>
            <w:shd w:val="clear" w:color="auto" w:fill="F2F2F2"/>
          </w:tcPr>
          <w:p>
            <w:r>
              <w:rPr>
                <w:sz w:val="19"/>
              </w:rPr>
              <w:t>Available</w:t>
            </w:r>
          </w:p>
        </w:tc>
      </w:tr>
      <w:tr>
        <w:tc>
          <w:tcPr>
            <w:tcW w:type="dxa" w:w="3168"/>
            <w:shd w:val="clear" w:color="auto" w:fill="FFFFFF"/>
          </w:tcPr>
          <w:p>
            <w:r>
              <w:rPr>
                <w:sz w:val="19"/>
              </w:rPr>
              <w:t>COIDA Letter of Good Standing</w:t>
            </w:r>
          </w:p>
        </w:tc>
        <w:tc>
          <w:tcPr>
            <w:tcW w:type="dxa" w:w="1728"/>
            <w:shd w:val="clear" w:color="auto" w:fill="FFFFFF"/>
          </w:tcPr>
          <w:p>
            <w:r>
              <w:rPr>
                <w:sz w:val="19"/>
              </w:rPr>
              <w:t>COMP-004</w:t>
            </w:r>
          </w:p>
        </w:tc>
        <w:tc>
          <w:tcPr>
            <w:tcW w:type="dxa" w:w="2880"/>
            <w:shd w:val="clear" w:color="auto" w:fill="FFFFFF"/>
          </w:tcPr>
          <w:p>
            <w:r>
              <w:rPr>
                <w:sz w:val="19"/>
              </w:rPr>
              <w:t>Valid to April 2027</w:t>
            </w:r>
          </w:p>
        </w:tc>
        <w:tc>
          <w:tcPr>
            <w:tcW w:type="dxa" w:w="1872"/>
            <w:shd w:val="clear" w:color="auto" w:fill="FFFFFF"/>
          </w:tcPr>
          <w:p>
            <w:r>
              <w:rPr>
                <w:sz w:val="19"/>
              </w:rPr>
              <w:t>Available</w:t>
            </w:r>
          </w:p>
        </w:tc>
      </w:tr>
      <w:tr>
        <w:tc>
          <w:tcPr>
            <w:tcW w:type="dxa" w:w="3168"/>
            <w:shd w:val="clear" w:color="auto" w:fill="F2F2F2"/>
          </w:tcPr>
          <w:p>
            <w:r>
              <w:rPr>
                <w:sz w:val="19"/>
              </w:rPr>
              <w:t>CIPC Annual Compliance Certificate (2026)</w:t>
            </w:r>
          </w:p>
        </w:tc>
        <w:tc>
          <w:tcPr>
            <w:tcW w:type="dxa" w:w="1728"/>
            <w:shd w:val="clear" w:color="auto" w:fill="F2F2F2"/>
          </w:tcPr>
          <w:p>
            <w:r>
              <w:rPr>
                <w:sz w:val="19"/>
              </w:rPr>
              <w:t>COMP-010</w:t>
            </w:r>
          </w:p>
        </w:tc>
        <w:tc>
          <w:tcPr>
            <w:tcW w:type="dxa" w:w="2880"/>
            <w:shd w:val="clear" w:color="auto" w:fill="F2F2F2"/>
          </w:tcPr>
          <w:p>
            <w:r>
              <w:rPr>
                <w:sz w:val="19"/>
              </w:rPr>
              <w:t>2026 annual filing</w:t>
            </w:r>
          </w:p>
        </w:tc>
        <w:tc>
          <w:tcPr>
            <w:tcW w:type="dxa" w:w="1872"/>
            <w:shd w:val="clear" w:color="auto" w:fill="F2F2F2"/>
          </w:tcPr>
          <w:p>
            <w:r>
              <w:rPr>
                <w:sz w:val="19"/>
              </w:rPr>
              <w:t>Available</w:t>
            </w:r>
          </w:p>
        </w:tc>
      </w:tr>
      <w:tr>
        <w:tc>
          <w:tcPr>
            <w:tcW w:type="dxa" w:w="3168"/>
            <w:shd w:val="clear" w:color="auto" w:fill="FFFFFF"/>
          </w:tcPr>
          <w:p>
            <w:r>
              <w:rPr>
                <w:sz w:val="19"/>
              </w:rPr>
              <w:t>CSD Registration Report</w:t>
            </w:r>
          </w:p>
        </w:tc>
        <w:tc>
          <w:tcPr>
            <w:tcW w:type="dxa" w:w="1728"/>
            <w:shd w:val="clear" w:color="auto" w:fill="FFFFFF"/>
          </w:tcPr>
          <w:p>
            <w:r>
              <w:rPr>
                <w:sz w:val="19"/>
              </w:rPr>
              <w:t>COMP-006</w:t>
            </w:r>
          </w:p>
        </w:tc>
        <w:tc>
          <w:tcPr>
            <w:tcW w:type="dxa" w:w="2880"/>
            <w:shd w:val="clear" w:color="auto" w:fill="FFFFFF"/>
          </w:tcPr>
          <w:p>
            <w:r>
              <w:rPr>
                <w:sz w:val="19"/>
              </w:rPr>
              <w:t>Dated August 2025</w:t>
            </w:r>
          </w:p>
        </w:tc>
        <w:tc>
          <w:tcPr>
            <w:tcW w:type="dxa" w:w="1872"/>
            <w:shd w:val="clear" w:color="auto" w:fill="FFFFFF"/>
          </w:tcPr>
          <w:p>
            <w:r>
              <w:rPr>
                <w:sz w:val="19"/>
              </w:rPr>
              <w:t>Available — refresh if required</w:t>
            </w:r>
          </w:p>
        </w:tc>
      </w:tr>
      <w:tr>
        <w:tc>
          <w:tcPr>
            <w:tcW w:type="dxa" w:w="3168"/>
            <w:shd w:val="clear" w:color="auto" w:fill="F2F2F2"/>
          </w:tcPr>
          <w:p>
            <w:r>
              <w:rPr>
                <w:sz w:val="19"/>
              </w:rPr>
              <w:t>Professional Indemnity Insurance Certificate</w:t>
            </w:r>
          </w:p>
        </w:tc>
        <w:tc>
          <w:tcPr>
            <w:tcW w:type="dxa" w:w="1728"/>
            <w:shd w:val="clear" w:color="auto" w:fill="F2F2F2"/>
          </w:tcPr>
          <w:p>
            <w:r>
              <w:rPr>
                <w:sz w:val="19"/>
              </w:rPr>
              <w:t>COMP-003</w:t>
            </w:r>
          </w:p>
        </w:tc>
        <w:tc>
          <w:tcPr>
            <w:tcW w:type="dxa" w:w="2880"/>
            <w:shd w:val="clear" w:color="auto" w:fill="F2F2F2"/>
          </w:tcPr>
          <w:p>
            <w:r>
              <w:rPr>
                <w:sz w:val="19"/>
              </w:rPr>
              <w:t>Expires November 2026</w:t>
            </w:r>
          </w:p>
        </w:tc>
        <w:tc>
          <w:tcPr>
            <w:tcW w:type="dxa" w:w="1872"/>
            <w:shd w:val="clear" w:color="auto" w:fill="F2F2F2"/>
          </w:tcPr>
          <w:p>
            <w:r>
              <w:rPr>
                <w:sz w:val="19"/>
              </w:rPr>
              <w:t>Available</w:t>
            </w:r>
          </w:p>
        </w:tc>
      </w:tr>
      <w:tr>
        <w:tc>
          <w:tcPr>
            <w:tcW w:type="dxa" w:w="3168"/>
            <w:shd w:val="clear" w:color="auto" w:fill="FFFFFF"/>
          </w:tcPr>
          <w:p>
            <w:r>
              <w:rPr>
                <w:sz w:val="19"/>
              </w:rPr>
              <w:t>Directors' Resolution (Authority to Sign)</w:t>
            </w:r>
          </w:p>
        </w:tc>
        <w:tc>
          <w:tcPr>
            <w:tcW w:type="dxa" w:w="1728"/>
            <w:shd w:val="clear" w:color="auto" w:fill="FFFFFF"/>
          </w:tcPr>
          <w:p>
            <w:r>
              <w:rPr>
                <w:sz w:val="19"/>
              </w:rPr>
              <w:t>COMP-011</w:t>
            </w:r>
          </w:p>
        </w:tc>
        <w:tc>
          <w:tcPr>
            <w:tcW w:type="dxa" w:w="2880"/>
            <w:shd w:val="clear" w:color="auto" w:fill="FFFFFF"/>
          </w:tcPr>
          <w:p>
            <w:r>
              <w:rPr>
                <w:sz w:val="19"/>
              </w:rPr>
              <w:t>Annual board resolution</w:t>
            </w:r>
          </w:p>
        </w:tc>
        <w:tc>
          <w:tcPr>
            <w:tcW w:type="dxa" w:w="1872"/>
            <w:shd w:val="clear" w:color="auto" w:fill="FFFFFF"/>
          </w:tcPr>
          <w:p>
            <w:r>
              <w:rPr>
                <w:sz w:val="19"/>
              </w:rPr>
              <w:t>🔴 EXPIRED MARCH 2026 — MUST RENEW BEFORE SUBMISSION</w:t>
            </w:r>
          </w:p>
        </w:tc>
      </w:tr>
      <w:tr>
        <w:tc>
          <w:tcPr>
            <w:tcW w:type="dxa" w:w="3168"/>
            <w:shd w:val="clear" w:color="auto" w:fill="F2F2F2"/>
          </w:tcPr>
          <w:p>
            <w:r>
              <w:rPr>
                <w:sz w:val="19"/>
              </w:rPr>
              <w:t>CVs — Proposed Delivery Team</w:t>
            </w:r>
          </w:p>
        </w:tc>
        <w:tc>
          <w:tcPr>
            <w:tcW w:type="dxa" w:w="1728"/>
            <w:shd w:val="clear" w:color="auto" w:fill="F2F2F2"/>
          </w:tcPr>
          <w:p>
            <w:r>
              <w:rPr>
                <w:sz w:val="19"/>
              </w:rPr>
              <w:t>CONSULTANT_INDEX</w:t>
            </w:r>
          </w:p>
        </w:tc>
        <w:tc>
          <w:tcPr>
            <w:tcW w:type="dxa" w:w="2880"/>
            <w:shd w:val="clear" w:color="auto" w:fill="F2F2F2"/>
          </w:tcPr>
          <w:p>
            <w:r>
              <w:rPr>
                <w:sz w:val="19"/>
              </w:rPr>
              <w:t>Full CVs for all 7 named resources</w:t>
            </w:r>
          </w:p>
        </w:tc>
        <w:tc>
          <w:tcPr>
            <w:tcW w:type="dxa" w:w="1872"/>
            <w:shd w:val="clear" w:color="auto" w:fill="F2F2F2"/>
          </w:tcPr>
          <w:p>
            <w:r>
              <w:rPr>
                <w:sz w:val="19"/>
              </w:rPr>
              <w:t>Available in Tender Pack/Rate Card/</w:t>
            </w:r>
          </w:p>
        </w:tc>
      </w:tr>
      <w:tr>
        <w:tc>
          <w:tcPr>
            <w:tcW w:type="dxa" w:w="3168"/>
            <w:shd w:val="clear" w:color="auto" w:fill="FFFFFF"/>
          </w:tcPr>
          <w:p>
            <w:r>
              <w:rPr>
                <w:sz w:val="19"/>
              </w:rPr>
              <w:t>Oracle Fusion HCM Reference Letter</w:t>
            </w:r>
          </w:p>
        </w:tc>
        <w:tc>
          <w:tcPr>
            <w:tcW w:type="dxa" w:w="1728"/>
            <w:shd w:val="clear" w:color="auto" w:fill="FFFFFF"/>
          </w:tcPr>
          <w:p>
            <w:r>
              <w:rPr>
                <w:sz w:val="19"/>
              </w:rPr>
              <w:t>[PENDING]</w:t>
            </w:r>
          </w:p>
        </w:tc>
        <w:tc>
          <w:tcPr>
            <w:tcW w:type="dxa" w:w="2880"/>
            <w:shd w:val="clear" w:color="auto" w:fill="FFFFFF"/>
          </w:tcPr>
          <w:p>
            <w:r>
              <w:rPr>
                <w:sz w:val="19"/>
              </w:rPr>
              <w:t>Oracle Fusion HCM full-suite reference</w:t>
            </w:r>
          </w:p>
        </w:tc>
        <w:tc>
          <w:tcPr>
            <w:tcW w:type="dxa" w:w="1872"/>
            <w:shd w:val="clear" w:color="auto" w:fill="FFFFFF"/>
          </w:tcPr>
          <w:p>
            <w:r>
              <w:rPr>
                <w:sz w:val="19"/>
              </w:rPr>
              <w:t>🔴 MISSING — Request from Hollywood Bets (AM approval required)</w:t>
            </w:r>
          </w:p>
        </w:tc>
      </w:tr>
    </w:tbl>
    <w:p/>
    <w:p>
      <w:r>
        <w:br w:type="page"/>
      </w:r>
    </w:p>
    <w:p>
      <w:pPr>
        <w:pStyle w:val="Heading1"/>
      </w:pPr>
      <w:r>
        <w:rPr>
          <w:color w:val="1F3964"/>
        </w:rPr>
        <w:t>Appendix B — Tender Factory Governance Status</w:t>
      </w:r>
    </w:p>
    <w:p>
      <w:pPr>
        <w:spacing w:after="120" w:before="40"/>
      </w:pPr>
      <w:r>
        <w:rPr>
          <w:b w:val="0"/>
          <w:i w:val="0"/>
          <w:sz w:val="21"/>
        </w:rPr>
        <w:t>Internal use only. Not for external distribution. This appendix documents the Tender Factory governance validation status of this draft.</w:t>
      </w:r>
    </w:p>
    <w:tbl>
      <w:tblPr>
        <w:tblStyle w:val="TableGrid"/>
        <w:tblW w:type="auto" w:w="0"/>
        <w:tblLook w:firstColumn="1" w:firstRow="1" w:lastColumn="0" w:lastRow="0" w:noHBand="0" w:noVBand="1" w:val="04A0"/>
      </w:tblPr>
      <w:tblGrid>
        <w:gridCol w:w="3010"/>
        <w:gridCol w:w="3010"/>
        <w:gridCol w:w="3010"/>
      </w:tblGrid>
      <w:tr>
        <w:tc>
          <w:tcPr>
            <w:tcW w:type="dxa" w:w="4032"/>
            <w:shd w:val="clear" w:color="auto" w:fill="1F3964"/>
          </w:tcPr>
          <w:p>
            <w:pPr>
              <w:jc w:val="center"/>
            </w:pPr>
            <w:r>
              <w:rPr>
                <w:b/>
                <w:color w:val="FFFFFF"/>
                <w:sz w:val="19"/>
              </w:rPr>
              <w:t>Governance Check</w:t>
            </w:r>
          </w:p>
        </w:tc>
        <w:tc>
          <w:tcPr>
            <w:tcW w:type="dxa" w:w="1152"/>
            <w:shd w:val="clear" w:color="auto" w:fill="1F3964"/>
          </w:tcPr>
          <w:p>
            <w:pPr>
              <w:jc w:val="center"/>
            </w:pPr>
            <w:r>
              <w:rPr>
                <w:b/>
                <w:color w:val="FFFFFF"/>
                <w:sz w:val="19"/>
              </w:rPr>
              <w:t>Status</w:t>
            </w:r>
          </w:p>
        </w:tc>
        <w:tc>
          <w:tcPr>
            <w:tcW w:type="dxa" w:w="4464"/>
            <w:shd w:val="clear" w:color="auto" w:fill="1F3964"/>
          </w:tcPr>
          <w:p>
            <w:pPr>
              <w:jc w:val="center"/>
            </w:pPr>
            <w:r>
              <w:rPr>
                <w:b/>
                <w:color w:val="FFFFFF"/>
                <w:sz w:val="19"/>
              </w:rPr>
              <w:t>Notes</w:t>
            </w:r>
          </w:p>
        </w:tc>
      </w:tr>
      <w:tr>
        <w:tc>
          <w:tcPr>
            <w:tcW w:type="dxa" w:w="4032"/>
            <w:shd w:val="clear" w:color="auto" w:fill="F2F2F2"/>
          </w:tcPr>
          <w:p>
            <w:r>
              <w:rPr>
                <w:sz w:val="19"/>
              </w:rPr>
              <w:t>Rule 21.1 (Aviation — SAA not named)</w:t>
            </w:r>
          </w:p>
        </w:tc>
        <w:tc>
          <w:tcPr>
            <w:tcW w:type="dxa" w:w="1152"/>
            <w:shd w:val="clear" w:color="auto" w:fill="F2F2F2"/>
          </w:tcPr>
          <w:p>
            <w:r>
              <w:rPr>
                <w:sz w:val="19"/>
              </w:rPr>
              <w:t>PASS</w:t>
            </w:r>
          </w:p>
        </w:tc>
        <w:tc>
          <w:tcPr>
            <w:tcW w:type="dxa" w:w="4464"/>
            <w:shd w:val="clear" w:color="auto" w:fill="F2F2F2"/>
          </w:tcPr>
          <w:p>
            <w:r>
              <w:rPr>
                <w:sz w:val="19"/>
              </w:rPr>
              <w:t>SAA not referenced anywhere in this document</w:t>
            </w:r>
          </w:p>
        </w:tc>
      </w:tr>
      <w:tr>
        <w:tc>
          <w:tcPr>
            <w:tcW w:type="dxa" w:w="4032"/>
            <w:shd w:val="clear" w:color="auto" w:fill="FFFFFF"/>
          </w:tcPr>
          <w:p>
            <w:r>
              <w:rPr>
                <w:sz w:val="19"/>
              </w:rPr>
              <w:t>Rule 21.4 (DFA permanent block)</w:t>
            </w:r>
          </w:p>
        </w:tc>
        <w:tc>
          <w:tcPr>
            <w:tcW w:type="dxa" w:w="1152"/>
            <w:shd w:val="clear" w:color="auto" w:fill="FFFFFF"/>
          </w:tcPr>
          <w:p>
            <w:r>
              <w:rPr>
                <w:sz w:val="19"/>
              </w:rPr>
              <w:t>PASS</w:t>
            </w:r>
          </w:p>
        </w:tc>
        <w:tc>
          <w:tcPr>
            <w:tcW w:type="dxa" w:w="4464"/>
            <w:shd w:val="clear" w:color="auto" w:fill="FFFFFF"/>
          </w:tcPr>
          <w:p>
            <w:r>
              <w:rPr>
                <w:sz w:val="19"/>
              </w:rPr>
              <w:t>DFA not referenced anywhere in this document</w:t>
            </w:r>
          </w:p>
        </w:tc>
      </w:tr>
      <w:tr>
        <w:tc>
          <w:tcPr>
            <w:tcW w:type="dxa" w:w="4032"/>
            <w:shd w:val="clear" w:color="auto" w:fill="F2F2F2"/>
          </w:tcPr>
          <w:p>
            <w:r>
              <w:rPr>
                <w:sz w:val="19"/>
              </w:rPr>
              <w:t>Rule 21.5 (Redpath — pipeline only)</w:t>
            </w:r>
          </w:p>
        </w:tc>
        <w:tc>
          <w:tcPr>
            <w:tcW w:type="dxa" w:w="1152"/>
            <w:shd w:val="clear" w:color="auto" w:fill="F2F2F2"/>
          </w:tcPr>
          <w:p>
            <w:r>
              <w:rPr>
                <w:sz w:val="19"/>
              </w:rPr>
              <w:t>PASS</w:t>
            </w:r>
          </w:p>
        </w:tc>
        <w:tc>
          <w:tcPr>
            <w:tcW w:type="dxa" w:w="4464"/>
            <w:shd w:val="clear" w:color="auto" w:fill="F2F2F2"/>
          </w:tcPr>
          <w:p>
            <w:r>
              <w:rPr>
                <w:sz w:val="19"/>
              </w:rPr>
              <w:t>Redpath cited as "mining-sector client" only; not named</w:t>
            </w:r>
          </w:p>
        </w:tc>
      </w:tr>
      <w:tr>
        <w:tc>
          <w:tcPr>
            <w:tcW w:type="dxa" w:w="4032"/>
            <w:shd w:val="clear" w:color="auto" w:fill="FFFFFF"/>
          </w:tcPr>
          <w:p>
            <w:r>
              <w:rPr>
                <w:sz w:val="19"/>
              </w:rPr>
              <w:t>C-W3-002 (Mr Price — Learning Cloud scope only)</w:t>
            </w:r>
          </w:p>
        </w:tc>
        <w:tc>
          <w:tcPr>
            <w:tcW w:type="dxa" w:w="1152"/>
            <w:shd w:val="clear" w:color="auto" w:fill="FFFFFF"/>
          </w:tcPr>
          <w:p>
            <w:r>
              <w:rPr>
                <w:sz w:val="19"/>
              </w:rPr>
              <w:t>PASS</w:t>
            </w:r>
          </w:p>
        </w:tc>
        <w:tc>
          <w:tcPr>
            <w:tcW w:type="dxa" w:w="4464"/>
            <w:shd w:val="clear" w:color="auto" w:fill="FFFFFF"/>
          </w:tcPr>
          <w:p>
            <w:r>
              <w:rPr>
                <w:sz w:val="19"/>
              </w:rPr>
              <w:t>Mr Price cited for Learning Cloud only in Section 12</w:t>
            </w:r>
          </w:p>
        </w:tc>
      </w:tr>
      <w:tr>
        <w:tc>
          <w:tcPr>
            <w:tcW w:type="dxa" w:w="4032"/>
            <w:shd w:val="clear" w:color="auto" w:fill="F2F2F2"/>
          </w:tcPr>
          <w:p>
            <w:r>
              <w:rPr>
                <w:sz w:val="19"/>
              </w:rPr>
              <w:t>HIST-015 (Afrocentric — HIST-restricted)</w:t>
            </w:r>
          </w:p>
        </w:tc>
        <w:tc>
          <w:tcPr>
            <w:tcW w:type="dxa" w:w="1152"/>
            <w:shd w:val="clear" w:color="auto" w:fill="F2F2F2"/>
          </w:tcPr>
          <w:p>
            <w:r>
              <w:rPr>
                <w:sz w:val="19"/>
              </w:rPr>
              <w:t>PASS</w:t>
            </w:r>
          </w:p>
        </w:tc>
        <w:tc>
          <w:tcPr>
            <w:tcW w:type="dxa" w:w="4464"/>
            <w:shd w:val="clear" w:color="auto" w:fill="F2F2F2"/>
          </w:tcPr>
          <w:p>
            <w:r>
              <w:rPr>
                <w:sz w:val="19"/>
              </w:rPr>
              <w:t>Afrocentric not mentioned anywhere</w:t>
            </w:r>
          </w:p>
        </w:tc>
      </w:tr>
      <w:tr>
        <w:tc>
          <w:tcPr>
            <w:tcW w:type="dxa" w:w="4032"/>
            <w:shd w:val="clear" w:color="auto" w:fill="FFFFFF"/>
          </w:tcPr>
          <w:p>
            <w:r>
              <w:rPr>
                <w:sz w:val="19"/>
              </w:rPr>
              <w:t>ORACLE_FACT_BASELINE — headcount claim</w:t>
            </w:r>
          </w:p>
        </w:tc>
        <w:tc>
          <w:tcPr>
            <w:tcW w:type="dxa" w:w="1152"/>
            <w:shd w:val="clear" w:color="auto" w:fill="FFFFFF"/>
          </w:tcPr>
          <w:p>
            <w:r>
              <w:rPr>
                <w:sz w:val="19"/>
              </w:rPr>
              <w:t>PASS</w:t>
            </w:r>
          </w:p>
        </w:tc>
        <w:tc>
          <w:tcPr>
            <w:tcW w:type="dxa" w:w="4464"/>
            <w:shd w:val="clear" w:color="auto" w:fill="FFFFFF"/>
          </w:tcPr>
          <w:p>
            <w:r>
              <w:rPr>
                <w:sz w:val="19"/>
              </w:rPr>
              <w:t>"50+ Senior Consultants" used throughout; "110+" PROHIBITED claim not used</w:t>
            </w:r>
          </w:p>
        </w:tc>
      </w:tr>
      <w:tr>
        <w:tc>
          <w:tcPr>
            <w:tcW w:type="dxa" w:w="4032"/>
            <w:shd w:val="clear" w:color="auto" w:fill="F2F2F2"/>
          </w:tcPr>
          <w:p>
            <w:r>
              <w:rPr>
                <w:sz w:val="19"/>
              </w:rPr>
              <w:t>ORACLE_FACT_BASELINE — geography claims</w:t>
            </w:r>
          </w:p>
        </w:tc>
        <w:tc>
          <w:tcPr>
            <w:tcW w:type="dxa" w:w="1152"/>
            <w:shd w:val="clear" w:color="auto" w:fill="F2F2F2"/>
          </w:tcPr>
          <w:p>
            <w:r>
              <w:rPr>
                <w:sz w:val="19"/>
              </w:rPr>
              <w:t>PASS</w:t>
            </w:r>
          </w:p>
        </w:tc>
        <w:tc>
          <w:tcPr>
            <w:tcW w:type="dxa" w:w="4464"/>
            <w:shd w:val="clear" w:color="auto" w:fill="F2F2F2"/>
          </w:tcPr>
          <w:p>
            <w:r>
              <w:rPr>
                <w:sz w:val="19"/>
              </w:rPr>
              <w:t>Approved sub-Saharan list (Botswana, Zambia, Mozambique, Namibia, Tanzania) used; prohibited countries removed</w:t>
            </w:r>
          </w:p>
        </w:tc>
      </w:tr>
      <w:tr>
        <w:tc>
          <w:tcPr>
            <w:tcW w:type="dxa" w:w="4032"/>
            <w:shd w:val="clear" w:color="auto" w:fill="FFFFFF"/>
          </w:tcPr>
          <w:p>
            <w:r>
              <w:rPr>
                <w:sz w:val="19"/>
              </w:rPr>
              <w:t>ORACLE_FACT_BASELINE — Hein experience</w:t>
            </w:r>
          </w:p>
        </w:tc>
        <w:tc>
          <w:tcPr>
            <w:tcW w:type="dxa" w:w="1152"/>
            <w:shd w:val="clear" w:color="auto" w:fill="FFFFFF"/>
          </w:tcPr>
          <w:p>
            <w:r>
              <w:rPr>
                <w:sz w:val="19"/>
              </w:rPr>
              <w:t>PASS</w:t>
            </w:r>
          </w:p>
        </w:tc>
        <w:tc>
          <w:tcPr>
            <w:tcW w:type="dxa" w:w="4464"/>
            <w:shd w:val="clear" w:color="auto" w:fill="FFFFFF"/>
          </w:tcPr>
          <w:p>
            <w:r>
              <w:rPr>
                <w:sz w:val="19"/>
              </w:rPr>
              <w:t>"Managing Director since 2002" used; "19 years" PROHIBITED claim removed</w:t>
            </w:r>
          </w:p>
        </w:tc>
      </w:tr>
      <w:tr>
        <w:tc>
          <w:tcPr>
            <w:tcW w:type="dxa" w:w="4032"/>
            <w:shd w:val="clear" w:color="auto" w:fill="F2F2F2"/>
          </w:tcPr>
          <w:p>
            <w:r>
              <w:rPr>
                <w:sz w:val="19"/>
              </w:rPr>
              <w:t>APPSolve age claim</w:t>
            </w:r>
          </w:p>
        </w:tc>
        <w:tc>
          <w:tcPr>
            <w:tcW w:type="dxa" w:w="1152"/>
            <w:shd w:val="clear" w:color="auto" w:fill="F2F2F2"/>
          </w:tcPr>
          <w:p>
            <w:r>
              <w:rPr>
                <w:sz w:val="19"/>
              </w:rPr>
              <w:t>PASS</w:t>
            </w:r>
          </w:p>
        </w:tc>
        <w:tc>
          <w:tcPr>
            <w:tcW w:type="dxa" w:w="4464"/>
            <w:shd w:val="clear" w:color="auto" w:fill="F2F2F2"/>
          </w:tcPr>
          <w:p>
            <w:r>
              <w:rPr>
                <w:sz w:val="19"/>
              </w:rPr>
              <w:t>"More than 23 years" used consistently</w:t>
            </w:r>
          </w:p>
        </w:tc>
      </w:tr>
      <w:tr>
        <w:tc>
          <w:tcPr>
            <w:tcW w:type="dxa" w:w="4032"/>
            <w:shd w:val="clear" w:color="auto" w:fill="FFFFFF"/>
          </w:tcPr>
          <w:p>
            <w:r>
              <w:rPr>
                <w:sz w:val="19"/>
              </w:rPr>
              <w:t>W3S1-005 Tier 2 (WP3-EX-001)</w:t>
            </w:r>
          </w:p>
        </w:tc>
        <w:tc>
          <w:tcPr>
            <w:tcW w:type="dxa" w:w="1152"/>
            <w:shd w:val="clear" w:color="auto" w:fill="FFFFFF"/>
          </w:tcPr>
          <w:p>
            <w:r>
              <w:rPr>
                <w:sz w:val="19"/>
              </w:rPr>
              <w:t>FLAGGED</w:t>
            </w:r>
          </w:p>
        </w:tc>
        <w:tc>
          <w:tcPr>
            <w:tcW w:type="dxa" w:w="4464"/>
            <w:shd w:val="clear" w:color="auto" w:fill="FFFFFF"/>
          </w:tcPr>
          <w:p>
            <w:r>
              <w:rPr>
                <w:sz w:val="19"/>
              </w:rPr>
              <w:t>Workforce Compensation section notes Tier 2 status. No named client reference included. Mining-sector pipeline wording applied.</w:t>
            </w:r>
          </w:p>
        </w:tc>
      </w:tr>
      <w:tr>
        <w:tc>
          <w:tcPr>
            <w:tcW w:type="dxa" w:w="4032"/>
            <w:shd w:val="clear" w:color="auto" w:fill="F2F2F2"/>
          </w:tcPr>
          <w:p>
            <w:r>
              <w:rPr>
                <w:sz w:val="19"/>
              </w:rPr>
              <w:t>Hollywood Bets AM approval</w:t>
            </w:r>
          </w:p>
        </w:tc>
        <w:tc>
          <w:tcPr>
            <w:tcW w:type="dxa" w:w="1152"/>
            <w:shd w:val="clear" w:color="auto" w:fill="F2F2F2"/>
          </w:tcPr>
          <w:p>
            <w:r>
              <w:rPr>
                <w:sz w:val="19"/>
              </w:rPr>
              <w:t>FLAGGED</w:t>
            </w:r>
          </w:p>
        </w:tc>
        <w:tc>
          <w:tcPr>
            <w:tcW w:type="dxa" w:w="4464"/>
            <w:shd w:val="clear" w:color="auto" w:fill="F2F2F2"/>
          </w:tcPr>
          <w:p>
            <w:r>
              <w:rPr>
                <w:sz w:val="19"/>
              </w:rPr>
              <w:t>HB referenced anonymously throughout ("large SA enterprise"). AM approval required before naming in submission.</w:t>
            </w:r>
          </w:p>
        </w:tc>
      </w:tr>
      <w:tr>
        <w:tc>
          <w:tcPr>
            <w:tcW w:type="dxa" w:w="4032"/>
            <w:shd w:val="clear" w:color="auto" w:fill="FFFFFF"/>
          </w:tcPr>
          <w:p>
            <w:r>
              <w:rPr>
                <w:sz w:val="19"/>
              </w:rPr>
              <w:t>Directors' Resolution</w:t>
            </w:r>
          </w:p>
        </w:tc>
        <w:tc>
          <w:tcPr>
            <w:tcW w:type="dxa" w:w="1152"/>
            <w:shd w:val="clear" w:color="auto" w:fill="FFFFFF"/>
          </w:tcPr>
          <w:p>
            <w:r>
              <w:rPr>
                <w:sz w:val="19"/>
              </w:rPr>
              <w:t>BLOCKED</w:t>
            </w:r>
          </w:p>
        </w:tc>
        <w:tc>
          <w:tcPr>
            <w:tcW w:type="dxa" w:w="4464"/>
            <w:shd w:val="clear" w:color="auto" w:fill="FFFFFF"/>
          </w:tcPr>
          <w:p>
            <w:r>
              <w:rPr>
                <w:sz w:val="19"/>
              </w:rPr>
              <w:t>EXPIRED March 2026 — must be renewed before document can be signed and submitted.</w:t>
            </w:r>
          </w:p>
        </w:tc>
      </w:tr>
      <w:tr>
        <w:tc>
          <w:tcPr>
            <w:tcW w:type="dxa" w:w="4032"/>
            <w:shd w:val="clear" w:color="auto" w:fill="F2F2F2"/>
          </w:tcPr>
          <w:p>
            <w:r>
              <w:rPr>
                <w:sz w:val="19"/>
              </w:rPr>
              <w:t>B-BBEE Certificate</w:t>
            </w:r>
          </w:p>
        </w:tc>
        <w:tc>
          <w:tcPr>
            <w:tcW w:type="dxa" w:w="1152"/>
            <w:shd w:val="clear" w:color="auto" w:fill="F2F2F2"/>
          </w:tcPr>
          <w:p>
            <w:r>
              <w:rPr>
                <w:sz w:val="19"/>
              </w:rPr>
              <w:t>WARNING</w:t>
            </w:r>
          </w:p>
        </w:tc>
        <w:tc>
          <w:tcPr>
            <w:tcW w:type="dxa" w:w="4464"/>
            <w:shd w:val="clear" w:color="auto" w:fill="F2F2F2"/>
          </w:tcPr>
          <w:p>
            <w:r>
              <w:rPr>
                <w:sz w:val="19"/>
              </w:rPr>
              <w:t>Expires 2026-07-31 — renewal must be completed before submission date if after July 31.</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