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9919" w14:textId="4BA056AD" w:rsidR="009A4E62" w:rsidRDefault="00B548BB" w:rsidP="00B548BB">
      <w:pPr>
        <w:pStyle w:val="Heading1"/>
        <w:jc w:val="center"/>
        <w:rPr>
          <w:lang w:val="en-US"/>
        </w:rPr>
      </w:pPr>
      <w:r w:rsidRPr="00B548BB">
        <w:rPr>
          <w:lang w:val="en-US"/>
        </w:rPr>
        <w:t>PCM1789- Q1</w:t>
      </w:r>
    </w:p>
    <w:p w14:paraId="71A23604" w14:textId="3248E58F" w:rsidR="008E0F9D" w:rsidRPr="008E0F9D" w:rsidRDefault="008E0F9D" w:rsidP="008E0F9D">
      <w:pPr>
        <w:jc w:val="center"/>
        <w:rPr>
          <w:lang w:val="en-US"/>
        </w:rPr>
      </w:pPr>
      <w:r w:rsidRPr="008E0F9D">
        <w:rPr>
          <w:lang w:val="en-US"/>
        </w:rPr>
        <w:drawing>
          <wp:inline distT="0" distB="0" distL="0" distR="0" wp14:anchorId="319B5AF8" wp14:editId="0AC1D012">
            <wp:extent cx="2946096" cy="2715491"/>
            <wp:effectExtent l="0" t="0" r="6985" b="8890"/>
            <wp:docPr id="4" name="Afbeelding 4"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grafiek&#10;&#10;Automatisch gegenereerde beschrijving"/>
                    <pic:cNvPicPr/>
                  </pic:nvPicPr>
                  <pic:blipFill>
                    <a:blip r:embed="rId8"/>
                    <a:stretch>
                      <a:fillRect/>
                    </a:stretch>
                  </pic:blipFill>
                  <pic:spPr>
                    <a:xfrm>
                      <a:off x="0" y="0"/>
                      <a:ext cx="2950874" cy="2719895"/>
                    </a:xfrm>
                    <a:prstGeom prst="rect">
                      <a:avLst/>
                    </a:prstGeom>
                  </pic:spPr>
                </pic:pic>
              </a:graphicData>
            </a:graphic>
          </wp:inline>
        </w:drawing>
      </w:r>
    </w:p>
    <w:p w14:paraId="6129FAF2" w14:textId="77777777" w:rsidR="00B548BB" w:rsidRPr="00B548BB" w:rsidRDefault="00B548BB" w:rsidP="00B548BB">
      <w:pPr>
        <w:rPr>
          <w:lang w:val="en-US"/>
        </w:rPr>
      </w:pPr>
    </w:p>
    <w:p w14:paraId="34E83185" w14:textId="2649A71F" w:rsidR="00B548BB" w:rsidRDefault="00B548BB" w:rsidP="00B548BB">
      <w:pPr>
        <w:jc w:val="center"/>
        <w:rPr>
          <w:lang w:val="en-US"/>
        </w:rPr>
      </w:pPr>
      <w:r>
        <w:rPr>
          <w:lang w:val="en-US"/>
        </w:rPr>
        <w:t xml:space="preserve">Control Interface </w:t>
      </w:r>
    </w:p>
    <w:p w14:paraId="1CD7DA6B" w14:textId="729D1651" w:rsidR="00B548BB" w:rsidRDefault="00B548BB" w:rsidP="00B548BB">
      <w:pPr>
        <w:tabs>
          <w:tab w:val="left" w:pos="1248"/>
        </w:tabs>
        <w:jc w:val="both"/>
        <w:rPr>
          <w:lang w:val="en-US"/>
        </w:rPr>
      </w:pPr>
      <w:r>
        <w:rPr>
          <w:lang w:val="en-US"/>
        </w:rPr>
        <w:tab/>
      </w:r>
      <w:r w:rsidRPr="00B548BB">
        <w:rPr>
          <w:noProof/>
          <w:lang w:val="en-US"/>
        </w:rPr>
        <w:drawing>
          <wp:inline distT="0" distB="0" distL="0" distR="0" wp14:anchorId="762121CD" wp14:editId="09C47930">
            <wp:extent cx="3596952" cy="219475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3596952" cy="2194750"/>
                    </a:xfrm>
                    <a:prstGeom prst="rect">
                      <a:avLst/>
                    </a:prstGeom>
                  </pic:spPr>
                </pic:pic>
              </a:graphicData>
            </a:graphic>
          </wp:inline>
        </w:drawing>
      </w:r>
    </w:p>
    <w:p w14:paraId="0F6E1B43" w14:textId="5C192306" w:rsidR="00B548BB" w:rsidRDefault="00B548BB" w:rsidP="00B548BB">
      <w:pPr>
        <w:tabs>
          <w:tab w:val="left" w:pos="5460"/>
        </w:tabs>
        <w:rPr>
          <w:lang w:val="en-US"/>
        </w:rPr>
      </w:pPr>
      <w:r>
        <w:rPr>
          <w:lang w:val="en-US"/>
        </w:rPr>
        <w:t>The following inputs are used to control the functionalities of the DAC</w:t>
      </w:r>
      <w:r w:rsidR="00D73F6A">
        <w:rPr>
          <w:lang w:val="en-US"/>
        </w:rPr>
        <w:t>:</w:t>
      </w:r>
    </w:p>
    <w:p w14:paraId="70C697DB" w14:textId="348B8581" w:rsidR="00D73F6A" w:rsidRDefault="00D73F6A" w:rsidP="00D73F6A">
      <w:pPr>
        <w:pStyle w:val="ListParagraph"/>
        <w:numPr>
          <w:ilvl w:val="0"/>
          <w:numId w:val="1"/>
        </w:numPr>
        <w:tabs>
          <w:tab w:val="left" w:pos="5460"/>
        </w:tabs>
        <w:rPr>
          <w:lang w:val="en-US"/>
        </w:rPr>
      </w:pPr>
      <w:r w:rsidRPr="00D73F6A">
        <w:rPr>
          <w:lang w:val="en-US"/>
        </w:rPr>
        <w:t>The MODE input determines the operational mode of the PCM1789. There are two modes: Standard Mode and Double Speed Mode. In Standard Mode, the PCM1789 operates with a sampling frequency of up to 50 kHz, while in Double Speed Mode, the sampling frequency can go up to 100 kHz.</w:t>
      </w:r>
    </w:p>
    <w:p w14:paraId="678D7729" w14:textId="15797987" w:rsidR="00FB0F04" w:rsidRDefault="00FB0F04" w:rsidP="00FB0F04">
      <w:pPr>
        <w:pStyle w:val="ListParagraph"/>
        <w:numPr>
          <w:ilvl w:val="0"/>
          <w:numId w:val="2"/>
        </w:numPr>
        <w:tabs>
          <w:tab w:val="left" w:pos="5460"/>
        </w:tabs>
        <w:rPr>
          <w:lang w:val="en-US"/>
        </w:rPr>
      </w:pPr>
      <w:r w:rsidRPr="00FB0F04">
        <w:rPr>
          <w:lang w:val="en-US"/>
        </w:rPr>
        <w:t>To set the mode to DOUBLE SPEED, the MODE input should be set to '0' for the double-speed mode. If MODE is set to '1', it will be in normal speed mode.</w:t>
      </w:r>
    </w:p>
    <w:p w14:paraId="77B454EA" w14:textId="77777777" w:rsidR="006A0E71" w:rsidRPr="006A0E71" w:rsidRDefault="006A0E71" w:rsidP="006A0E71">
      <w:pPr>
        <w:pStyle w:val="ListParagraph"/>
        <w:tabs>
          <w:tab w:val="left" w:pos="5460"/>
        </w:tabs>
        <w:ind w:left="1440"/>
        <w:rPr>
          <w:highlight w:val="yellow"/>
          <w:lang w:val="en-US"/>
        </w:rPr>
      </w:pPr>
      <w:r w:rsidRPr="006A0E71">
        <w:rPr>
          <w:highlight w:val="yellow"/>
          <w:lang w:val="en-US"/>
        </w:rPr>
        <w:t>Inputs: MODE pin (logic high or low)</w:t>
      </w:r>
    </w:p>
    <w:p w14:paraId="5C2A8E04" w14:textId="77777777" w:rsidR="006A0E71" w:rsidRPr="006A0E71" w:rsidRDefault="006A0E71" w:rsidP="006A0E71">
      <w:pPr>
        <w:pStyle w:val="ListParagraph"/>
        <w:tabs>
          <w:tab w:val="left" w:pos="5460"/>
        </w:tabs>
        <w:ind w:left="1440"/>
        <w:rPr>
          <w:highlight w:val="yellow"/>
          <w:lang w:val="en-US"/>
        </w:rPr>
      </w:pPr>
      <w:r w:rsidRPr="006A0E71">
        <w:rPr>
          <w:highlight w:val="yellow"/>
          <w:lang w:val="en-US"/>
        </w:rPr>
        <w:t>Outputs: None</w:t>
      </w:r>
    </w:p>
    <w:p w14:paraId="7037F114" w14:textId="679716C7" w:rsidR="006A0E71" w:rsidRDefault="006A0E71" w:rsidP="006A0E71">
      <w:pPr>
        <w:pStyle w:val="ListParagraph"/>
        <w:tabs>
          <w:tab w:val="left" w:pos="5460"/>
        </w:tabs>
        <w:ind w:left="1440"/>
        <w:rPr>
          <w:lang w:val="en-US"/>
        </w:rPr>
      </w:pPr>
      <w:r w:rsidRPr="006A0E71">
        <w:rPr>
          <w:highlight w:val="yellow"/>
          <w:lang w:val="en-US"/>
        </w:rPr>
        <w:t>Modes: Standard, Double Speed, Quad Speed, and Dual Mono</w:t>
      </w:r>
    </w:p>
    <w:p w14:paraId="12A62BD9" w14:textId="77777777" w:rsidR="00EF49F7" w:rsidRDefault="00EF49F7" w:rsidP="006A0E71">
      <w:pPr>
        <w:pStyle w:val="ListParagraph"/>
        <w:tabs>
          <w:tab w:val="left" w:pos="5460"/>
        </w:tabs>
        <w:ind w:left="1440"/>
        <w:rPr>
          <w:lang w:val="en-US"/>
        </w:rPr>
      </w:pPr>
    </w:p>
    <w:p w14:paraId="18B09C01" w14:textId="253431CC" w:rsidR="00EF49F7" w:rsidRDefault="00EF49F7" w:rsidP="006A0E71">
      <w:pPr>
        <w:pStyle w:val="ListParagraph"/>
        <w:tabs>
          <w:tab w:val="left" w:pos="5460"/>
        </w:tabs>
        <w:ind w:left="1440"/>
      </w:pPr>
      <w:r w:rsidRPr="00901C6D">
        <w:rPr>
          <w:highlight w:val="green"/>
        </w:rPr>
        <w:t>Control port mode selection. Tied to VDD: SPI, ADR6 = 1, pull-up: SPI,</w:t>
      </w:r>
      <w:r w:rsidR="00390C44" w:rsidRPr="00901C6D">
        <w:rPr>
          <w:highlight w:val="green"/>
        </w:rPr>
        <w:br/>
        <w:t>ADR6 = 0, pull-down: H/W auto mode, tied to DGND: I2C</w:t>
      </w:r>
    </w:p>
    <w:p w14:paraId="27A2C321" w14:textId="77777777" w:rsidR="00D515C0" w:rsidRDefault="00D515C0" w:rsidP="006A0E71">
      <w:pPr>
        <w:pStyle w:val="ListParagraph"/>
        <w:tabs>
          <w:tab w:val="left" w:pos="5460"/>
        </w:tabs>
        <w:ind w:left="1440"/>
      </w:pPr>
    </w:p>
    <w:p w14:paraId="56B33CC9" w14:textId="3324EF04" w:rsidR="00D515C0" w:rsidRDefault="0049669D" w:rsidP="006A0E71">
      <w:pPr>
        <w:pStyle w:val="ListParagraph"/>
        <w:tabs>
          <w:tab w:val="left" w:pos="5460"/>
        </w:tabs>
        <w:ind w:left="1440"/>
      </w:pPr>
      <w:r>
        <w:t xml:space="preserve">Mode input pin is for </w:t>
      </w:r>
      <w:r w:rsidR="00461C17">
        <w:t xml:space="preserve">selection of the control mode. Dependant on the </w:t>
      </w:r>
      <w:r w:rsidR="00B06E45">
        <w:t>ADR6</w:t>
      </w:r>
      <w:r w:rsidR="00500CC3">
        <w:t>, the pin should have a pull</w:t>
      </w:r>
      <w:r w:rsidR="00A009BF">
        <w:t xml:space="preserve">- Up/down resistor. </w:t>
      </w:r>
      <w:r w:rsidR="00D94A87">
        <w:t xml:space="preserve">Logic high so VDD is SPI and Logic low </w:t>
      </w:r>
      <w:r w:rsidR="007A46CC">
        <w:t xml:space="preserve">so </w:t>
      </w:r>
      <w:r w:rsidR="006870F2">
        <w:t xml:space="preserve">DGND is I2C. </w:t>
      </w:r>
    </w:p>
    <w:p w14:paraId="64C97E69" w14:textId="121C7AA0" w:rsidR="009614BC" w:rsidRPr="00D73F6A" w:rsidRDefault="009614BC" w:rsidP="009614BC">
      <w:pPr>
        <w:pStyle w:val="ListParagraph"/>
        <w:tabs>
          <w:tab w:val="left" w:pos="5460"/>
        </w:tabs>
        <w:ind w:left="1440"/>
        <w:rPr>
          <w:lang w:val="en-US"/>
        </w:rPr>
      </w:pPr>
      <w:r w:rsidRPr="009614BC">
        <w:rPr>
          <w:lang w:val="en-US"/>
        </w:rPr>
        <w:drawing>
          <wp:inline distT="0" distB="0" distL="0" distR="0" wp14:anchorId="6998FFE6" wp14:editId="3F6693AB">
            <wp:extent cx="5495026" cy="1372870"/>
            <wp:effectExtent l="0" t="0" r="0" b="0"/>
            <wp:docPr id="1" name="Afbeelding 1" descr="Afbeelding met diagram,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diagram, schematisch&#10;&#10;Automatisch gegenereerde beschrijving"/>
                    <pic:cNvPicPr/>
                  </pic:nvPicPr>
                  <pic:blipFill>
                    <a:blip r:embed="rId10"/>
                    <a:stretch>
                      <a:fillRect/>
                    </a:stretch>
                  </pic:blipFill>
                  <pic:spPr>
                    <a:xfrm>
                      <a:off x="0" y="0"/>
                      <a:ext cx="5499551" cy="1374001"/>
                    </a:xfrm>
                    <a:prstGeom prst="rect">
                      <a:avLst/>
                    </a:prstGeom>
                  </pic:spPr>
                </pic:pic>
              </a:graphicData>
            </a:graphic>
          </wp:inline>
        </w:drawing>
      </w:r>
    </w:p>
    <w:p w14:paraId="0DBC9563" w14:textId="5A3D2F99" w:rsidR="00D73F6A" w:rsidRPr="00D73F6A" w:rsidRDefault="00813EF6" w:rsidP="00D73F6A">
      <w:pPr>
        <w:tabs>
          <w:tab w:val="left" w:pos="5460"/>
        </w:tabs>
        <w:rPr>
          <w:lang w:val="en-US"/>
        </w:rPr>
      </w:pPr>
      <w:r w:rsidRPr="00813EF6">
        <w:rPr>
          <w:lang w:val="en-US"/>
        </w:rPr>
        <w:drawing>
          <wp:inline distT="0" distB="0" distL="0" distR="0" wp14:anchorId="7857F17F" wp14:editId="327F0674">
            <wp:extent cx="5943600" cy="8578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57885"/>
                    </a:xfrm>
                    <a:prstGeom prst="rect">
                      <a:avLst/>
                    </a:prstGeom>
                  </pic:spPr>
                </pic:pic>
              </a:graphicData>
            </a:graphic>
          </wp:inline>
        </w:drawing>
      </w:r>
    </w:p>
    <w:p w14:paraId="2207679D" w14:textId="49C0D6DD" w:rsidR="00FB0F04" w:rsidRDefault="00D73F6A" w:rsidP="00D73F6A">
      <w:pPr>
        <w:pStyle w:val="ListParagraph"/>
        <w:numPr>
          <w:ilvl w:val="0"/>
          <w:numId w:val="1"/>
        </w:numPr>
        <w:tabs>
          <w:tab w:val="left" w:pos="5460"/>
        </w:tabs>
        <w:rPr>
          <w:lang w:val="en-US"/>
        </w:rPr>
      </w:pPr>
      <w:r w:rsidRPr="00D73F6A">
        <w:rPr>
          <w:lang w:val="en-US"/>
        </w:rPr>
        <w:t xml:space="preserve">The ADR5/ADR1/RSV inputs are used to set the device address when multiple PCM1789s are used in a system. </w:t>
      </w:r>
    </w:p>
    <w:p w14:paraId="05FFB7AA" w14:textId="3323C1C0" w:rsidR="002F31AC" w:rsidRDefault="002F31AC" w:rsidP="002F31AC">
      <w:pPr>
        <w:pStyle w:val="ListParagraph"/>
        <w:numPr>
          <w:ilvl w:val="0"/>
          <w:numId w:val="2"/>
        </w:numPr>
        <w:tabs>
          <w:tab w:val="left" w:pos="5460"/>
        </w:tabs>
        <w:rPr>
          <w:lang w:val="en-US"/>
        </w:rPr>
      </w:pPr>
      <w:r w:rsidRPr="002F31AC">
        <w:rPr>
          <w:lang w:val="en-US"/>
        </w:rPr>
        <w:t>These address inputs are used to select the register to be accessed during the write operation. The RSV bit should always be set to 0.</w:t>
      </w:r>
    </w:p>
    <w:p w14:paraId="5E999F4B" w14:textId="77777777" w:rsidR="006A0E71" w:rsidRPr="006A0E71" w:rsidRDefault="006A0E71" w:rsidP="006A0E71">
      <w:pPr>
        <w:pStyle w:val="ListParagraph"/>
        <w:tabs>
          <w:tab w:val="left" w:pos="5460"/>
        </w:tabs>
        <w:ind w:left="1440"/>
        <w:rPr>
          <w:highlight w:val="yellow"/>
          <w:lang w:val="en-US"/>
        </w:rPr>
      </w:pPr>
      <w:r w:rsidRPr="006A0E71">
        <w:rPr>
          <w:highlight w:val="yellow"/>
          <w:lang w:val="en-US"/>
        </w:rPr>
        <w:t>Inputs: ADR5-ADR1 pins (binary address), RSV pin (logic high or low)</w:t>
      </w:r>
    </w:p>
    <w:p w14:paraId="7DCCB5C4" w14:textId="4680EF5D" w:rsidR="006A0E71" w:rsidRDefault="006A0E71" w:rsidP="006A0E71">
      <w:pPr>
        <w:pStyle w:val="ListParagraph"/>
        <w:tabs>
          <w:tab w:val="left" w:pos="5460"/>
        </w:tabs>
        <w:ind w:left="1440"/>
        <w:rPr>
          <w:lang w:val="en-US"/>
        </w:rPr>
      </w:pPr>
      <w:r w:rsidRPr="006A0E71">
        <w:rPr>
          <w:highlight w:val="yellow"/>
          <w:lang w:val="en-US"/>
        </w:rPr>
        <w:t>Outputs: None</w:t>
      </w:r>
    </w:p>
    <w:p w14:paraId="5FE2E2B5" w14:textId="77777777" w:rsidR="00FB0F04" w:rsidRDefault="00FB0F04" w:rsidP="00FB0F04">
      <w:pPr>
        <w:pStyle w:val="ListParagraph"/>
        <w:tabs>
          <w:tab w:val="left" w:pos="5460"/>
        </w:tabs>
        <w:rPr>
          <w:lang w:val="en-US"/>
        </w:rPr>
      </w:pPr>
    </w:p>
    <w:p w14:paraId="16BBAEF0" w14:textId="70B0F9D4" w:rsidR="00D73F6A" w:rsidRDefault="00D73F6A" w:rsidP="00D73F6A">
      <w:pPr>
        <w:pStyle w:val="ListParagraph"/>
        <w:numPr>
          <w:ilvl w:val="0"/>
          <w:numId w:val="1"/>
        </w:numPr>
        <w:tabs>
          <w:tab w:val="left" w:pos="5460"/>
        </w:tabs>
        <w:rPr>
          <w:lang w:val="en-US"/>
        </w:rPr>
      </w:pPr>
      <w:r w:rsidRPr="00D73F6A">
        <w:rPr>
          <w:lang w:val="en-US"/>
        </w:rPr>
        <w:t>The MS/ADR0/RSV inputs are used for I2C communication. MS selects the I2C bus master, while ADR0/RSV is used to set the device address.</w:t>
      </w:r>
    </w:p>
    <w:p w14:paraId="506D2251" w14:textId="15F950FF" w:rsidR="002F31AC" w:rsidRDefault="002F31AC" w:rsidP="002F31AC">
      <w:pPr>
        <w:pStyle w:val="ListParagraph"/>
        <w:numPr>
          <w:ilvl w:val="0"/>
          <w:numId w:val="2"/>
        </w:numPr>
        <w:tabs>
          <w:tab w:val="left" w:pos="5460"/>
        </w:tabs>
        <w:rPr>
          <w:lang w:val="en-US"/>
        </w:rPr>
      </w:pPr>
      <w:r w:rsidRPr="002F31AC">
        <w:rPr>
          <w:lang w:val="en-US"/>
        </w:rPr>
        <w:t>The MS input selects the operation mode of the device. For TDM mode, this input should be set to 1. ADR0 is another address input used to select the register to be accessed, and RSV should be set to 0.</w:t>
      </w:r>
    </w:p>
    <w:p w14:paraId="18A4FEE9" w14:textId="77777777" w:rsidR="002C3180" w:rsidRPr="002C3180" w:rsidRDefault="002C3180" w:rsidP="002C3180">
      <w:pPr>
        <w:tabs>
          <w:tab w:val="left" w:pos="5460"/>
        </w:tabs>
        <w:rPr>
          <w:lang w:val="en-US"/>
        </w:rPr>
      </w:pPr>
    </w:p>
    <w:p w14:paraId="2CE23C66" w14:textId="2BCFA4EC" w:rsidR="002C3180" w:rsidRPr="002C3180" w:rsidRDefault="002C3180" w:rsidP="002C3180">
      <w:pPr>
        <w:pStyle w:val="ListParagraph"/>
        <w:tabs>
          <w:tab w:val="left" w:pos="5460"/>
        </w:tabs>
        <w:ind w:left="1440"/>
        <w:rPr>
          <w:highlight w:val="yellow"/>
          <w:lang w:val="en-US"/>
        </w:rPr>
      </w:pPr>
      <w:r w:rsidRPr="002C3180">
        <w:rPr>
          <w:highlight w:val="yellow"/>
          <w:lang w:val="en-US"/>
        </w:rPr>
        <w:t>Mode Control:</w:t>
      </w:r>
    </w:p>
    <w:p w14:paraId="7E33F004" w14:textId="77777777" w:rsidR="002C3180" w:rsidRPr="002C3180" w:rsidRDefault="002C3180" w:rsidP="002C3180">
      <w:pPr>
        <w:pStyle w:val="ListParagraph"/>
        <w:tabs>
          <w:tab w:val="left" w:pos="5460"/>
        </w:tabs>
        <w:ind w:left="1440"/>
        <w:rPr>
          <w:highlight w:val="yellow"/>
          <w:lang w:val="en-US"/>
        </w:rPr>
      </w:pPr>
      <w:r w:rsidRPr="002C3180">
        <w:rPr>
          <w:highlight w:val="yellow"/>
          <w:lang w:val="en-US"/>
        </w:rPr>
        <w:t>Inputs: MS pin (logic high or low), ADR0 pin (control address), RSV pin (logic high or low)</w:t>
      </w:r>
    </w:p>
    <w:p w14:paraId="298BB6ED" w14:textId="77777777" w:rsidR="002C3180" w:rsidRPr="002C3180" w:rsidRDefault="002C3180" w:rsidP="002C3180">
      <w:pPr>
        <w:pStyle w:val="ListParagraph"/>
        <w:tabs>
          <w:tab w:val="left" w:pos="5460"/>
        </w:tabs>
        <w:ind w:left="1440"/>
        <w:rPr>
          <w:highlight w:val="yellow"/>
          <w:lang w:val="en-US"/>
        </w:rPr>
      </w:pPr>
      <w:r w:rsidRPr="002C3180">
        <w:rPr>
          <w:highlight w:val="yellow"/>
          <w:lang w:val="en-US"/>
        </w:rPr>
        <w:t>Outputs: None</w:t>
      </w:r>
    </w:p>
    <w:p w14:paraId="0EE293F2" w14:textId="6FF5641B" w:rsidR="002C3180" w:rsidRDefault="002C3180" w:rsidP="002C3180">
      <w:pPr>
        <w:pStyle w:val="ListParagraph"/>
        <w:tabs>
          <w:tab w:val="left" w:pos="5460"/>
        </w:tabs>
        <w:ind w:left="1440"/>
        <w:rPr>
          <w:lang w:val="en-US"/>
        </w:rPr>
      </w:pPr>
      <w:r w:rsidRPr="002C3180">
        <w:rPr>
          <w:highlight w:val="yellow"/>
          <w:lang w:val="en-US"/>
        </w:rPr>
        <w:t>Modes: De-emphasis, Soft Mute, Zero Detect, Digital Attenuation, and Digital Filter</w:t>
      </w:r>
    </w:p>
    <w:p w14:paraId="6F44EFD9" w14:textId="77777777" w:rsidR="002F31AC" w:rsidRPr="00D73F6A" w:rsidRDefault="002F31AC" w:rsidP="002F31AC">
      <w:pPr>
        <w:pStyle w:val="ListParagraph"/>
        <w:tabs>
          <w:tab w:val="left" w:pos="5460"/>
        </w:tabs>
        <w:rPr>
          <w:lang w:val="en-US"/>
        </w:rPr>
      </w:pPr>
    </w:p>
    <w:p w14:paraId="3932FAF7" w14:textId="77777777" w:rsidR="00D73F6A" w:rsidRPr="00D73F6A" w:rsidRDefault="00D73F6A" w:rsidP="00D73F6A">
      <w:pPr>
        <w:tabs>
          <w:tab w:val="left" w:pos="5460"/>
        </w:tabs>
        <w:rPr>
          <w:lang w:val="en-US"/>
        </w:rPr>
      </w:pPr>
    </w:p>
    <w:p w14:paraId="73D29E09" w14:textId="3B627102" w:rsidR="00D73F6A" w:rsidRDefault="00D73F6A" w:rsidP="00D73F6A">
      <w:pPr>
        <w:pStyle w:val="ListParagraph"/>
        <w:numPr>
          <w:ilvl w:val="0"/>
          <w:numId w:val="1"/>
        </w:numPr>
        <w:tabs>
          <w:tab w:val="left" w:pos="5460"/>
        </w:tabs>
        <w:rPr>
          <w:lang w:val="en-US"/>
        </w:rPr>
      </w:pPr>
      <w:r w:rsidRPr="00D73F6A">
        <w:rPr>
          <w:lang w:val="en-US"/>
        </w:rPr>
        <w:t>The MC/SCL/FMT input determines the type of interface used for communication with the PCM1789. MC selects between SPI or I2C interfaces, while SCL selects between I2S, MSB-First, and LSB-First data formats.</w:t>
      </w:r>
    </w:p>
    <w:p w14:paraId="4A963AFC" w14:textId="6895AA08" w:rsidR="002F31AC" w:rsidRDefault="002F31AC" w:rsidP="002F31AC">
      <w:pPr>
        <w:pStyle w:val="ListParagraph"/>
        <w:numPr>
          <w:ilvl w:val="0"/>
          <w:numId w:val="2"/>
        </w:numPr>
        <w:tabs>
          <w:tab w:val="left" w:pos="5460"/>
        </w:tabs>
        <w:rPr>
          <w:lang w:val="en-US"/>
        </w:rPr>
      </w:pPr>
      <w:r w:rsidRPr="002F31AC">
        <w:rPr>
          <w:lang w:val="en-US"/>
        </w:rPr>
        <w:t>The MC input sets the serial data format. For TDM mode, this input should be set to 1. SCL is the I2C clock input and FMT selects the audio data format.</w:t>
      </w:r>
    </w:p>
    <w:p w14:paraId="50A8D497" w14:textId="2B505FB2" w:rsidR="002C3180" w:rsidRDefault="002C3180" w:rsidP="002C3180">
      <w:pPr>
        <w:pStyle w:val="ListParagraph"/>
        <w:tabs>
          <w:tab w:val="left" w:pos="5460"/>
        </w:tabs>
        <w:ind w:left="1440"/>
        <w:rPr>
          <w:lang w:val="en-US"/>
        </w:rPr>
      </w:pPr>
      <w:r w:rsidRPr="002C3180">
        <w:rPr>
          <w:highlight w:val="yellow"/>
          <w:lang w:val="en-US"/>
        </w:rPr>
        <w:t>Master/Slave Selection:</w:t>
      </w:r>
    </w:p>
    <w:p w14:paraId="094399A3" w14:textId="77777777" w:rsidR="002C3180" w:rsidRPr="002C3180" w:rsidRDefault="002C3180" w:rsidP="002C3180">
      <w:pPr>
        <w:pStyle w:val="ListParagraph"/>
        <w:tabs>
          <w:tab w:val="left" w:pos="5460"/>
        </w:tabs>
        <w:ind w:left="1440"/>
        <w:rPr>
          <w:highlight w:val="yellow"/>
          <w:lang w:val="en-US"/>
        </w:rPr>
      </w:pPr>
      <w:r w:rsidRPr="002C3180">
        <w:rPr>
          <w:highlight w:val="yellow"/>
          <w:lang w:val="en-US"/>
        </w:rPr>
        <w:t>Inputs: MC pin (logic high or low), SCL pin (serial clock), FMT pin (audio data format)</w:t>
      </w:r>
    </w:p>
    <w:p w14:paraId="0169C3DB" w14:textId="77777777" w:rsidR="002C3180" w:rsidRPr="002C3180" w:rsidRDefault="002C3180" w:rsidP="002C3180">
      <w:pPr>
        <w:pStyle w:val="ListParagraph"/>
        <w:tabs>
          <w:tab w:val="left" w:pos="5460"/>
        </w:tabs>
        <w:ind w:left="1440"/>
        <w:rPr>
          <w:highlight w:val="yellow"/>
          <w:lang w:val="en-US"/>
        </w:rPr>
      </w:pPr>
      <w:r w:rsidRPr="002C3180">
        <w:rPr>
          <w:highlight w:val="yellow"/>
          <w:lang w:val="en-US"/>
        </w:rPr>
        <w:t>Outputs: None</w:t>
      </w:r>
    </w:p>
    <w:p w14:paraId="6790128B" w14:textId="518B6087" w:rsidR="002C3180" w:rsidRPr="00D73F6A" w:rsidRDefault="002C3180" w:rsidP="002C3180">
      <w:pPr>
        <w:pStyle w:val="ListParagraph"/>
        <w:tabs>
          <w:tab w:val="left" w:pos="5460"/>
        </w:tabs>
        <w:ind w:left="1440"/>
        <w:rPr>
          <w:lang w:val="en-US"/>
        </w:rPr>
      </w:pPr>
      <w:r w:rsidRPr="002C3180">
        <w:rPr>
          <w:highlight w:val="yellow"/>
          <w:lang w:val="en-US"/>
        </w:rPr>
        <w:t>Modes: Master and Slave</w:t>
      </w:r>
    </w:p>
    <w:p w14:paraId="7205A3F8" w14:textId="77777777" w:rsidR="00D73F6A" w:rsidRPr="00D73F6A" w:rsidRDefault="00D73F6A" w:rsidP="00D73F6A">
      <w:pPr>
        <w:tabs>
          <w:tab w:val="left" w:pos="5460"/>
        </w:tabs>
        <w:rPr>
          <w:lang w:val="en-US"/>
        </w:rPr>
      </w:pPr>
    </w:p>
    <w:p w14:paraId="5D706617" w14:textId="3522220B" w:rsidR="00D73F6A" w:rsidRDefault="00D73F6A" w:rsidP="00D73F6A">
      <w:pPr>
        <w:pStyle w:val="ListParagraph"/>
        <w:numPr>
          <w:ilvl w:val="0"/>
          <w:numId w:val="1"/>
        </w:numPr>
        <w:tabs>
          <w:tab w:val="left" w:pos="5460"/>
        </w:tabs>
        <w:rPr>
          <w:lang w:val="en-US"/>
        </w:rPr>
      </w:pPr>
      <w:r w:rsidRPr="00D73F6A">
        <w:rPr>
          <w:lang w:val="en-US"/>
        </w:rPr>
        <w:t>The MD/SDA/DEMP input is used for I2C communication. MD selects between read and write operations, while SDA is the I2C data line. DEMP is used to disable the output of the PCM1789 during mute and soft-mute operations.</w:t>
      </w:r>
    </w:p>
    <w:p w14:paraId="7980C621" w14:textId="1B644B0C" w:rsidR="002F31AC" w:rsidRDefault="002F31AC" w:rsidP="002F31AC">
      <w:pPr>
        <w:pStyle w:val="ListParagraph"/>
        <w:numPr>
          <w:ilvl w:val="0"/>
          <w:numId w:val="2"/>
        </w:numPr>
        <w:tabs>
          <w:tab w:val="left" w:pos="5460"/>
        </w:tabs>
        <w:rPr>
          <w:lang w:val="en-US"/>
        </w:rPr>
      </w:pPr>
      <w:r w:rsidRPr="002F31AC">
        <w:rPr>
          <w:lang w:val="en-US"/>
        </w:rPr>
        <w:t>MD input is the I2C data input and SDA is the I2C data output. For TDM mode, DEMP should be set to 0 to disable deemphasis.</w:t>
      </w:r>
    </w:p>
    <w:p w14:paraId="719FBCA9" w14:textId="77777777" w:rsidR="006A0E71" w:rsidRDefault="006A0E71" w:rsidP="006A0E71">
      <w:pPr>
        <w:pStyle w:val="ListParagraph"/>
        <w:tabs>
          <w:tab w:val="left" w:pos="5460"/>
        </w:tabs>
        <w:ind w:left="1440"/>
        <w:rPr>
          <w:lang w:val="en-US"/>
        </w:rPr>
      </w:pPr>
    </w:p>
    <w:p w14:paraId="1AA8E404" w14:textId="51EF9E08" w:rsidR="006A0E71" w:rsidRPr="006A0E71" w:rsidRDefault="006A0E71" w:rsidP="006A0E71">
      <w:pPr>
        <w:pStyle w:val="ListParagraph"/>
        <w:tabs>
          <w:tab w:val="left" w:pos="5460"/>
        </w:tabs>
        <w:ind w:left="1440"/>
        <w:rPr>
          <w:lang w:val="en-US"/>
        </w:rPr>
      </w:pPr>
      <w:r w:rsidRPr="006A0E71">
        <w:rPr>
          <w:lang w:val="en-US"/>
        </w:rPr>
        <w:t>Data Control:</w:t>
      </w:r>
    </w:p>
    <w:p w14:paraId="5C4026D9" w14:textId="77777777" w:rsidR="006A0E71" w:rsidRPr="006A0E71" w:rsidRDefault="006A0E71" w:rsidP="006A0E71">
      <w:pPr>
        <w:pStyle w:val="ListParagraph"/>
        <w:tabs>
          <w:tab w:val="left" w:pos="5460"/>
        </w:tabs>
        <w:ind w:left="1440"/>
        <w:rPr>
          <w:highlight w:val="yellow"/>
          <w:lang w:val="en-US"/>
        </w:rPr>
      </w:pPr>
      <w:r w:rsidRPr="006A0E71">
        <w:rPr>
          <w:highlight w:val="yellow"/>
          <w:lang w:val="en-US"/>
        </w:rPr>
        <w:t>Inputs: MD pin (serial data), SDA pin (serial data address), DEMP pin (de-emphasis enable)</w:t>
      </w:r>
    </w:p>
    <w:p w14:paraId="30DF1537" w14:textId="241F31EB" w:rsidR="006A0E71" w:rsidRPr="00D73F6A" w:rsidRDefault="006A0E71" w:rsidP="006A0E71">
      <w:pPr>
        <w:pStyle w:val="ListParagraph"/>
        <w:tabs>
          <w:tab w:val="left" w:pos="5460"/>
        </w:tabs>
        <w:ind w:left="1440"/>
        <w:rPr>
          <w:lang w:val="en-US"/>
        </w:rPr>
      </w:pPr>
      <w:r w:rsidRPr="006A0E71">
        <w:rPr>
          <w:highlight w:val="yellow"/>
          <w:lang w:val="en-US"/>
        </w:rPr>
        <w:t>Outputs: None</w:t>
      </w:r>
    </w:p>
    <w:p w14:paraId="3C096A14" w14:textId="77777777" w:rsidR="00D73F6A" w:rsidRPr="00D73F6A" w:rsidRDefault="00D73F6A" w:rsidP="00D73F6A">
      <w:pPr>
        <w:tabs>
          <w:tab w:val="left" w:pos="5460"/>
        </w:tabs>
        <w:rPr>
          <w:lang w:val="en-US"/>
        </w:rPr>
      </w:pPr>
    </w:p>
    <w:p w14:paraId="5037666B" w14:textId="0B72FFB8" w:rsidR="00D73F6A" w:rsidRDefault="00D73F6A" w:rsidP="00D73F6A">
      <w:pPr>
        <w:pStyle w:val="ListParagraph"/>
        <w:numPr>
          <w:ilvl w:val="0"/>
          <w:numId w:val="1"/>
        </w:numPr>
        <w:tabs>
          <w:tab w:val="left" w:pos="5460"/>
        </w:tabs>
        <w:rPr>
          <w:lang w:val="en-US"/>
        </w:rPr>
      </w:pPr>
      <w:r w:rsidRPr="00D73F6A">
        <w:rPr>
          <w:lang w:val="en-US"/>
        </w:rPr>
        <w:t>The RST input is used to reset the PCM1789 to its power-up state.</w:t>
      </w:r>
    </w:p>
    <w:p w14:paraId="2AFA8EB9" w14:textId="7D3685CB" w:rsidR="006A0E71" w:rsidRDefault="006A0E71" w:rsidP="006A0E71">
      <w:pPr>
        <w:pStyle w:val="ListParagraph"/>
        <w:tabs>
          <w:tab w:val="left" w:pos="5460"/>
        </w:tabs>
        <w:rPr>
          <w:highlight w:val="yellow"/>
          <w:lang w:val="en-US"/>
        </w:rPr>
      </w:pPr>
      <w:r w:rsidRPr="006A0E71">
        <w:rPr>
          <w:highlight w:val="yellow"/>
          <w:lang w:val="en-US"/>
        </w:rPr>
        <w:t>Reset Control:</w:t>
      </w:r>
    </w:p>
    <w:p w14:paraId="2FB7B2FC" w14:textId="77441269" w:rsidR="002C40E5" w:rsidRPr="006A0E71" w:rsidRDefault="002C40E5" w:rsidP="006A0E71">
      <w:pPr>
        <w:pStyle w:val="ListParagraph"/>
        <w:tabs>
          <w:tab w:val="left" w:pos="5460"/>
        </w:tabs>
        <w:rPr>
          <w:highlight w:val="yellow"/>
          <w:lang w:val="en-US"/>
        </w:rPr>
      </w:pPr>
    </w:p>
    <w:p w14:paraId="694223E0" w14:textId="77777777" w:rsidR="006A0E71" w:rsidRPr="006A0E71" w:rsidRDefault="006A0E71" w:rsidP="006A0E71">
      <w:pPr>
        <w:pStyle w:val="ListParagraph"/>
        <w:tabs>
          <w:tab w:val="left" w:pos="5460"/>
        </w:tabs>
        <w:rPr>
          <w:highlight w:val="yellow"/>
          <w:lang w:val="en-US"/>
        </w:rPr>
      </w:pPr>
    </w:p>
    <w:p w14:paraId="29672BF5" w14:textId="77777777" w:rsidR="006A0E71" w:rsidRPr="006A0E71" w:rsidRDefault="006A0E71" w:rsidP="006A0E71">
      <w:pPr>
        <w:pStyle w:val="ListParagraph"/>
        <w:tabs>
          <w:tab w:val="left" w:pos="5460"/>
        </w:tabs>
        <w:rPr>
          <w:highlight w:val="yellow"/>
          <w:lang w:val="en-US"/>
        </w:rPr>
      </w:pPr>
      <w:r w:rsidRPr="006A0E71">
        <w:rPr>
          <w:highlight w:val="yellow"/>
          <w:lang w:val="en-US"/>
        </w:rPr>
        <w:t>Inputs: RST pin (logic high or low)</w:t>
      </w:r>
    </w:p>
    <w:p w14:paraId="55C8EDE4" w14:textId="760E18D6" w:rsidR="006A0E71" w:rsidRDefault="006A0E71" w:rsidP="006A0E71">
      <w:pPr>
        <w:pStyle w:val="ListParagraph"/>
        <w:tabs>
          <w:tab w:val="left" w:pos="5460"/>
        </w:tabs>
        <w:rPr>
          <w:lang w:val="en-US"/>
        </w:rPr>
      </w:pPr>
      <w:r w:rsidRPr="006A0E71">
        <w:rPr>
          <w:highlight w:val="yellow"/>
          <w:lang w:val="en-US"/>
        </w:rPr>
        <w:t>Outputs: None</w:t>
      </w:r>
    </w:p>
    <w:p w14:paraId="7860F8F3" w14:textId="005D6716" w:rsidR="00D73F6A" w:rsidRPr="006A0E71" w:rsidRDefault="006A0E71" w:rsidP="00D73F6A">
      <w:pPr>
        <w:tabs>
          <w:tab w:val="left" w:pos="5460"/>
        </w:tabs>
        <w:rPr>
          <w:color w:val="FF0000"/>
          <w:lang w:val="en-US"/>
        </w:rPr>
      </w:pPr>
      <w:r w:rsidRPr="006A0E71">
        <w:rPr>
          <w:color w:val="FF0000"/>
          <w:lang w:val="en-US"/>
        </w:rPr>
        <w:t xml:space="preserve"> </w:t>
      </w:r>
      <w:r>
        <w:rPr>
          <w:color w:val="FF0000"/>
          <w:lang w:val="en-US"/>
        </w:rPr>
        <w:t xml:space="preserve">            </w:t>
      </w:r>
    </w:p>
    <w:p w14:paraId="6B5E49E3" w14:textId="5C4A93EF" w:rsidR="00D73F6A" w:rsidRDefault="00D73F6A" w:rsidP="00D73F6A">
      <w:pPr>
        <w:pStyle w:val="ListParagraph"/>
        <w:numPr>
          <w:ilvl w:val="0"/>
          <w:numId w:val="1"/>
        </w:numPr>
        <w:tabs>
          <w:tab w:val="left" w:pos="5460"/>
        </w:tabs>
        <w:rPr>
          <w:lang w:val="en-US"/>
        </w:rPr>
      </w:pPr>
      <w:r w:rsidRPr="00D73F6A">
        <w:rPr>
          <w:lang w:val="en-US"/>
        </w:rPr>
        <w:t>The AMUTEI input is used to mute the audio output of the PCM1789.</w:t>
      </w:r>
    </w:p>
    <w:p w14:paraId="341A1BA1" w14:textId="293E6138" w:rsidR="002F31AC" w:rsidRDefault="002F31AC" w:rsidP="002F31AC">
      <w:pPr>
        <w:pStyle w:val="ListParagraph"/>
        <w:numPr>
          <w:ilvl w:val="0"/>
          <w:numId w:val="2"/>
        </w:numPr>
        <w:tabs>
          <w:tab w:val="left" w:pos="5460"/>
        </w:tabs>
        <w:rPr>
          <w:lang w:val="en-US"/>
        </w:rPr>
      </w:pPr>
      <w:r w:rsidRPr="002F31AC">
        <w:rPr>
          <w:lang w:val="en-US"/>
        </w:rPr>
        <w:t>This input enables or disables the automatic mute function on the input channels.</w:t>
      </w:r>
    </w:p>
    <w:p w14:paraId="73B369BE" w14:textId="590ED641" w:rsidR="00D73F6A" w:rsidRPr="00D73F6A" w:rsidRDefault="006A0E71" w:rsidP="00D73F6A">
      <w:pPr>
        <w:tabs>
          <w:tab w:val="left" w:pos="5460"/>
        </w:tabs>
        <w:rPr>
          <w:lang w:val="en-US"/>
        </w:rPr>
      </w:pPr>
      <w:r>
        <w:rPr>
          <w:lang w:val="en-US"/>
        </w:rPr>
        <w:t xml:space="preserve">                   </w:t>
      </w:r>
    </w:p>
    <w:p w14:paraId="4B618FAB" w14:textId="6AD7D172" w:rsidR="00D73F6A" w:rsidRDefault="00D73F6A" w:rsidP="00D73F6A">
      <w:pPr>
        <w:pStyle w:val="ListParagraph"/>
        <w:numPr>
          <w:ilvl w:val="0"/>
          <w:numId w:val="1"/>
        </w:numPr>
        <w:tabs>
          <w:tab w:val="left" w:pos="5460"/>
        </w:tabs>
        <w:rPr>
          <w:lang w:val="en-US"/>
        </w:rPr>
      </w:pPr>
      <w:r w:rsidRPr="00D73F6A">
        <w:rPr>
          <w:lang w:val="en-US"/>
        </w:rPr>
        <w:t>The ZERO1 and ZERO2/AMUTEO inputs are used for zero-crossing detection and for controlling the output stage of the PCM1789.</w:t>
      </w:r>
    </w:p>
    <w:p w14:paraId="748B02B0" w14:textId="345C5479" w:rsidR="002F31AC" w:rsidRDefault="003D5DCA" w:rsidP="002F31AC">
      <w:pPr>
        <w:pStyle w:val="ListParagraph"/>
        <w:numPr>
          <w:ilvl w:val="0"/>
          <w:numId w:val="2"/>
        </w:numPr>
        <w:tabs>
          <w:tab w:val="left" w:pos="5460"/>
        </w:tabs>
        <w:rPr>
          <w:lang w:val="en-US"/>
        </w:rPr>
      </w:pPr>
      <w:r w:rsidRPr="003D5DCA">
        <w:rPr>
          <w:lang w:val="en-US"/>
        </w:rPr>
        <w:t>These inputs and output are used to control the output signal level and enable or disable the automatic mute function on the output channels.</w:t>
      </w:r>
    </w:p>
    <w:p w14:paraId="34A28DA5" w14:textId="77777777" w:rsidR="006A0E71" w:rsidRPr="006A0E71" w:rsidRDefault="006A0E71" w:rsidP="006A0E71">
      <w:pPr>
        <w:pStyle w:val="ListParagraph"/>
        <w:tabs>
          <w:tab w:val="left" w:pos="5460"/>
        </w:tabs>
        <w:ind w:left="1440"/>
        <w:rPr>
          <w:highlight w:val="yellow"/>
          <w:lang w:val="en-US"/>
        </w:rPr>
      </w:pPr>
      <w:r w:rsidRPr="006A0E71">
        <w:rPr>
          <w:highlight w:val="yellow"/>
          <w:lang w:val="en-US"/>
        </w:rPr>
        <w:t>Inputs: AMUTEI pin (audio mute input), ZERO1 pin (zero detect input), ZERO2/AMUTEO pin (audio mute output)</w:t>
      </w:r>
    </w:p>
    <w:p w14:paraId="5B20D432" w14:textId="77777777" w:rsidR="006A0E71" w:rsidRPr="00D73F6A" w:rsidRDefault="006A0E71" w:rsidP="006A0E71">
      <w:pPr>
        <w:pStyle w:val="ListParagraph"/>
        <w:tabs>
          <w:tab w:val="left" w:pos="5460"/>
        </w:tabs>
        <w:ind w:left="1440"/>
        <w:rPr>
          <w:lang w:val="en-US"/>
        </w:rPr>
      </w:pPr>
      <w:r w:rsidRPr="006A0E71">
        <w:rPr>
          <w:highlight w:val="yellow"/>
          <w:lang w:val="en-US"/>
        </w:rPr>
        <w:t>Outputs: None</w:t>
      </w:r>
    </w:p>
    <w:p w14:paraId="55216F29" w14:textId="1C9FAC52" w:rsidR="006A0E71" w:rsidRPr="00D73F6A" w:rsidRDefault="006A0E71" w:rsidP="006A0E71">
      <w:pPr>
        <w:pStyle w:val="ListParagraph"/>
        <w:tabs>
          <w:tab w:val="left" w:pos="5460"/>
        </w:tabs>
        <w:ind w:left="1440"/>
        <w:rPr>
          <w:lang w:val="en-US"/>
        </w:rPr>
      </w:pPr>
    </w:p>
    <w:sectPr w:rsidR="006A0E71" w:rsidRPr="00D73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05C93"/>
    <w:multiLevelType w:val="hybridMultilevel"/>
    <w:tmpl w:val="85081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CA4040F"/>
    <w:multiLevelType w:val="hybridMultilevel"/>
    <w:tmpl w:val="73562768"/>
    <w:lvl w:ilvl="0" w:tplc="68F295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872140">
    <w:abstractNumId w:val="1"/>
  </w:num>
  <w:num w:numId="2" w16cid:durableId="18312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BB"/>
    <w:rsid w:val="000640AE"/>
    <w:rsid w:val="002C3180"/>
    <w:rsid w:val="002C40E5"/>
    <w:rsid w:val="002F31AC"/>
    <w:rsid w:val="00390C44"/>
    <w:rsid w:val="003D5DCA"/>
    <w:rsid w:val="00461C17"/>
    <w:rsid w:val="0049669D"/>
    <w:rsid w:val="00500CC3"/>
    <w:rsid w:val="006870F2"/>
    <w:rsid w:val="006A0E71"/>
    <w:rsid w:val="007A46CC"/>
    <w:rsid w:val="00813EF6"/>
    <w:rsid w:val="008E0F9D"/>
    <w:rsid w:val="00901C6D"/>
    <w:rsid w:val="009614BC"/>
    <w:rsid w:val="009A4E62"/>
    <w:rsid w:val="00A009BF"/>
    <w:rsid w:val="00A4444F"/>
    <w:rsid w:val="00AC2DCA"/>
    <w:rsid w:val="00B06E45"/>
    <w:rsid w:val="00B548BB"/>
    <w:rsid w:val="00D515C0"/>
    <w:rsid w:val="00D73F6A"/>
    <w:rsid w:val="00D94A87"/>
    <w:rsid w:val="00EF49F7"/>
    <w:rsid w:val="00FB0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2E58"/>
  <w15:chartTrackingRefBased/>
  <w15:docId w15:val="{7E662106-10CA-4D74-90C4-5F813DAF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54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BB"/>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D7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5476">
      <w:bodyDiv w:val="1"/>
      <w:marLeft w:val="0"/>
      <w:marRight w:val="0"/>
      <w:marTop w:val="0"/>
      <w:marBottom w:val="0"/>
      <w:divBdr>
        <w:top w:val="none" w:sz="0" w:space="0" w:color="auto"/>
        <w:left w:val="none" w:sz="0" w:space="0" w:color="auto"/>
        <w:bottom w:val="none" w:sz="0" w:space="0" w:color="auto"/>
        <w:right w:val="none" w:sz="0" w:space="0" w:color="auto"/>
      </w:divBdr>
    </w:div>
    <w:div w:id="473765016">
      <w:bodyDiv w:val="1"/>
      <w:marLeft w:val="0"/>
      <w:marRight w:val="0"/>
      <w:marTop w:val="0"/>
      <w:marBottom w:val="0"/>
      <w:divBdr>
        <w:top w:val="none" w:sz="0" w:space="0" w:color="auto"/>
        <w:left w:val="none" w:sz="0" w:space="0" w:color="auto"/>
        <w:bottom w:val="none" w:sz="0" w:space="0" w:color="auto"/>
        <w:right w:val="none" w:sz="0" w:space="0" w:color="auto"/>
      </w:divBdr>
    </w:div>
    <w:div w:id="632178440">
      <w:bodyDiv w:val="1"/>
      <w:marLeft w:val="0"/>
      <w:marRight w:val="0"/>
      <w:marTop w:val="0"/>
      <w:marBottom w:val="0"/>
      <w:divBdr>
        <w:top w:val="none" w:sz="0" w:space="0" w:color="auto"/>
        <w:left w:val="none" w:sz="0" w:space="0" w:color="auto"/>
        <w:bottom w:val="none" w:sz="0" w:space="0" w:color="auto"/>
        <w:right w:val="none" w:sz="0" w:space="0" w:color="auto"/>
      </w:divBdr>
    </w:div>
    <w:div w:id="953365333">
      <w:bodyDiv w:val="1"/>
      <w:marLeft w:val="0"/>
      <w:marRight w:val="0"/>
      <w:marTop w:val="0"/>
      <w:marBottom w:val="0"/>
      <w:divBdr>
        <w:top w:val="none" w:sz="0" w:space="0" w:color="auto"/>
        <w:left w:val="none" w:sz="0" w:space="0" w:color="auto"/>
        <w:bottom w:val="none" w:sz="0" w:space="0" w:color="auto"/>
        <w:right w:val="none" w:sz="0" w:space="0" w:color="auto"/>
      </w:divBdr>
    </w:div>
    <w:div w:id="1342202806">
      <w:bodyDiv w:val="1"/>
      <w:marLeft w:val="0"/>
      <w:marRight w:val="0"/>
      <w:marTop w:val="0"/>
      <w:marBottom w:val="0"/>
      <w:divBdr>
        <w:top w:val="none" w:sz="0" w:space="0" w:color="auto"/>
        <w:left w:val="none" w:sz="0" w:space="0" w:color="auto"/>
        <w:bottom w:val="none" w:sz="0" w:space="0" w:color="auto"/>
        <w:right w:val="none" w:sz="0" w:space="0" w:color="auto"/>
      </w:divBdr>
    </w:div>
    <w:div w:id="1433168425">
      <w:bodyDiv w:val="1"/>
      <w:marLeft w:val="0"/>
      <w:marRight w:val="0"/>
      <w:marTop w:val="0"/>
      <w:marBottom w:val="0"/>
      <w:divBdr>
        <w:top w:val="none" w:sz="0" w:space="0" w:color="auto"/>
        <w:left w:val="none" w:sz="0" w:space="0" w:color="auto"/>
        <w:bottom w:val="none" w:sz="0" w:space="0" w:color="auto"/>
        <w:right w:val="none" w:sz="0" w:space="0" w:color="auto"/>
      </w:divBdr>
    </w:div>
    <w:div w:id="1674722769">
      <w:bodyDiv w:val="1"/>
      <w:marLeft w:val="0"/>
      <w:marRight w:val="0"/>
      <w:marTop w:val="0"/>
      <w:marBottom w:val="0"/>
      <w:divBdr>
        <w:top w:val="none" w:sz="0" w:space="0" w:color="auto"/>
        <w:left w:val="none" w:sz="0" w:space="0" w:color="auto"/>
        <w:bottom w:val="none" w:sz="0" w:space="0" w:color="auto"/>
        <w:right w:val="none" w:sz="0" w:space="0" w:color="auto"/>
      </w:divBdr>
    </w:div>
    <w:div w:id="1708020429">
      <w:bodyDiv w:val="1"/>
      <w:marLeft w:val="0"/>
      <w:marRight w:val="0"/>
      <w:marTop w:val="0"/>
      <w:marBottom w:val="0"/>
      <w:divBdr>
        <w:top w:val="none" w:sz="0" w:space="0" w:color="auto"/>
        <w:left w:val="none" w:sz="0" w:space="0" w:color="auto"/>
        <w:bottom w:val="none" w:sz="0" w:space="0" w:color="auto"/>
        <w:right w:val="none" w:sz="0" w:space="0" w:color="auto"/>
      </w:divBdr>
    </w:div>
    <w:div w:id="1839732577">
      <w:bodyDiv w:val="1"/>
      <w:marLeft w:val="0"/>
      <w:marRight w:val="0"/>
      <w:marTop w:val="0"/>
      <w:marBottom w:val="0"/>
      <w:divBdr>
        <w:top w:val="none" w:sz="0" w:space="0" w:color="auto"/>
        <w:left w:val="none" w:sz="0" w:space="0" w:color="auto"/>
        <w:bottom w:val="none" w:sz="0" w:space="0" w:color="auto"/>
        <w:right w:val="none" w:sz="0" w:space="0" w:color="auto"/>
      </w:divBdr>
    </w:div>
    <w:div w:id="201989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605d510-ea22-4a19-9636-83991cd40530">
      <Terms xmlns="http://schemas.microsoft.com/office/infopath/2007/PartnerControls"/>
    </lcf76f155ced4ddcb4097134ff3c332f>
    <TaxCatchAll xmlns="93d10ab3-c374-42b2-b04c-92aeca1ade1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10" ma:contentTypeDescription="Een nieuw document maken." ma:contentTypeScope="" ma:versionID="37f27605013f9aeb19fae66bf526d4b9">
  <xsd:schema xmlns:xsd="http://www.w3.org/2001/XMLSchema" xmlns:xs="http://www.w3.org/2001/XMLSchema" xmlns:p="http://schemas.microsoft.com/office/2006/metadata/properties" xmlns:ns2="a605d510-ea22-4a19-9636-83991cd40530" xmlns:ns3="93d10ab3-c374-42b2-b04c-92aeca1ade14" targetNamespace="http://schemas.microsoft.com/office/2006/metadata/properties" ma:root="true" ma:fieldsID="a2f745d72cb9bf7f1eee24dfc325d2f0" ns2:_="" ns3:_="">
    <xsd:import namespace="a605d510-ea22-4a19-9636-83991cd40530"/>
    <xsd:import namespace="93d10ab3-c374-42b2-b04c-92aeca1ade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d10ab3-c374-42b2-b04c-92aeca1ade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1f60f89-300f-4038-9857-7549ee94da49}" ma:internalName="TaxCatchAll" ma:showField="CatchAllData" ma:web="93d10ab3-c374-42b2-b04c-92aeca1ade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371981-7FAE-435D-9292-E6B74861C822}">
  <ds:schemaRefs>
    <ds:schemaRef ds:uri="http://schemas.microsoft.com/office/2006/metadata/properties"/>
    <ds:schemaRef ds:uri="http://schemas.microsoft.com/office/infopath/2007/PartnerControls"/>
    <ds:schemaRef ds:uri="a605d510-ea22-4a19-9636-83991cd40530"/>
    <ds:schemaRef ds:uri="93d10ab3-c374-42b2-b04c-92aeca1ade14"/>
  </ds:schemaRefs>
</ds:datastoreItem>
</file>

<file path=customXml/itemProps2.xml><?xml version="1.0" encoding="utf-8"?>
<ds:datastoreItem xmlns:ds="http://schemas.openxmlformats.org/officeDocument/2006/customXml" ds:itemID="{509C9681-5621-49C6-9F94-2B349478C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510-ea22-4a19-9636-83991cd40530"/>
    <ds:schemaRef ds:uri="93d10ab3-c374-42b2-b04c-92aeca1ade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2F23C3-69F2-4834-851A-ECC8D603AE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2981</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Bahaeldin Bakhit Abdelrahim,Ahmed A.</dc:creator>
  <cp:keywords/>
  <dc:description/>
  <cp:lastModifiedBy>Robin van den Dungen</cp:lastModifiedBy>
  <cp:revision>19</cp:revision>
  <dcterms:created xsi:type="dcterms:W3CDTF">2023-03-20T17:41:00Z</dcterms:created>
  <dcterms:modified xsi:type="dcterms:W3CDTF">2023-03-20T20:47:00Z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y fmtid="{D5CDD505-2E9C-101B-9397-08002B2CF9AE}" pid="3" name="MediaServiceImageTags">
    <vt:lpwstr/>
  </property>
</Properties>
</file>