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8b0567d14c8590f38ef352feda22bcd8704988"/>
    <w:p>
      <w:pPr>
        <w:pStyle w:val="Heading1"/>
      </w:pPr>
      <w:r>
        <w:t xml:space="preserve">Clasificación Automática de Calidad de Frutas mediante Visión por Computadora: un Estudio Comparativo entre Modelos Tradicionales y una Red Convolucional</w:t>
      </w:r>
    </w:p>
    <w:p>
      <w:pPr>
        <w:pStyle w:val="FirstParagraph"/>
      </w:pPr>
      <w:r>
        <w:rPr>
          <w:b/>
          <w:bCs/>
        </w:rPr>
        <w:t xml:space="preserve">Autores:</w:t>
      </w:r>
      <w:r>
        <w:t xml:space="preserve"> </w:t>
      </w:r>
      <w:r>
        <w:rPr>
          <w:i/>
          <w:iCs/>
        </w:rPr>
        <w:t xml:space="preserve">(Nombres del equipo)</w:t>
      </w:r>
      <w:r>
        <w:t xml:space="preserve"> </w:t>
      </w:r>
      <w:r>
        <w:t xml:space="preserve">· Ingeniería de Sistemas, Universidad ICESI, Cali, Colombia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Algoritmos y Programación III — 2026-1</w:t>
      </w:r>
    </w:p>
    <w:p>
      <w:r>
        <w:pict>
          <v:rect style="width:0;height:1.5pt" o:hralign="center" o:hrstd="t" o:hr="t"/>
        </w:pict>
      </w:r>
    </w:p>
    <w:bookmarkStart w:id="9" w:name="resumen-abstract"/>
    <w:p>
      <w:pPr>
        <w:pStyle w:val="Heading2"/>
      </w:pPr>
      <w:r>
        <w:t xml:space="preserve">Resumen (Abstract)</w:t>
      </w:r>
    </w:p>
    <w:p>
      <w:pPr>
        <w:pStyle w:val="FirstParagraph"/>
      </w:pPr>
      <w:r>
        <w:t xml:space="preserve">La clasificación manual de la calidad de frutas es lenta, subjetiva y propensa a</w:t>
      </w:r>
      <w:r>
        <w:t xml:space="preserve"> </w:t>
      </w:r>
      <w:r>
        <w:t xml:space="preserve">errores, generando pérdidas económicas y desperdicio de alimentos. Este trabajo</w:t>
      </w:r>
      <w:r>
        <w:t xml:space="preserve"> </w:t>
      </w:r>
      <w:r>
        <w:t xml:space="preserve">presenta un sistema de visión por computadora que clasifica la calidad de una</w:t>
      </w:r>
      <w:r>
        <w:t xml:space="preserve"> </w:t>
      </w:r>
      <w:r>
        <w:t xml:space="preserve">fruta individual en tres categorías (mala, regular, buena) y estima su tamaño</w:t>
      </w:r>
      <w:r>
        <w:t xml:space="preserve"> </w:t>
      </w:r>
      <w:r>
        <w:t xml:space="preserve">relativo. Sobre un conjunto de 9.515 imágenes (6 frutas × 3 niveles de calidad),</w:t>
      </w:r>
      <w:r>
        <w:t xml:space="preserve"> </w:t>
      </w:r>
      <w:r>
        <w:t xml:space="preserve">se siguió la metodología CRISP-DM y se compararon dos modelos de aprendizaje</w:t>
      </w:r>
      <w:r>
        <w:t xml:space="preserve"> </w:t>
      </w:r>
      <w:r>
        <w:t xml:space="preserve">tradicional (Random Forest y SVM con kernel RBF) sobre características de color</w:t>
      </w:r>
      <w:r>
        <w:t xml:space="preserve"> </w:t>
      </w:r>
      <w:r>
        <w:t xml:space="preserve">(HSV) y forma (HOG), y una red neuronal convolucional (CNN) pequeña entrenada</w:t>
      </w:r>
      <w:r>
        <w:t xml:space="preserve"> </w:t>
      </w:r>
      <w:r>
        <w:t xml:space="preserve">desde cero, frente a una línea base. El mejor modelo, SVM-RBF, alcanzó un</w:t>
      </w:r>
      <w:r>
        <w:t xml:space="preserve"> </w:t>
      </w:r>
      <w:r>
        <w:rPr>
          <w:b/>
          <w:bCs/>
        </w:rPr>
        <w:t xml:space="preserve">Macro-F1 de 0,957</w:t>
      </w:r>
      <w:r>
        <w:t xml:space="preserve"> </w:t>
      </w:r>
      <w:r>
        <w:t xml:space="preserve">en prueba. Se detectó y cuantificó una posible fuga de datos</w:t>
      </w:r>
      <w:r>
        <w:t xml:space="preserve"> </w:t>
      </w:r>
      <w:r>
        <w:t xml:space="preserve">por casi-duplicados (fotos en ráfaga) mediante</w:t>
      </w:r>
      <w:r>
        <w:t xml:space="preserve"> </w:t>
      </w:r>
      <w:r>
        <w:rPr>
          <w:i/>
          <w:iCs/>
        </w:rPr>
        <w:t xml:space="preserve">hashing</w:t>
      </w:r>
      <w:r>
        <w:t xml:space="preserve"> </w:t>
      </w:r>
      <w:r>
        <w:t xml:space="preserve">perceptual; una</w:t>
      </w:r>
      <w:r>
        <w:t xml:space="preserve"> </w:t>
      </w:r>
      <w:r>
        <w:t xml:space="preserve">re-evaluación con partición consciente de grupos confirmó que el desempeño</w:t>
      </w:r>
      <w:r>
        <w:t xml:space="preserve"> </w:t>
      </w:r>
      <w:r>
        <w:rPr>
          <w:b/>
          <w:bCs/>
        </w:rPr>
        <w:t xml:space="preserve">no es</w:t>
      </w:r>
      <w:r>
        <w:rPr>
          <w:b/>
          <w:bCs/>
        </w:rPr>
        <w:t xml:space="preserve"> </w:t>
      </w:r>
      <w:r>
        <w:rPr>
          <w:b/>
          <w:bCs/>
        </w:rPr>
        <w:t xml:space="preserve">inflado</w:t>
      </w:r>
      <w:r>
        <w:t xml:space="preserve"> </w:t>
      </w:r>
      <w:r>
        <w:t xml:space="preserve">(incluso mejora levemente), evidenciando generalización real. El sistema</w:t>
      </w:r>
      <w:r>
        <w:t xml:space="preserve"> </w:t>
      </w:r>
      <w:r>
        <w:t xml:space="preserve">se desplegó en una interfaz Streamlit.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visión por computadora, clasificación de calidad, SVM, CNN,</w:t>
      </w:r>
      <w:r>
        <w:t xml:space="preserve"> </w:t>
      </w:r>
      <w:r>
        <w:t xml:space="preserve">HOG, CRISP-DM, fuga de datos.</w:t>
      </w:r>
    </w:p>
    <w:p>
      <w:r>
        <w:pict>
          <v:rect style="width:0;height:1.5pt" o:hralign="center" o:hrstd="t" o:hr="t"/>
        </w:pict>
      </w:r>
    </w:p>
    <w:bookmarkEnd w:id="9"/>
    <w:bookmarkStart w:id="10" w:name="i-introducción"/>
    <w:p>
      <w:pPr>
        <w:pStyle w:val="Heading2"/>
      </w:pPr>
      <w:r>
        <w:t xml:space="preserve">I. Introducción</w:t>
      </w:r>
    </w:p>
    <w:p>
      <w:pPr>
        <w:pStyle w:val="FirstParagraph"/>
      </w:pPr>
      <w:r>
        <w:t xml:space="preserve">En mercados, centrales de abasto y agroindustrias, la inspección de productos</w:t>
      </w:r>
      <w:r>
        <w:t xml:space="preserve"> </w:t>
      </w:r>
      <w:r>
        <w:t xml:space="preserve">frescos se realiza mayoritariamente de forma manual. Este proceso es</w:t>
      </w:r>
      <w:r>
        <w:t xml:space="preserve"> </w:t>
      </w:r>
      <w:r>
        <w:rPr>
          <w:b/>
          <w:bCs/>
        </w:rPr>
        <w:t xml:space="preserve">subjetivo</w:t>
      </w:r>
      <w:r>
        <w:t xml:space="preserve"> </w:t>
      </w:r>
      <w:r>
        <w:t xml:space="preserve">(criterios distintos entre operarios),</w:t>
      </w:r>
      <w:r>
        <w:t xml:space="preserve"> </w:t>
      </w:r>
      <w:r>
        <w:rPr>
          <w:b/>
          <w:bCs/>
        </w:rPr>
        <w:t xml:space="preserve">lento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costoso</w:t>
      </w:r>
      <w:r>
        <w:t xml:space="preserve">, y sus errores</w:t>
      </w:r>
      <w:r>
        <w:t xml:space="preserve"> </w:t>
      </w:r>
      <w:r>
        <w:t xml:space="preserve">provocan que producto bueno se descarte o que producto en mal estado llegue al</w:t>
      </w:r>
      <w:r>
        <w:t xml:space="preserve"> </w:t>
      </w:r>
      <w:r>
        <w:t xml:space="preserve">consumidor, con el consiguiente impacto económico y de desperdicio de alimentos.</w:t>
      </w:r>
    </w:p>
    <w:p>
      <w:pPr>
        <w:pStyle w:val="BodyText"/>
      </w:pPr>
      <w:r>
        <w:t xml:space="preserve">El objetivo de este trabajo es</w:t>
      </w:r>
      <w:r>
        <w:t xml:space="preserve"> </w:t>
      </w:r>
      <w:r>
        <w:rPr>
          <w:b/>
          <w:bCs/>
        </w:rPr>
        <w:t xml:space="preserve">automatizar la clasificación de calidad</w:t>
      </w:r>
      <w:r>
        <w:t xml:space="preserve"> </w:t>
      </w:r>
      <w:r>
        <w:t xml:space="preserve">de una</w:t>
      </w:r>
      <w:r>
        <w:t xml:space="preserve"> </w:t>
      </w:r>
      <w:r>
        <w:t xml:space="preserve">fruta individual a partir de una fotografía sobre fondo simple, como apoyo a la</w:t>
      </w:r>
      <w:r>
        <w:t xml:space="preserve"> </w:t>
      </w:r>
      <w:r>
        <w:t xml:space="preserve">decisión humana. Las salidas son: (i) la</w:t>
      </w:r>
      <w:r>
        <w:t xml:space="preserve"> </w:t>
      </w:r>
      <w:r>
        <w:rPr>
          <w:b/>
          <w:bCs/>
        </w:rPr>
        <w:t xml:space="preserve">clase de calidad</w:t>
      </w:r>
      <w:r>
        <w:t xml:space="preserve"> </w:t>
      </w:r>
      <w:r>
        <w:t xml:space="preserve">∈ {Bad, Regular,</w:t>
      </w:r>
      <w:r>
        <w:t xml:space="preserve"> </w:t>
      </w:r>
      <w:r>
        <w:t xml:space="preserve">Good} y (ii) una</w:t>
      </w:r>
      <w:r>
        <w:t xml:space="preserve"> </w:t>
      </w:r>
      <w:r>
        <w:rPr>
          <w:b/>
          <w:bCs/>
        </w:rPr>
        <w:t xml:space="preserve">estimación de tamaño</w:t>
      </w:r>
      <w:r>
        <w:t xml:space="preserve"> </w:t>
      </w:r>
      <w:r>
        <w:t xml:space="preserve">(pequeño/mediano/grande). La</w:t>
      </w:r>
      <w:r>
        <w:t xml:space="preserve"> </w:t>
      </w:r>
      <w:r>
        <w:t xml:space="preserve">justificación es doble: reducir pérdidas económicas y estandarizar un criterio hoy</w:t>
      </w:r>
      <w:r>
        <w:t xml:space="preserve"> </w:t>
      </w:r>
      <w:r>
        <w:t xml:space="preserve">inconsistente, con bajo requerimiento de hardware para favorecer su adopción.</w:t>
      </w:r>
    </w:p>
    <w:p>
      <w:pPr>
        <w:pStyle w:val="BodyText"/>
      </w:pPr>
      <w:r>
        <w:t xml:space="preserve">La contribución principal no es solo el clasificador, sino una</w:t>
      </w:r>
      <w:r>
        <w:t xml:space="preserve"> </w:t>
      </w:r>
      <w:r>
        <w:rPr>
          <w:b/>
          <w:bCs/>
        </w:rPr>
        <w:t xml:space="preserve">evaluación</w:t>
      </w:r>
      <w:r>
        <w:rPr>
          <w:b/>
          <w:bCs/>
        </w:rPr>
        <w:t xml:space="preserve"> </w:t>
      </w:r>
      <w:r>
        <w:rPr>
          <w:b/>
          <w:bCs/>
        </w:rPr>
        <w:t xml:space="preserve">metodológicamente honesta</w:t>
      </w:r>
      <w:r>
        <w:t xml:space="preserve">: se identifica un sesgo de procedencia en los datos y</w:t>
      </w:r>
      <w:r>
        <w:t xml:space="preserve"> </w:t>
      </w:r>
      <w:r>
        <w:t xml:space="preserve">una posible fuga por casi-duplicados, y se verifica empíricamente que el alto</w:t>
      </w:r>
      <w:r>
        <w:t xml:space="preserve"> </w:t>
      </w:r>
      <w:r>
        <w:t xml:space="preserve">desempeño obtenido refleja generalización real.</w:t>
      </w:r>
    </w:p>
    <w:p>
      <w:r>
        <w:pict>
          <v:rect style="width:0;height:1.5pt" o:hralign="center" o:hrstd="t" o:hr="t"/>
        </w:pict>
      </w:r>
    </w:p>
    <w:bookmarkEnd w:id="10"/>
    <w:bookmarkStart w:id="11" w:name="ii-fundamentos-teóricos"/>
    <w:p>
      <w:pPr>
        <w:pStyle w:val="Heading2"/>
      </w:pPr>
      <w:r>
        <w:t xml:space="preserve">II. Fundamentos Teóricos</w:t>
      </w:r>
    </w:p>
    <w:p>
      <w:pPr>
        <w:pStyle w:val="FirstParagraph"/>
      </w:pPr>
      <w:r>
        <w:rPr>
          <w:b/>
          <w:bCs/>
        </w:rPr>
        <w:t xml:space="preserve">Características de imagen.</w:t>
      </w:r>
      <w:r>
        <w:t xml:space="preserve"> </w:t>
      </w:r>
      <w:r>
        <w:t xml:space="preserve">El espacio</w:t>
      </w:r>
      <w:r>
        <w:t xml:space="preserve"> </w:t>
      </w:r>
      <w:r>
        <w:rPr>
          <w:b/>
          <w:bCs/>
        </w:rPr>
        <w:t xml:space="preserve">HSV</w:t>
      </w:r>
      <w:r>
        <w:t xml:space="preserve"> </w:t>
      </w:r>
      <w:r>
        <w:t xml:space="preserve">separa el matiz (color/madurez) de</w:t>
      </w:r>
      <w:r>
        <w:t xml:space="preserve"> </w:t>
      </w:r>
      <w:r>
        <w:t xml:space="preserve">la iluminación, siendo más robusto que RGB para juzgar calidad [Ref. visión]. El</w:t>
      </w:r>
      <w:r>
        <w:t xml:space="preserve"> </w:t>
      </w:r>
      <w:r>
        <w:t xml:space="preserve">descriptor</w:t>
      </w:r>
      <w:r>
        <w:t xml:space="preserve"> </w:t>
      </w:r>
      <w:r>
        <w:rPr>
          <w:b/>
          <w:bCs/>
        </w:rPr>
        <w:t xml:space="preserve">HOG</w:t>
      </w:r>
      <w:r>
        <w:t xml:space="preserve"> </w:t>
      </w:r>
      <w:r>
        <w:t xml:space="preserve">(Histogram of Oriented Gradients) [Dalal2005] resume la forma y</w:t>
      </w:r>
      <w:r>
        <w:t xml:space="preserve"> </w:t>
      </w:r>
      <w:r>
        <w:t xml:space="preserve">los bordes locales mediante histogramas de gradientes orientados, útil para</w:t>
      </w:r>
      <w:r>
        <w:t xml:space="preserve"> </w:t>
      </w:r>
      <w:r>
        <w:t xml:space="preserve">detectar defectos y deformaciones.</w:t>
      </w:r>
    </w:p>
    <w:p>
      <w:pPr>
        <w:pStyle w:val="BodyText"/>
      </w:pPr>
      <w:r>
        <w:rPr>
          <w:b/>
          <w:bCs/>
        </w:rPr>
        <w:t xml:space="preserve">Modelos.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máquina de soporte vectorial (SVM)</w:t>
      </w:r>
      <w:r>
        <w:t xml:space="preserve"> </w:t>
      </w:r>
      <w:r>
        <w:t xml:space="preserve">[Cortes1995] busca el</w:t>
      </w:r>
      <w:r>
        <w:t xml:space="preserve"> </w:t>
      </w:r>
      <w:r>
        <w:t xml:space="preserve">hiperplano de máximo margen; con kernel RBF, K(x,x′)=exp(−γ‖x−x′‖²), separa clases</w:t>
      </w:r>
      <w:r>
        <w:t xml:space="preserve"> </w:t>
      </w:r>
      <w:r>
        <w:t xml:space="preserve">no linealmente. El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[Breiman2001] promedia árboles de decisión</w:t>
      </w:r>
      <w:r>
        <w:t xml:space="preserve"> </w:t>
      </w:r>
      <w:r>
        <w:t xml:space="preserve">entrenados sobre subconjuntos, reduciendo varianza. Las</w:t>
      </w:r>
      <w:r>
        <w:t xml:space="preserve"> </w:t>
      </w:r>
      <w:r>
        <w:rPr>
          <w:b/>
          <w:bCs/>
        </w:rPr>
        <w:t xml:space="preserve">CNN</w:t>
      </w:r>
      <w:r>
        <w:t xml:space="preserve"> </w:t>
      </w:r>
      <w:r>
        <w:t xml:space="preserve">[LeCun1998]</w:t>
      </w:r>
      <w:r>
        <w:t xml:space="preserve"> </w:t>
      </w:r>
      <w:r>
        <w:t xml:space="preserve">aprenden jerarquías de características directamente de los píxeles mediante</w:t>
      </w:r>
      <w:r>
        <w:t xml:space="preserve"> </w:t>
      </w:r>
      <w:r>
        <w:t xml:space="preserve">convoluciones y</w:t>
      </w:r>
      <w:r>
        <w:t xml:space="preserve"> </w:t>
      </w:r>
      <w:r>
        <w:rPr>
          <w:i/>
          <w:iCs/>
        </w:rPr>
        <w:t xml:space="preserve">pooling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Métricas.</w:t>
      </w:r>
      <w:r>
        <w:t xml:space="preserve"> </w:t>
      </w:r>
      <w:r>
        <w:t xml:space="preserve">Ante desbalanceo, la</w:t>
      </w:r>
      <w:r>
        <w:t xml:space="preserve"> </w:t>
      </w:r>
      <w:r>
        <w:rPr>
          <w:i/>
          <w:iCs/>
        </w:rPr>
        <w:t xml:space="preserve">accuracy</w:t>
      </w:r>
      <w:r>
        <w:t xml:space="preserve"> </w:t>
      </w:r>
      <w:r>
        <w:t xml:space="preserve">es engañosa; se usa el</w:t>
      </w:r>
      <w:r>
        <w:t xml:space="preserve"> </w:t>
      </w:r>
      <w:r>
        <w:rPr>
          <w:b/>
          <w:bCs/>
        </w:rPr>
        <w:t xml:space="preserve">Macro-F1</w:t>
      </w:r>
      <w:r>
        <w:t xml:space="preserve">,</w:t>
      </w:r>
      <w:r>
        <w:t xml:space="preserve"> </w:t>
      </w:r>
      <w:r>
        <w:t xml:space="preserve">promedio no ponderado del F1 por clase, que penaliza ignorar las minoritarias.</w:t>
      </w:r>
    </w:p>
    <w:p>
      <w:pPr>
        <w:pStyle w:val="BodyText"/>
      </w:pPr>
      <w:r>
        <w:rPr>
          <w:b/>
          <w:bCs/>
        </w:rPr>
        <w:t xml:space="preserve">Segmentación.</w:t>
      </w:r>
      <w:r>
        <w:t xml:space="preserve"> </w:t>
      </w:r>
      <w:r>
        <w:t xml:space="preserve">El método de</w:t>
      </w:r>
      <w:r>
        <w:t xml:space="preserve"> </w:t>
      </w:r>
      <w:r>
        <w:rPr>
          <w:b/>
          <w:bCs/>
        </w:rPr>
        <w:t xml:space="preserve">Otsu</w:t>
      </w:r>
      <w:r>
        <w:t xml:space="preserve"> </w:t>
      </w:r>
      <w:r>
        <w:t xml:space="preserve">[Otsu1979] selecciona el umbral que</w:t>
      </w:r>
      <w:r>
        <w:t xml:space="preserve"> </w:t>
      </w:r>
      <w:r>
        <w:t xml:space="preserve">maximiza la varianza entre clases (fondo/objeto), adecuado para fondos uniformes.</w:t>
      </w:r>
    </w:p>
    <w:p>
      <w:r>
        <w:pict>
          <v:rect style="width:0;height:1.5pt" o:hralign="center" o:hrstd="t" o:hr="t"/>
        </w:pict>
      </w:r>
    </w:p>
    <w:bookmarkEnd w:id="11"/>
    <w:bookmarkStart w:id="12" w:name="iii-metodología-crisp-dm-aplicado"/>
    <w:p>
      <w:pPr>
        <w:pStyle w:val="Heading2"/>
      </w:pPr>
      <w:r>
        <w:t xml:space="preserve">III. Metodología (CRISP-DM aplicado)</w:t>
      </w:r>
    </w:p>
    <w:p>
      <w:pPr>
        <w:pStyle w:val="FirstParagraph"/>
      </w:pPr>
      <w:r>
        <w:t xml:space="preserve">Se siguieron las seis fases de CRISP-DM [Wirth2000], adaptadas al problema.</w:t>
      </w:r>
    </w:p>
    <w:p>
      <w:pPr>
        <w:pStyle w:val="BodyText"/>
      </w:pPr>
      <w:r>
        <w:rPr>
          <w:b/>
          <w:bCs/>
        </w:rPr>
        <w:t xml:space="preserve">1) Comprensión del negocio.</w:t>
      </w:r>
      <w:r>
        <w:t xml:space="preserve"> </w:t>
      </w:r>
      <w:r>
        <w:t xml:space="preserve">Se definieron las 3 clases de calidad y el tamaño</w:t>
      </w:r>
      <w:r>
        <w:t xml:space="preserve"> </w:t>
      </w:r>
      <w:r>
        <w:t xml:space="preserve">relativo como salidas, y el</w:t>
      </w:r>
      <w:r>
        <w:t xml:space="preserve"> </w:t>
      </w:r>
      <w:r>
        <w:rPr>
          <w:b/>
          <w:bCs/>
        </w:rPr>
        <w:t xml:space="preserve">Macro-F1</w:t>
      </w:r>
      <w:r>
        <w:t xml:space="preserve"> </w:t>
      </w:r>
      <w:r>
        <w:t xml:space="preserve">como métrica principal, vigilando el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por ser el error más costoso (clasificar mala como buena).</w:t>
      </w:r>
    </w:p>
    <w:p>
      <w:pPr>
        <w:pStyle w:val="BodyText"/>
      </w:pPr>
      <w:r>
        <w:rPr>
          <w:b/>
          <w:bCs/>
        </w:rPr>
        <w:t xml:space="preserve">2) Comprensión de los datos.</w:t>
      </w:r>
      <w:r>
        <w:t xml:space="preserve"> </w:t>
      </w:r>
      <w:r>
        <w:t xml:space="preserve">El conjunto tiene 9.515 imágenes (JPEG/PNG),</w:t>
      </w:r>
      <w:r>
        <w:t xml:space="preserve"> </w:t>
      </w:r>
      <w:r>
        <w:t xml:space="preserve">6 frutas (Apple, Banana, Guava, Lime, Orange, Pomegranate) × 3 calidades.</w:t>
      </w:r>
      <w:r>
        <w:t xml:space="preserve"> </w:t>
      </w:r>
      <w:r>
        <w:t xml:space="preserve">El análisis exploratorio reveló: desbalanceo moderado (Regular 4.612 vs Bad 2.244),</w:t>
      </w:r>
      <w:r>
        <w:t xml:space="preserve"> </w:t>
      </w:r>
      <w:r>
        <w:t xml:space="preserve">resoluciones muy heterogéneas (13 px–4.032 px), mezcla RGB/RGBA y un</w:t>
      </w:r>
      <w:r>
        <w:t xml:space="preserve"> </w:t>
      </w:r>
      <w:r>
        <w:rPr>
          <w:b/>
          <w:bCs/>
        </w:rPr>
        <w:t xml:space="preserve">sesgo de</w:t>
      </w:r>
      <w:r>
        <w:rPr>
          <w:b/>
          <w:bCs/>
        </w:rPr>
        <w:t xml:space="preserve"> </w:t>
      </w:r>
      <w:r>
        <w:rPr>
          <w:b/>
          <w:bCs/>
        </w:rPr>
        <w:t xml:space="preserve">procedencia</w:t>
      </w:r>
      <w:r>
        <w:t xml:space="preserve">: las imágenes diminutas y el canal alfa estaban correlacionados con</w:t>
      </w:r>
      <w:r>
        <w:t xml:space="preserve"> </w:t>
      </w:r>
      <w:r>
        <w:t xml:space="preserve">la clase (0 diminutas en</w:t>
      </w:r>
      <w:r>
        <w:t xml:space="preserve"> </w:t>
      </w:r>
      <w:r>
        <w:rPr>
          <w:rStyle w:val="VerbatimChar"/>
        </w:rPr>
        <w:t xml:space="preserve">Good</w:t>
      </w:r>
      <w:r>
        <w:t xml:space="preserve">; 100 % de las RGBA en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).</w:t>
      </w:r>
      <w:r>
        <w:t xml:space="preserve"> </w:t>
      </w:r>
      <w:r/>
    </w:p>
    <w:p>
      <w:pPr>
        <w:jc w:val="center"/>
      </w:pPr>
      <w:r>
        <w:drawing>
          <wp:inline>
            <wp:extent cx="3657600" cy="2625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2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1. Distribución de imágenes por clase de calidad.</w:t>
      </w:r>
    </w:p>
    <w:p>
      <w:pPr>
        <w:pStyle w:val="BodyText"/>
      </w:pPr>
      <w:r>
        <w:rPr>
          <w:b/>
          <w:bCs/>
        </w:rPr>
        <w:t xml:space="preserve">3) Preparación de los datos.</w:t>
      </w:r>
      <w:r>
        <w:t xml:space="preserve"> </w:t>
      </w:r>
      <w:r>
        <w:t xml:space="preserve">Se descartaron imágenes diminutas (&lt;64 px),</w:t>
      </w:r>
      <w:r>
        <w:t xml:space="preserve"> </w:t>
      </w:r>
      <w:r>
        <w:t xml:space="preserve">quedando</w:t>
      </w:r>
      <w:r>
        <w:t xml:space="preserve"> </w:t>
      </w:r>
      <w:r>
        <w:rPr>
          <w:b/>
          <w:bCs/>
        </w:rPr>
        <w:t xml:space="preserve">7.803</w:t>
      </w:r>
      <w:r>
        <w:t xml:space="preserve">; se aplanó RGBA→RGB (eliminando el atajo del canal alfa), se</w:t>
      </w:r>
      <w:r>
        <w:t xml:space="preserve"> </w:t>
      </w:r>
      <w:r>
        <w:t xml:space="preserve">redimensionó a 128×128 y se normalizó a [0,1]. Partición</w:t>
      </w:r>
      <w:r>
        <w:t xml:space="preserve"> </w:t>
      </w:r>
      <w:r>
        <w:rPr>
          <w:b/>
          <w:bCs/>
        </w:rPr>
        <w:t xml:space="preserve">70/15/15</w:t>
      </w:r>
      <w:r>
        <w:t xml:space="preserve"> </w:t>
      </w:r>
      <w:r>
        <w:t xml:space="preserve">estratificada</w:t>
      </w:r>
      <w:r>
        <w:t xml:space="preserve"> </w:t>
      </w:r>
      <w:r>
        <w:t xml:space="preserve">por fruta×calidad (train 5.461 / val 1.171 / test 1.171), determinista. El</w:t>
      </w:r>
      <w:r>
        <w:t xml:space="preserve"> </w:t>
      </w:r>
      <w:r>
        <w:t xml:space="preserve">desbalanceo se trató con</w:t>
      </w:r>
      <w:r>
        <w:t xml:space="preserve"> </w:t>
      </w:r>
      <w:r>
        <w:rPr>
          <w:b/>
          <w:bCs/>
        </w:rPr>
        <w:t xml:space="preserve">pesos de clase</w:t>
      </w:r>
      <w:r>
        <w:t xml:space="preserve"> </w:t>
      </w:r>
      <w:r>
        <w:t xml:space="preserve">(Bad 1,47; Good 0,98; Regular 0,77) y</w:t>
      </w:r>
      <w:r>
        <w:t xml:space="preserve"> </w:t>
      </w:r>
      <w:r>
        <w:rPr>
          <w:i/>
          <w:iCs/>
        </w:rPr>
        <w:t xml:space="preserve">augmentation</w:t>
      </w:r>
      <w:r>
        <w:t xml:space="preserve"> </w:t>
      </w:r>
      <w:r>
        <w:t xml:space="preserve">ligera. Para los modelos tradicionales se extrajeron</w:t>
      </w:r>
      <w:r>
        <w:t xml:space="preserve"> </w:t>
      </w:r>
      <w:r>
        <w:t xml:space="preserve">características: histograma</w:t>
      </w:r>
      <w:r>
        <w:t xml:space="preserve"> </w:t>
      </w:r>
      <w:r>
        <w:rPr>
          <w:b/>
          <w:bCs/>
        </w:rPr>
        <w:t xml:space="preserve">HSV</w:t>
      </w:r>
      <w:r>
        <w:t xml:space="preserve"> </w:t>
      </w:r>
      <w:r>
        <w:t xml:space="preserve">(96 dims) +</w:t>
      </w:r>
      <w:r>
        <w:t xml:space="preserve"> </w:t>
      </w:r>
      <w:r>
        <w:rPr>
          <w:b/>
          <w:bCs/>
        </w:rPr>
        <w:t xml:space="preserve">HOG</w:t>
      </w:r>
      <w:r>
        <w:t xml:space="preserve"> </w:t>
      </w:r>
      <w:r>
        <w:t xml:space="preserve">(1.764 dims) = 1.860 dims.</w:t>
      </w:r>
    </w:p>
    <w:p>
      <w:pPr>
        <w:pStyle w:val="BodyText"/>
      </w:pPr>
      <w:r>
        <w:rPr>
          <w:b/>
          <w:bCs/>
        </w:rPr>
        <w:t xml:space="preserve">4) Modelado.</w:t>
      </w:r>
      <w:r>
        <w:t xml:space="preserve"> </w:t>
      </w:r>
      <w:r>
        <w:t xml:space="preserve">Línea base (clase mayoritaria),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SVM-RBF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, CV=3, métrica f1_macro), y una</w:t>
      </w:r>
      <w:r>
        <w:t xml:space="preserve"> </w:t>
      </w:r>
      <w:r>
        <w:rPr>
          <w:b/>
          <w:bCs/>
        </w:rPr>
        <w:t xml:space="preserve">CNN pequeña desde cero</w:t>
      </w:r>
      <w:r>
        <w:t xml:space="preserve"> </w:t>
      </w:r>
      <w:r>
        <w:t xml:space="preserve">(3 bloques Conv-BN-ReLU-MaxPool de 32/64/128 filtros + cabeza densa; Adam,</w:t>
      </w:r>
      <w:r>
        <w:t xml:space="preserve"> </w:t>
      </w:r>
      <w:r>
        <w:t xml:space="preserve">EarlyStopping). </w:t>
      </w:r>
    </w:p>
    <w:p>
      <w:pPr>
        <w:jc w:val="center"/>
      </w:pPr>
      <w:r>
        <w:drawing>
          <wp:inline>
            <wp:extent cx="5760720" cy="1869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2. Curvas de entrenamiento de la CNN (pérdida y accuracy).</w:t>
      </w:r>
    </w:p>
    <w:p>
      <w:pPr>
        <w:pStyle w:val="BodyText"/>
      </w:pPr>
      <w:r>
        <w:rPr>
          <w:b/>
          <w:bCs/>
        </w:rPr>
        <w:t xml:space="preserve">5) Evaluación.</w:t>
      </w:r>
      <w:r>
        <w:t xml:space="preserve"> </w:t>
      </w:r>
      <w:r>
        <w:t xml:space="preserve">Métricas en test, matrices de confusión, análisis de errores e</w:t>
      </w:r>
      <w:r>
        <w:t xml:space="preserve"> </w:t>
      </w:r>
      <w:r>
        <w:t xml:space="preserve">investigación de fuga por casi-duplicados.</w:t>
      </w:r>
    </w:p>
    <w:p>
      <w:pPr>
        <w:pStyle w:val="BodyText"/>
      </w:pPr>
      <w:r>
        <w:rPr>
          <w:b/>
          <w:bCs/>
        </w:rPr>
        <w:t xml:space="preserve">6) Despliegue.</w:t>
      </w:r>
      <w:r>
        <w:t xml:space="preserve"> </w:t>
      </w:r>
      <w:r>
        <w:t xml:space="preserve">Interfaz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que carga/captura una imagen, predice la</w:t>
      </w:r>
      <w:r>
        <w:t xml:space="preserve"> </w:t>
      </w:r>
      <w:r>
        <w:t xml:space="preserve">calidad (SVM o CNN) y estima el tamaño por segmentación (Otsu) + terciles de área</w:t>
      </w:r>
      <w:r>
        <w:t xml:space="preserve"> </w:t>
      </w:r>
      <w:r>
        <w:t xml:space="preserve">por fruta. </w:t>
      </w:r>
    </w:p>
    <w:p>
      <w:pPr>
        <w:jc w:val="center"/>
      </w:pPr>
      <w:r>
        <w:drawing>
          <wp:inline>
            <wp:extent cx="3931920" cy="5737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737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3. Demostración del pipeline: segmentación, calidad y tamaño.</w:t>
      </w:r>
    </w:p>
    <w:p>
      <w:r>
        <w:pict>
          <v:rect style="width:0;height:1.5pt" o:hralign="center" o:hrstd="t" o:hr="t"/>
        </w:pict>
      </w:r>
    </w:p>
    <w:bookmarkEnd w:id="12"/>
    <w:bookmarkStart w:id="13" w:name="iv-resultados"/>
    <w:p>
      <w:pPr>
        <w:pStyle w:val="Heading2"/>
      </w:pPr>
      <w:r>
        <w:t xml:space="preserve">IV. Resultados</w:t>
      </w:r>
    </w:p>
    <w:p>
      <w:pPr>
        <w:pStyle w:val="FirstParagraph"/>
      </w:pPr>
      <w:r>
        <w:t xml:space="preserve">Los tres modelos superan ampliamente la línea base. La Tabla I resume el desempeño</w:t>
      </w:r>
      <w:r>
        <w:t xml:space="preserve"> </w:t>
      </w:r>
      <w:r>
        <w:t xml:space="preserve">en el conjunto de</w:t>
      </w:r>
      <w:r>
        <w:t xml:space="preserve"> </w:t>
      </w:r>
      <w:r>
        <w:rPr>
          <w:b/>
          <w:bCs/>
        </w:rPr>
        <w:t xml:space="preserve">prueba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TABLA I — Desempeño en prueba (test)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Balanced acc.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 Bad</w:t>
            </w:r>
          </w:p>
        </w:tc>
      </w:tr>
      <w:tr>
        <w:tc>
          <w:tcPr>
            <w:tcW w:type="dxa" w:w="2613"/>
          </w:tcPr>
          <w:p>
            <w:r/>
            <w:r>
              <w:t>Baseline (mayoría)</w:t>
            </w:r>
          </w:p>
        </w:tc>
        <w:tc>
          <w:tcPr>
            <w:tcW w:type="dxa" w:w="2613"/>
          </w:tcPr>
          <w:p>
            <w:r/>
            <w:r>
              <w:t>0,201</w:t>
            </w:r>
          </w:p>
        </w:tc>
        <w:tc>
          <w:tcPr>
            <w:tcW w:type="dxa" w:w="2613"/>
          </w:tcPr>
          <w:p>
            <w:r/>
            <w:r>
              <w:t>0,333</w:t>
            </w:r>
          </w:p>
        </w:tc>
        <w:tc>
          <w:tcPr>
            <w:tcW w:type="dxa" w:w="2613"/>
          </w:tcPr>
          <w:p>
            <w:r/>
            <w:r>
              <w:t>0,000</w:t>
            </w:r>
          </w:p>
        </w:tc>
      </w:tr>
      <w:tr>
        <w:tc>
          <w:tcPr>
            <w:tcW w:type="dxa" w:w="2613"/>
          </w:tcPr>
          <w:p>
            <w:r/>
            <w:r>
              <w:t>CNN (desde cero)</w:t>
            </w:r>
          </w:p>
        </w:tc>
        <w:tc>
          <w:tcPr>
            <w:tcW w:type="dxa" w:w="2613"/>
          </w:tcPr>
          <w:p>
            <w:r/>
            <w:r>
              <w:t>0,935</w:t>
            </w:r>
          </w:p>
        </w:tc>
        <w:tc>
          <w:tcPr>
            <w:tcW w:type="dxa" w:w="2613"/>
          </w:tcPr>
          <w:p>
            <w:r/>
            <w:r>
              <w:t>0,932</w:t>
            </w:r>
          </w:p>
        </w:tc>
        <w:tc>
          <w:tcPr>
            <w:tcW w:type="dxa" w:w="2613"/>
          </w:tcPr>
          <w:p>
            <w:r/>
            <w:r>
              <w:t>0,857</w:t>
            </w:r>
          </w:p>
        </w:tc>
      </w:tr>
      <w:tr>
        <w:tc>
          <w:tcPr>
            <w:tcW w:type="dxa" w:w="2613"/>
          </w:tcPr>
          <w:p>
            <w:r/>
            <w:r>
              <w:t>Random Forest</w:t>
            </w:r>
          </w:p>
        </w:tc>
        <w:tc>
          <w:tcPr>
            <w:tcW w:type="dxa" w:w="2613"/>
          </w:tcPr>
          <w:p>
            <w:r/>
            <w:r>
              <w:t>0,941</w:t>
            </w:r>
          </w:p>
        </w:tc>
        <w:tc>
          <w:tcPr>
            <w:tcW w:type="dxa" w:w="2613"/>
          </w:tcPr>
          <w:p>
            <w:r/>
            <w:r>
              <w:t>0,929</w:t>
            </w:r>
          </w:p>
        </w:tc>
        <w:tc>
          <w:tcPr>
            <w:tcW w:type="dxa" w:w="2613"/>
          </w:tcPr>
          <w:p>
            <w:r/>
            <w:r>
              <w:t>0,801</w:t>
            </w:r>
          </w:p>
        </w:tc>
      </w:tr>
      <w:tr>
        <w:tc>
          <w:tcPr>
            <w:tcW w:type="dxa" w:w="2613"/>
          </w:tcPr>
          <w:p>
            <w:r/>
            <w:r>
              <w:t>SVM (RBF)</w:t>
            </w:r>
          </w:p>
        </w:tc>
        <w:tc>
          <w:tcPr>
            <w:tcW w:type="dxa" w:w="2613"/>
          </w:tcPr>
          <w:p>
            <w:r/>
            <w:r>
              <w:t>0,957</w:t>
            </w:r>
          </w:p>
        </w:tc>
        <w:tc>
          <w:tcPr>
            <w:tcW w:type="dxa" w:w="2613"/>
          </w:tcPr>
          <w:p>
            <w:r/>
            <w:r>
              <w:t>0,954</w:t>
            </w:r>
          </w:p>
        </w:tc>
        <w:tc>
          <w:tcPr>
            <w:tcW w:type="dxa" w:w="2613"/>
          </w:tcPr>
          <w:p>
            <w:r/>
            <w:r>
              <w:t>0,902</w:t>
            </w:r>
          </w:p>
        </w:tc>
      </w:tr>
    </w:tbl>
    <w:p>
      <w:pPr>
        <w:pStyle w:val="BodyText"/>
      </w:pPr>
      <w:r>
        <w:t xml:space="preserve">Mejores hiperparámetros: SVM</w:t>
      </w:r>
      <w:r>
        <w:t xml:space="preserve"> </w:t>
      </w:r>
      <w:r>
        <w:rPr>
          <w:rStyle w:val="VerbatimChar"/>
        </w:rPr>
        <w:t xml:space="preserve">C=10, γ=scale</w:t>
      </w:r>
      <w:r>
        <w:t xml:space="preserve">; RF</w:t>
      </w:r>
      <w:r>
        <w:t xml:space="preserve"> </w:t>
      </w:r>
      <w:r>
        <w:rPr>
          <w:rStyle w:val="VerbatimChar"/>
        </w:rPr>
        <w:t xml:space="preserve">n_estimators=400, max_depth=None</w:t>
      </w:r>
      <w:r>
        <w:t xml:space="preserve">.</w:t>
      </w:r>
      <w:r>
        <w:t xml:space="preserve"> </w:t>
      </w:r>
      <w:r>
        <w:t xml:space="preserve">La CNN convergió en 24 épocas (~12 min en CPU). El</w:t>
      </w:r>
      <w:r>
        <w:t xml:space="preserve"> </w:t>
      </w:r>
      <w:r>
        <w:rPr>
          <w:b/>
          <w:bCs/>
        </w:rPr>
        <w:t xml:space="preserve">SVM-RBF</w:t>
      </w:r>
      <w:r>
        <w:t xml:space="preserve"> </w:t>
      </w:r>
      <w:r>
        <w:t xml:space="preserve">fue el mejor en</w:t>
      </w:r>
      <w:r>
        <w:t xml:space="preserve"> </w:t>
      </w:r>
      <w:r>
        <w:t xml:space="preserve">Macro-F1 y en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. </w:t>
      </w:r>
    </w:p>
    <w:p>
      <w:pPr>
        <w:jc w:val="center"/>
      </w:pPr>
      <w:r>
        <w:drawing>
          <wp:inline>
            <wp:extent cx="5943600" cy="1537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5_co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4. Matrices de confusión en prueba (RF, SVM, CNN).</w:t>
      </w:r>
    </w:p>
    <w:p>
      <w:pPr>
        <w:pStyle w:val="BodyText"/>
      </w:pPr>
      <w:r>
        <w:rPr>
          <w:b/>
          <w:bCs/>
        </w:rPr>
        <w:t xml:space="preserve">Análisis de errores.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es la clase más difícil y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la más fácil</w:t>
      </w:r>
      <w:r>
        <w:t xml:space="preserve"> </w:t>
      </w:r>
      <w:r>
        <w:t xml:space="preserve">(F1≈0,98). El error más costoso (</w:t>
      </w:r>
      <w:r>
        <w:rPr>
          <w:rStyle w:val="VerbatimChar"/>
        </w:rPr>
        <w:t xml:space="preserve">Bad→Good</w:t>
      </w:r>
      <w:r>
        <w:t xml:space="preserve">) ocurrió solo</w:t>
      </w:r>
      <w:r>
        <w:t xml:space="preserve"> </w:t>
      </w:r>
      <w:r>
        <w:rPr>
          <w:b/>
          <w:bCs/>
        </w:rPr>
        <w:t xml:space="preserve">2 veces</w:t>
      </w:r>
      <w:r>
        <w:t xml:space="preserve"> </w:t>
      </w:r>
      <w:r>
        <w:t xml:space="preserve">en 266 frutas</w:t>
      </w:r>
      <w:r>
        <w:t xml:space="preserve"> </w:t>
      </w:r>
      <w:r>
        <w:t xml:space="preserve">malas; las confusiones predominantes son entre clases adyacentes.</w:t>
      </w:r>
    </w:p>
    <w:p>
      <w:pPr>
        <w:pStyle w:val="BodyText"/>
      </w:pPr>
      <w:r>
        <w:rPr>
          <w:b/>
          <w:bCs/>
        </w:rPr>
        <w:t xml:space="preserve">Investigación de fuga de datos.</w:t>
      </w:r>
      <w:r>
        <w:t xml:space="preserve"> </w:t>
      </w:r>
      <w:r>
        <w:t xml:space="preserve">Mediante</w:t>
      </w:r>
      <w:r>
        <w:t xml:space="preserve"> </w:t>
      </w:r>
      <w:r>
        <w:rPr>
          <w:i/>
          <w:iCs/>
        </w:rPr>
        <w:t xml:space="preserve">difference hash</w:t>
      </w:r>
      <w:r>
        <w:t xml:space="preserve"> </w:t>
      </w:r>
      <w:r>
        <w:t xml:space="preserve">de 256 bits y</w:t>
      </w:r>
      <w:r>
        <w:t xml:space="preserve"> </w:t>
      </w:r>
      <w:r>
        <w:t xml:space="preserve">componentes conexas (Hamming ≤10) se detectó que el</w:t>
      </w:r>
      <w:r>
        <w:t xml:space="preserve"> </w:t>
      </w:r>
      <w:r>
        <w:rPr>
          <w:b/>
          <w:bCs/>
        </w:rPr>
        <w:t xml:space="preserve">11,8 %</w:t>
      </w:r>
      <w:r>
        <w:t xml:space="preserve"> </w:t>
      </w:r>
      <w:r>
        <w:t xml:space="preserve">de las imágenes son</w:t>
      </w:r>
      <w:r>
        <w:t xml:space="preserve"> </w:t>
      </w:r>
      <w:r>
        <w:t xml:space="preserve">casi-duplicados y que el</w:t>
      </w:r>
      <w:r>
        <w:t xml:space="preserve"> </w:t>
      </w:r>
      <w:r>
        <w:rPr>
          <w:b/>
          <w:bCs/>
        </w:rPr>
        <w:t xml:space="preserve">15 %</w:t>
      </w:r>
      <w:r>
        <w:t xml:space="preserve"> </w:t>
      </w:r>
      <w:r>
        <w:t xml:space="preserve">del test tiene un casi-duplicado en train. Al</w:t>
      </w:r>
      <w:r>
        <w:t xml:space="preserve"> </w:t>
      </w:r>
      <w:r>
        <w:t xml:space="preserve">reentrenar con una partición</w:t>
      </w:r>
      <w:r>
        <w:t xml:space="preserve"> </w:t>
      </w:r>
      <w:r>
        <w:rPr>
          <w:b/>
          <w:bCs/>
        </w:rPr>
        <w:t xml:space="preserve">consciente de grupos</w:t>
      </w:r>
      <w:r>
        <w:t xml:space="preserve"> </w:t>
      </w:r>
      <w:r>
        <w:t xml:space="preserve">(cada ejemplar íntegro en una</w:t>
      </w:r>
      <w:r>
        <w:t xml:space="preserve"> </w:t>
      </w:r>
      <w:r>
        <w:t xml:space="preserve">sola partición), el desempeño</w:t>
      </w:r>
      <w:r>
        <w:t xml:space="preserve"> </w:t>
      </w:r>
      <w:r>
        <w:rPr>
          <w:b/>
          <w:bCs/>
        </w:rPr>
        <w:t xml:space="preserve">no disminuye</w:t>
      </w:r>
      <w:r>
        <w:t xml:space="preserve"> </w:t>
      </w:r>
      <w:r>
        <w:t xml:space="preserve">(Tabla II).</w:t>
      </w:r>
    </w:p>
    <w:p>
      <w:pPr>
        <w:pStyle w:val="BodyText"/>
      </w:pPr>
      <w:r>
        <w:rPr>
          <w:b/>
          <w:bCs/>
        </w:rPr>
        <w:t xml:space="preserve">TABLA II — Macro-F1 con/sin fuga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aleatorio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por grupos (sin fuga)</w:t>
            </w:r>
          </w:p>
        </w:tc>
      </w:tr>
      <w:tr>
        <w:tc>
          <w:tcPr>
            <w:tcW w:type="dxa" w:w="3485"/>
          </w:tcPr>
          <w:p>
            <w:r/>
            <w:r>
              <w:t>Random Forest</w:t>
            </w:r>
          </w:p>
        </w:tc>
        <w:tc>
          <w:tcPr>
            <w:tcW w:type="dxa" w:w="3485"/>
          </w:tcPr>
          <w:p>
            <w:r/>
            <w:r>
              <w:t>0,941</w:t>
            </w:r>
          </w:p>
        </w:tc>
        <w:tc>
          <w:tcPr>
            <w:tcW w:type="dxa" w:w="3485"/>
          </w:tcPr>
          <w:p>
            <w:r/>
            <w:r>
              <w:t>0,946</w:t>
            </w:r>
          </w:p>
        </w:tc>
      </w:tr>
      <w:tr>
        <w:tc>
          <w:tcPr>
            <w:tcW w:type="dxa" w:w="3485"/>
          </w:tcPr>
          <w:p>
            <w:r/>
            <w:r>
              <w:t>SVM (RBF)</w:t>
            </w:r>
          </w:p>
        </w:tc>
        <w:tc>
          <w:tcPr>
            <w:tcW w:type="dxa" w:w="3485"/>
          </w:tcPr>
          <w:p>
            <w:r/>
            <w:r>
              <w:t>0,957</w:t>
            </w:r>
          </w:p>
        </w:tc>
        <w:tc>
          <w:tcPr>
            <w:tcW w:type="dxa" w:w="3485"/>
          </w:tcPr>
          <w:p>
            <w:r/>
            <w:r>
              <w:t>0,964</w:t>
            </w:r>
          </w:p>
        </w:tc>
      </w:tr>
      <w:tr>
        <w:tc>
          <w:tcPr>
            <w:tcW w:type="dxa" w:w="3485"/>
          </w:tcPr>
          <w:p>
            <w:r/>
            <w:r>
              <w:t>CNN</w:t>
            </w:r>
          </w:p>
        </w:tc>
        <w:tc>
          <w:tcPr>
            <w:tcW w:type="dxa" w:w="3485"/>
          </w:tcPr>
          <w:p>
            <w:r/>
            <w:r>
              <w:t>0,935</w:t>
            </w:r>
          </w:p>
        </w:tc>
        <w:tc>
          <w:tcPr>
            <w:tcW w:type="dxa" w:w="3485"/>
          </w:tcPr>
          <w:p>
            <w:r/>
            <w:r>
              <w:t>0,946</w:t>
            </w:r>
          </w:p>
        </w:tc>
      </w:tr>
    </w:tbl>
    <w:p>
      <w:pPr>
        <w:pStyle w:val="BodyText"/>
      </w:pPr>
      <w:r/>
    </w:p>
    <w:p>
      <w:pPr>
        <w:jc w:val="center"/>
      </w:pPr>
      <w:r>
        <w:drawing>
          <wp:inline>
            <wp:extent cx="4572000" cy="2566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5_fu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5. Impacto de la fuga: Macro-F1 con split aleatorio vs. por grupos.</w:t>
      </w:r>
    </w:p>
    <w:p>
      <w:r>
        <w:pict>
          <v:rect style="width:0;height:1.5pt" o:hralign="center" o:hrstd="t" o:hr="t"/>
        </w:pict>
      </w:r>
    </w:p>
    <w:bookmarkEnd w:id="13"/>
    <w:bookmarkStart w:id="14" w:name="v-análisis-de-resultados"/>
    <w:p>
      <w:pPr>
        <w:pStyle w:val="Heading2"/>
      </w:pPr>
      <w:r>
        <w:t xml:space="preserve">V. Análisis de Resultados</w:t>
      </w:r>
    </w:p>
    <w:p>
      <w:pPr>
        <w:pStyle w:val="FirstParagraph"/>
      </w:pPr>
      <w:r>
        <w:rPr>
          <w:b/>
          <w:bCs/>
        </w:rPr>
        <w:t xml:space="preserve">Generalización y sobreajuste.</w:t>
      </w:r>
      <w:r>
        <w:t xml:space="preserve"> </w:t>
      </w:r>
      <w:r>
        <w:t xml:space="preserve">La coincidencia entre validación (0,955) y</w:t>
      </w:r>
      <w:r>
        <w:t xml:space="preserve"> </w:t>
      </w:r>
      <w:r>
        <w:t xml:space="preserve">prueba (0,957) para el SVM indica</w:t>
      </w:r>
      <w:r>
        <w:t xml:space="preserve"> </w:t>
      </w:r>
      <w:r>
        <w:rPr>
          <w:b/>
          <w:bCs/>
        </w:rPr>
        <w:t xml:space="preserve">ausencia de sobreajuste severo</w:t>
      </w:r>
      <w:r>
        <w:t xml:space="preserve">; en la CNN,</w:t>
      </w:r>
      <w:r>
        <w:t xml:space="preserve"> </w:t>
      </w:r>
      <w:r>
        <w:t xml:space="preserve">las curvas train/val convergen sin divergencia. Es notable que la partición sin</w:t>
      </w:r>
      <w:r>
        <w:t xml:space="preserve"> </w:t>
      </w:r>
      <w:r>
        <w:t xml:space="preserve">fuga</w:t>
      </w:r>
      <w:r>
        <w:t xml:space="preserve"> </w:t>
      </w:r>
      <w:r>
        <w:rPr>
          <w:b/>
          <w:bCs/>
        </w:rPr>
        <w:t xml:space="preserve">no degrada</w:t>
      </w:r>
      <w:r>
        <w:t xml:space="preserve"> </w:t>
      </w:r>
      <w:r>
        <w:t xml:space="preserve">—e incluso mejora levemente— el desempeño en los tres modelos:</w:t>
      </w:r>
      <w:r>
        <w:t xml:space="preserve"> </w:t>
      </w:r>
      <w:r>
        <w:t xml:space="preserve">esto</w:t>
      </w:r>
      <w:r>
        <w:t xml:space="preserve"> </w:t>
      </w:r>
      <w:r>
        <w:rPr>
          <w:b/>
          <w:bCs/>
        </w:rPr>
        <w:t xml:space="preserve">refuta</w:t>
      </w:r>
      <w:r>
        <w:t xml:space="preserve"> </w:t>
      </w:r>
      <w:r>
        <w:t xml:space="preserve">la hipótesis de que las métricas estuvieran infladas por</w:t>
      </w:r>
      <w:r>
        <w:t xml:space="preserve"> </w:t>
      </w:r>
      <w:r>
        <w:t xml:space="preserve">memorización de casi-duplicados, y demuestra que los modelos generalizan a</w:t>
      </w:r>
      <w:r>
        <w:t xml:space="preserve"> </w:t>
      </w:r>
      <w:r>
        <w:t xml:space="preserve">ejemplares nuevos.</w:t>
      </w:r>
    </w:p>
    <w:p>
      <w:pPr>
        <w:pStyle w:val="BodyText"/>
      </w:pPr>
      <w:r>
        <w:rPr>
          <w:b/>
          <w:bCs/>
        </w:rPr>
        <w:t xml:space="preserve">Qué funciona y qué falla.</w:t>
      </w:r>
      <w:r>
        <w:t xml:space="preserve"> </w:t>
      </w:r>
      <w:r>
        <w:t xml:space="preserve">En este dominio (fruta centrada, fondo simple), las</w:t>
      </w:r>
      <w:r>
        <w:t xml:space="preserve"> </w:t>
      </w:r>
      <w:r>
        <w:rPr>
          <w:b/>
          <w:bCs/>
        </w:rPr>
        <w:t xml:space="preserve">características clásicas</w:t>
      </w:r>
      <w:r>
        <w:t xml:space="preserve"> </w:t>
      </w:r>
      <w:r>
        <w:t xml:space="preserve">(HSV+HOG) con un SVM</w:t>
      </w:r>
      <w:r>
        <w:t xml:space="preserve"> </w:t>
      </w:r>
      <w:r>
        <w:rPr>
          <w:b/>
          <w:bCs/>
        </w:rPr>
        <w:t xml:space="preserve">igualan o superan</w:t>
      </w:r>
      <w:r>
        <w:t xml:space="preserve"> </w:t>
      </w:r>
      <w:r>
        <w:t xml:space="preserve">a una CNN</w:t>
      </w:r>
      <w:r>
        <w:t xml:space="preserve"> </w:t>
      </w:r>
      <w:r>
        <w:t xml:space="preserve">pequeña entrenada desde cero, con mucho menor costo de cómputo; esto sugiere que la</w:t>
      </w:r>
      <w:r>
        <w:t xml:space="preserve"> </w:t>
      </w:r>
      <w:r>
        <w:t xml:space="preserve">señal de calidad reside fuertemente en color y textura de bordes, bien capturados</w:t>
      </w:r>
      <w:r>
        <w:t xml:space="preserve"> </w:t>
      </w:r>
      <w:r>
        <w:t xml:space="preserve">por HOG y HSV. La CNN, sin transfer learning y con datos limitados por clase</w:t>
      </w:r>
      <w:r>
        <w:t xml:space="preserve"> </w:t>
      </w:r>
      <w:r>
        <w:t xml:space="preserve">minoritaria, rinde algo menos pero trabaja directamente sobre la imagen. El punto</w:t>
      </w:r>
      <w:r>
        <w:t xml:space="preserve"> </w:t>
      </w:r>
      <w:r>
        <w:t xml:space="preserve">débil común es la clase</w:t>
      </w:r>
      <w:r>
        <w:t xml:space="preserve"> </w:t>
      </w:r>
      <w:r>
        <w:rPr>
          <w:rStyle w:val="VerbatimChar"/>
        </w:rPr>
        <w:t xml:space="preserve">Bad</w:t>
      </w:r>
      <w:r>
        <w:t xml:space="preserve">, cuyos defectos son sutiles y heterogéneos.</w:t>
      </w:r>
    </w:p>
    <w:p>
      <w:pPr>
        <w:pStyle w:val="BodyText"/>
      </w:pPr>
      <w:r>
        <w:rPr>
          <w:b/>
          <w:bCs/>
        </w:rPr>
        <w:t xml:space="preserve">Comparación con la literatura.</w:t>
      </w:r>
      <w:r>
        <w:t xml:space="preserve"> </w:t>
      </w:r>
      <w:r>
        <w:t xml:space="preserve">Trabajos de</w:t>
      </w:r>
      <w:r>
        <w:t xml:space="preserve"> </w:t>
      </w:r>
      <w:r>
        <w:rPr>
          <w:i/>
          <w:iCs/>
        </w:rPr>
        <w:t xml:space="preserve">Fruit Quality Classification</w:t>
      </w:r>
      <w:r>
        <w:t xml:space="preserve"> </w:t>
      </w:r>
      <w:r>
        <w:t xml:space="preserve">reportan exactitudes altas (&gt;90 %) con CNN y transfer learning; nuestros resultados</w:t>
      </w:r>
      <w:r>
        <w:t xml:space="preserve"> </w:t>
      </w:r>
      <w:r>
        <w:t xml:space="preserve">son consistentes en magnitud, con la diferencia de que aquí se prioriza una CNN</w:t>
      </w:r>
      <w:r>
        <w:t xml:space="preserve"> </w:t>
      </w:r>
      <w:r>
        <w:t xml:space="preserve">desde cero y se añade una</w:t>
      </w:r>
      <w:r>
        <w:t xml:space="preserve"> </w:t>
      </w:r>
      <w:r>
        <w:rPr>
          <w:b/>
          <w:bCs/>
        </w:rPr>
        <w:t xml:space="preserve">auditoría de fuga</w:t>
      </w:r>
      <w:r>
        <w:t xml:space="preserve"> </w:t>
      </w:r>
      <w:r>
        <w:t xml:space="preserve">poco frecuente en la literatura</w:t>
      </w:r>
      <w:r>
        <w:t xml:space="preserve"> </w:t>
      </w:r>
      <w:r>
        <w:t xml:space="preserve">básica, que matiza la interpretación de métricas altas.</w:t>
      </w:r>
    </w:p>
    <w:p>
      <w:pPr>
        <w:pStyle w:val="BodyText"/>
      </w:pPr>
      <w:r>
        <w:rPr>
          <w:b/>
          <w:bCs/>
        </w:rPr>
        <w:t xml:space="preserve">Consideraciones éticas y de impacto.</w:t>
      </w:r>
      <w:r>
        <w:t xml:space="preserve"> </w:t>
      </w:r>
      <w:r>
        <w:t xml:space="preserve">El sistema se concibe como</w:t>
      </w:r>
      <w:r>
        <w:t xml:space="preserve"> </w:t>
      </w:r>
      <w:r>
        <w:rPr>
          <w:b/>
          <w:bCs/>
        </w:rPr>
        <w:t xml:space="preserve">apoyo</w:t>
      </w:r>
      <w:r>
        <w:t xml:space="preserve"> </w:t>
      </w:r>
      <w:r>
        <w:t xml:space="preserve">a la</w:t>
      </w:r>
      <w:r>
        <w:t xml:space="preserve"> </w:t>
      </w:r>
      <w:r>
        <w:t xml:space="preserve">decisión (muestra probabilidades, no veredictos absolutos); se mitigó el sesgo de</w:t>
      </w:r>
      <w:r>
        <w:t xml:space="preserve"> </w:t>
      </w:r>
      <w:r>
        <w:t xml:space="preserve">procedencia detectado y se reportan honestamente las limitaciones. El balance de</w:t>
      </w:r>
      <w:r>
        <w:t xml:space="preserve"> </w:t>
      </w:r>
      <w:r>
        <w:t xml:space="preserve">impactos (social, económico, ambiental, global) es positivo, con riesgos</w:t>
      </w:r>
      <w:r>
        <w:t xml:space="preserve"> </w:t>
      </w:r>
      <w:r>
        <w:t xml:space="preserve">gestionables (transición laboral, mantenimiento del modelo, generalización a otras</w:t>
      </w:r>
      <w:r>
        <w:t xml:space="preserve"> </w:t>
      </w:r>
      <w:r>
        <w:t xml:space="preserve">especies).</w:t>
      </w:r>
    </w:p>
    <w:p>
      <w:r>
        <w:pict>
          <v:rect style="width:0;height:1.5pt" o:hralign="center" o:hrstd="t" o:hr="t"/>
        </w:pict>
      </w:r>
    </w:p>
    <w:bookmarkEnd w:id="14"/>
    <w:bookmarkStart w:id="15" w:name="vi-conclusiones-y-trabajo-futuro"/>
    <w:p>
      <w:pPr>
        <w:pStyle w:val="Heading2"/>
      </w:pPr>
      <w:r>
        <w:t xml:space="preserve">VI. Conclusiones y Trabajo Futuro</w:t>
      </w:r>
    </w:p>
    <w:p>
      <w:pPr>
        <w:pStyle w:val="FirstParagraph"/>
      </w:pPr>
      <w:r>
        <w:t xml:space="preserve">Se construyó un sistema completo de clasificación de calidad de frutas siguiendo</w:t>
      </w:r>
      <w:r>
        <w:t xml:space="preserve"> </w:t>
      </w:r>
      <w:r>
        <w:t xml:space="preserve">CRISP-DM, comparando modelos tradicionales y una CNN. El</w:t>
      </w:r>
      <w:r>
        <w:t xml:space="preserve"> </w:t>
      </w:r>
      <w:r>
        <w:rPr>
          <w:b/>
          <w:bCs/>
        </w:rPr>
        <w:t xml:space="preserve">SVM-RBF</w:t>
      </w:r>
      <w:r>
        <w:t xml:space="preserve"> </w:t>
      </w:r>
      <w:r>
        <w:t xml:space="preserve">sobre</w:t>
      </w:r>
      <w:r>
        <w:t xml:space="preserve"> </w:t>
      </w:r>
      <w:r>
        <w:t xml:space="preserve">características HSV+HOG fue el mejor (Macro-F1 0,957 en prueba; 0,964 sin fuga),</w:t>
      </w:r>
      <w:r>
        <w:t xml:space="preserve"> </w:t>
      </w:r>
      <w:r>
        <w:t xml:space="preserve">con un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Bad</w:t>
      </w:r>
      <w:r>
        <w:t xml:space="preserve"> </w:t>
      </w:r>
      <w:r>
        <w:t xml:space="preserve">de 0,90 y apenas 2 errores del tipo más costoso. La</w:t>
      </w:r>
      <w:r>
        <w:t xml:space="preserve"> </w:t>
      </w:r>
      <w:r>
        <w:t xml:space="preserve">auditoría de fuga por casi-duplicados confirmó que el desempeño es</w:t>
      </w:r>
      <w:r>
        <w:t xml:space="preserve"> </w:t>
      </w:r>
      <w:r>
        <w:rPr>
          <w:b/>
          <w:bCs/>
        </w:rPr>
        <w:t xml:space="preserve">real</w:t>
      </w:r>
      <w:r>
        <w:t xml:space="preserve">. El</w:t>
      </w:r>
      <w:r>
        <w:t xml:space="preserve"> </w:t>
      </w:r>
      <w:r>
        <w:t xml:space="preserve">sistema se desplegó en una interfaz utilizable.</w:t>
      </w:r>
    </w:p>
    <w:p>
      <w:pPr>
        <w:pStyle w:val="BodyText"/>
      </w:pPr>
      <w:r>
        <w:rPr>
          <w:b/>
          <w:bCs/>
        </w:rPr>
        <w:t xml:space="preserve">Trabajo futuro:</w:t>
      </w:r>
      <w:r>
        <w:t xml:space="preserve"> </w:t>
      </w:r>
      <w:r>
        <w:t xml:space="preserve">(i)</w:t>
      </w:r>
      <w:r>
        <w:t xml:space="preserve"> </w:t>
      </w:r>
      <w:r>
        <w:rPr>
          <w:i/>
          <w:iCs/>
        </w:rPr>
        <w:t xml:space="preserve">transfer learning</w:t>
      </w:r>
      <w:r>
        <w:t xml:space="preserve"> </w:t>
      </w:r>
      <w:r>
        <w:t xml:space="preserve">con congelamiento de capas para</w:t>
      </w:r>
      <w:r>
        <w:t xml:space="preserve"> </w:t>
      </w:r>
      <w:r>
        <w:t xml:space="preserve">potenciar la CNN; (ii) recolección/recalibración para más especies y regiones;</w:t>
      </w:r>
      <w:r>
        <w:t xml:space="preserve"> </w:t>
      </w:r>
      <w:r>
        <w:t xml:space="preserve">(iii) estimación de tamaño con referencia de escala física; (iv) monitoreo de</w:t>
      </w:r>
      <w:r>
        <w:t xml:space="preserve"> </w:t>
      </w:r>
      <w:r>
        <w:t xml:space="preserve">deriva de datos en producción; (v) explicabilidad (mapas de saliencia) para</w:t>
      </w:r>
      <w:r>
        <w:t xml:space="preserve"> </w:t>
      </w:r>
      <w:r>
        <w:t xml:space="preserve">auditar en qué se fija el modelo.</w:t>
      </w:r>
    </w:p>
    <w:p>
      <w:r>
        <w:pict>
          <v:rect style="width:0;height:1.5pt" o:hralign="center" o:hrstd="t" o:hr="t"/>
        </w:pict>
      </w:r>
    </w:p>
    <w:bookmarkEnd w:id="15"/>
    <w:bookmarkStart w:id="17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[Wirth2000] R. Wirth and J. Hipp, "CRISP-DM: Towards a standard process model for</w:t>
      </w:r>
      <w:r>
        <w:t xml:space="preserve"> </w:t>
      </w:r>
      <w:r>
        <w:t xml:space="preserve">data mining," in</w:t>
      </w:r>
      <w:r>
        <w:t xml:space="preserve"> </w:t>
      </w:r>
      <w:r>
        <w:rPr>
          <w:i/>
          <w:iCs/>
        </w:rPr>
        <w:t xml:space="preserve">Proc. 4th Int. Conf. Practical Application of Knowledge Discovery</w:t>
      </w:r>
      <w:r>
        <w:rPr>
          <w:i/>
          <w:iCs/>
        </w:rPr>
        <w:t xml:space="preserve"> </w:t>
      </w:r>
      <w:r>
        <w:rPr>
          <w:i/>
          <w:iCs/>
        </w:rPr>
        <w:t xml:space="preserve">and Data Mining</w:t>
      </w:r>
      <w:r>
        <w:t xml:space="preserve">, 2000, pp. 29–39.</w:t>
      </w:r>
    </w:p>
    <w:p>
      <w:pPr>
        <w:pStyle w:val="BodyText"/>
      </w:pPr>
      <w:r>
        <w:t xml:space="preserve">[Dalal2005] N. Dalal and B. Triggs, "Histograms of oriented gradients for human</w:t>
      </w:r>
      <w:r>
        <w:t xml:space="preserve"> </w:t>
      </w:r>
      <w:r>
        <w:t xml:space="preserve">detection," in</w:t>
      </w:r>
      <w:r>
        <w:t xml:space="preserve"> </w:t>
      </w:r>
      <w:r>
        <w:rPr>
          <w:i/>
          <w:iCs/>
        </w:rPr>
        <w:t xml:space="preserve">Proc. IEEE CVPR</w:t>
      </w:r>
      <w:r>
        <w:t xml:space="preserve">, 2005, pp. 886–893.</w:t>
      </w:r>
    </w:p>
    <w:p>
      <w:pPr>
        <w:pStyle w:val="BodyText"/>
      </w:pPr>
      <w:r>
        <w:t xml:space="preserve">[Cortes1995] C. Cortes and V. Vapnik, "Support-vector networks,"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vol. 20, no. 3, pp. 273–297, 1995.</w:t>
      </w:r>
    </w:p>
    <w:p>
      <w:pPr>
        <w:pStyle w:val="BodyText"/>
      </w:pPr>
      <w:r>
        <w:t xml:space="preserve">[Breiman2001] L. Breiman, "Random forests,"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 45, no. 1,</w:t>
      </w:r>
      <w:r>
        <w:t xml:space="preserve"> </w:t>
      </w:r>
      <w:r>
        <w:t xml:space="preserve">pp. 5–32, 2001.</w:t>
      </w:r>
    </w:p>
    <w:p>
      <w:pPr>
        <w:pStyle w:val="BodyText"/>
      </w:pPr>
      <w:r>
        <w:t xml:space="preserve">[LeCun1998] Y. LeCun, L. Bottou, Y. Bengio, and P. Haffner, "Gradient-based</w:t>
      </w:r>
      <w:r>
        <w:t xml:space="preserve"> </w:t>
      </w:r>
      <w:r>
        <w:t xml:space="preserve">learning applied to document recognition,"</w:t>
      </w:r>
      <w:r>
        <w:t xml:space="preserve"> </w:t>
      </w:r>
      <w:r>
        <w:rPr>
          <w:i/>
          <w:iCs/>
        </w:rPr>
        <w:t xml:space="preserve">Proc. IEEE</w:t>
      </w:r>
      <w:r>
        <w:t xml:space="preserve">, vol. 86, no. 11,</w:t>
      </w:r>
      <w:r>
        <w:t xml:space="preserve"> </w:t>
      </w:r>
      <w:r>
        <w:t xml:space="preserve">pp. 2278–2324, 1998.</w:t>
      </w:r>
    </w:p>
    <w:p>
      <w:pPr>
        <w:pStyle w:val="BodyText"/>
      </w:pPr>
      <w:r>
        <w:t xml:space="preserve">[Otsu1979] N. Otsu, "A threshold selection method from gray-level histograms,"</w:t>
      </w:r>
      <w:r>
        <w:t xml:space="preserve"> </w:t>
      </w:r>
      <w:r>
        <w:rPr>
          <w:i/>
          <w:iCs/>
        </w:rPr>
        <w:t xml:space="preserve">IEEE Trans. Syst., Man, Cybern.</w:t>
      </w:r>
      <w:r>
        <w:t xml:space="preserve">, vol. 9, no. 1, pp. 62–66, 1979.</w:t>
      </w:r>
    </w:p>
    <w:p>
      <w:pPr>
        <w:pStyle w:val="BodyText"/>
      </w:pPr>
      <w:r>
        <w:t xml:space="preserve">[Pedregosa2011] F. Pedregosa et al., "Scikit-learn: Machine learning in Python,"</w:t>
      </w:r>
      <w:r>
        <w:t xml:space="preserve"> </w:t>
      </w:r>
      <w:r>
        <w:rPr>
          <w:i/>
          <w:iCs/>
        </w:rPr>
        <w:t xml:space="preserve">J. Mach. Learn. Res.</w:t>
      </w:r>
      <w:r>
        <w:t xml:space="preserve">, vol. 12, pp. 2825–2830, 2011.</w:t>
      </w:r>
    </w:p>
    <w:p>
      <w:pPr>
        <w:pStyle w:val="BodyText"/>
      </w:pPr>
      <w:r>
        <w:t xml:space="preserve">[Abadi2016] M. Abadi et al., "TensorFlow: A system for large-scale machine</w:t>
      </w:r>
      <w:r>
        <w:t xml:space="preserve"> </w:t>
      </w:r>
      <w:r>
        <w:t xml:space="preserve">learning," in</w:t>
      </w:r>
      <w:r>
        <w:t xml:space="preserve"> </w:t>
      </w:r>
      <w:r>
        <w:rPr>
          <w:i/>
          <w:iCs/>
        </w:rPr>
        <w:t xml:space="preserve">Proc. 12th USENIX OSDI</w:t>
      </w:r>
      <w:r>
        <w:t xml:space="preserve">, 2016, pp. 265–283.</w:t>
      </w:r>
    </w:p>
    <w:p>
      <w:pPr>
        <w:pStyle w:val="BodyText"/>
      </w:pPr>
      <w:r>
        <w:t xml:space="preserve">[Streamlit] Streamlit Inc., "Streamlit: A faster way to build and share data</w:t>
      </w:r>
      <w:r>
        <w:t xml:space="preserve"> </w:t>
      </w:r>
      <w:r>
        <w:t xml:space="preserve">apps," [En línea]. Disponible:</w:t>
      </w:r>
      <w:r>
        <w:t xml:space="preserve"> </w:t>
      </w:r>
      <w:hyperlink r:id="rId16">
        <w:r>
          <w:rPr>
            <w:rStyle w:val="Hyperlink"/>
          </w:rPr>
          <w:t xml:space="preserve">https://streamlit.io</w:t>
        </w:r>
      </w:hyperlink>
    </w:p>
    <w:p>
      <w:pPr>
        <w:pStyle w:val="BodyText"/>
      </w:pPr>
      <w:r>
        <w:t xml:space="preserve">[Kaggle] "Fruit Quality Classification," Kaggle Dataset.</w:t>
      </w:r>
      <w:r>
        <w:t xml:space="preserve"> </w:t>
      </w:r>
      <w:r>
        <w:rPr>
          <w:i/>
          <w:iCs/>
        </w:rPr>
        <w:t xml:space="preserve">(Completar URL/autor</w:t>
      </w:r>
      <w:r>
        <w:rPr>
          <w:i/>
          <w:iCs/>
        </w:rPr>
        <w:t xml:space="preserve"> </w:t>
      </w:r>
      <w:r>
        <w:rPr>
          <w:i/>
          <w:iCs/>
        </w:rPr>
        <w:t xml:space="preserve">exactos del dataset usado.)</w:t>
      </w:r>
    </w:p>
    <w:bookmarkEnd w:id="17"/>
    <w:bookmarkEnd w:id="18"/>
    <w:sectPr w:rsidR="00D7522C" w:rsidRPr="00CA4392" w:rsidSect="001A3B3D">
      <w:footerReference r:id="rId8" w:type="first"/>
      <w:pgSz w:code="1" w:h="792pt" w:w="612pt"/>
      <w:pgMar w:bottom="72pt" w:footer="36pt" w:gutter="0pt" w:header="36pt" w:left="44.65pt" w:right="44.65pt" w:top="54pt"/>
      <w:cols w:space="36pt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purl.oclc.org/ooxml/officeDocument/math" xmlns:mc="http://schemas.openxmlformats.org/markup-compatibility/2006" xmlns:o="urn:schemas-microsoft-com:office:office" xmlns:oel="http://schemas.microsoft.com/office/2019/extlst" xmlns:r="http://purl.oclc.org/ooxml/officeDocument/relationships" xmlns:v="urn:schemas-microsoft-com:vml" xmlns:w="http://purl.oclc.org/ooxml/wordprocessingml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purl.oclc.org/ooxml/drawingml/wordprocessingDrawing" xmlns:wp14="http://schemas.microsoft.com/office/word/2010/wordprocessingDrawing" xmlns:wpi="http://schemas.microsoft.com/office/word/2010/wordprocessingInk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pos="0pt" w:val="num"/>
        </w:tabs>
        <w:ind w:firstLine="0pt" w:start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pos="36pt" w:val="num"/>
        </w:tabs>
        <w:ind w:hanging="18pt" w:start="54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pos="72pt" w:val="num"/>
        </w:tabs>
        <w:ind w:hanging="18pt" w:start="90pt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start"/>
      <w:pPr>
        <w:tabs>
          <w:tab w:pos="108pt" w:val="num"/>
        </w:tabs>
        <w:ind w:hanging="18pt" w:start="126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pos="144pt" w:val="num"/>
        </w:tabs>
        <w:ind w:hanging="18pt" w:start="162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pos="180pt" w:val="num"/>
        </w:tabs>
        <w:ind w:hanging="18pt" w:start="19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pos="216pt" w:val="num"/>
        </w:tabs>
        <w:ind w:hanging="18pt" w:start="234pt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start"/>
      <w:pPr>
        <w:tabs>
          <w:tab w:pos="252pt" w:val="num"/>
        </w:tabs>
        <w:ind w:hanging="18pt" w:start="270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pos="288pt" w:val="num"/>
        </w:tabs>
        <w:ind w:hanging="18pt" w:start="306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pos="74.60pt" w:val="num"/>
        </w:tabs>
        <w:ind w:hanging="18pt" w:start="74.60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pos="60.45pt" w:val="num"/>
        </w:tabs>
        <w:ind w:hanging="18pt" w:start="60.45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pos="46.30pt" w:val="num"/>
        </w:tabs>
        <w:ind w:hanging="18pt" w:start="46.30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pos="32.15pt" w:val="num"/>
        </w:tabs>
        <w:ind w:hanging="18pt" w:start="32.15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pos="74.60pt" w:val="num"/>
        </w:tabs>
        <w:ind w:hanging="18pt" w:start="74.60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pos="60.45pt" w:val="num"/>
        </w:tabs>
        <w:ind w:hanging="18pt" w:start="60.45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pos="46.30pt" w:val="num"/>
        </w:tabs>
        <w:ind w:hanging="18pt" w:start="46.30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pos="32.15pt" w:val="num"/>
        </w:tabs>
        <w:ind w:hanging="18pt" w:start="32.15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pos="18pt" w:val="num"/>
        </w:tabs>
        <w:ind w:hanging="18pt" w:start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pos="18pt" w:val="num"/>
        </w:tabs>
        <w:ind w:hanging="18pt" w:start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hanging="18pt" w:start="46.80pt"/>
      </w:pPr>
    </w:lvl>
    <w:lvl w:ilvl="1" w:tentative="1" w:tplc="04140019">
      <w:start w:val="1"/>
      <w:numFmt w:val="lowerLetter"/>
      <w:lvlText w:val="%2."/>
      <w:lvlJc w:val="start"/>
      <w:pPr>
        <w:ind w:hanging="18pt" w:start="82.80pt"/>
      </w:pPr>
    </w:lvl>
    <w:lvl w:ilvl="2" w:tentative="1" w:tplc="0414001B">
      <w:start w:val="1"/>
      <w:numFmt w:val="lowerRoman"/>
      <w:lvlText w:val="%3."/>
      <w:lvlJc w:val="end"/>
      <w:pPr>
        <w:ind w:hanging="9pt" w:start="118.80pt"/>
      </w:pPr>
    </w:lvl>
    <w:lvl w:ilvl="3" w:tentative="1" w:tplc="0414000F">
      <w:start w:val="1"/>
      <w:numFmt w:val="decimal"/>
      <w:lvlText w:val="%4."/>
      <w:lvlJc w:val="start"/>
      <w:pPr>
        <w:ind w:hanging="18pt" w:start="154.80pt"/>
      </w:pPr>
    </w:lvl>
    <w:lvl w:ilvl="4" w:tentative="1" w:tplc="04140019">
      <w:start w:val="1"/>
      <w:numFmt w:val="lowerLetter"/>
      <w:lvlText w:val="%5."/>
      <w:lvlJc w:val="start"/>
      <w:pPr>
        <w:ind w:hanging="18pt" w:start="190.80pt"/>
      </w:pPr>
    </w:lvl>
    <w:lvl w:ilvl="5" w:tentative="1" w:tplc="0414001B">
      <w:start w:val="1"/>
      <w:numFmt w:val="lowerRoman"/>
      <w:lvlText w:val="%6."/>
      <w:lvlJc w:val="end"/>
      <w:pPr>
        <w:ind w:hanging="9pt" w:start="226.80pt"/>
      </w:pPr>
    </w:lvl>
    <w:lvl w:ilvl="6" w:tentative="1" w:tplc="0414000F">
      <w:start w:val="1"/>
      <w:numFmt w:val="decimal"/>
      <w:lvlText w:val="%7."/>
      <w:lvlJc w:val="start"/>
      <w:pPr>
        <w:ind w:hanging="18pt" w:start="262.80pt"/>
      </w:pPr>
    </w:lvl>
    <w:lvl w:ilvl="7" w:tentative="1" w:tplc="04140019">
      <w:start w:val="1"/>
      <w:numFmt w:val="lowerLetter"/>
      <w:lvlText w:val="%8."/>
      <w:lvlJc w:val="start"/>
      <w:pPr>
        <w:ind w:hanging="18pt" w:start="298.80pt"/>
      </w:pPr>
    </w:lvl>
    <w:lvl w:ilvl="8" w:tentative="1" w:tplc="0414001B">
      <w:start w:val="1"/>
      <w:numFmt w:val="lowerRoman"/>
      <w:lvlText w:val="%9."/>
      <w:lvlJc w:val="end"/>
      <w:pPr>
        <w:ind w:hanging="9pt" w:start="334.80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pos="36pt" w:val="num"/>
        </w:tabs>
        <w:ind w:hanging="18pt" w:start="36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pos="32.40pt" w:val="num"/>
        </w:tabs>
        <w:ind w:firstLine="14.40pt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pos="32.40pt" w:val="num"/>
        </w:tabs>
        <w:ind w:hanging="18pt" w:start="32.40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pos="72pt" w:val="num"/>
        </w:tabs>
        <w:ind w:hanging="18pt" w:start="72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pos="108pt" w:val="num"/>
        </w:tabs>
        <w:ind w:hanging="18pt" w:start="10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pos="144pt" w:val="num"/>
        </w:tabs>
        <w:ind w:hanging="18pt" w:start="144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pos="180pt" w:val="num"/>
        </w:tabs>
        <w:ind w:hanging="18pt" w:start="180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pos="216pt" w:val="num"/>
        </w:tabs>
        <w:ind w:hanging="18pt" w:start="216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pos="252pt" w:val="num"/>
        </w:tabs>
        <w:ind w:hanging="18pt" w:start="252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pos="288pt" w:val="num"/>
        </w:tabs>
        <w:ind w:hanging="18pt" w:start="28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pos="324pt" w:val="num"/>
        </w:tabs>
        <w:ind w:hanging="18pt" w:start="324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pos="36pt" w:val="num"/>
        </w:tabs>
        <w:ind w:hanging="18pt" w:start="36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28.80pt" w:val="num"/>
        </w:tabs>
        <w:ind w:firstLine="10.80pt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pos="18pt" w:val="num"/>
        </w:tabs>
        <w:ind w:hanging="14.40pt" w:start="14.40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pos="27pt" w:val="num"/>
        </w:tabs>
        <w:ind w:firstLine="9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pos="31.50pt" w:val="num"/>
        </w:tabs>
        <w:ind w:firstLine="18pt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pos="162pt" w:val="num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pos="198pt" w:val="num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pos="234pt" w:val="num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pos="270pt" w:val="num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pos="306pt" w:val="num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hanging="18pt" w:start="20.90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start"/>
      <w:pPr>
        <w:ind w:hanging="18pt" w:start="72pt"/>
      </w:pPr>
    </w:lvl>
    <w:lvl w:ilvl="2" w:tentative="1" w:tplc="0409001B">
      <w:start w:val="1"/>
      <w:numFmt w:val="lowerRoman"/>
      <w:lvlText w:val="%3."/>
      <w:lvlJc w:val="end"/>
      <w:pPr>
        <w:ind w:hanging="9pt" w:start="108pt"/>
      </w:pPr>
    </w:lvl>
    <w:lvl w:ilvl="3" w:tentative="1" w:tplc="0409000F">
      <w:start w:val="1"/>
      <w:numFmt w:val="decimal"/>
      <w:lvlText w:val="%4."/>
      <w:lvlJc w:val="start"/>
      <w:pPr>
        <w:ind w:hanging="18pt" w:start="144pt"/>
      </w:pPr>
    </w:lvl>
    <w:lvl w:ilvl="4" w:tentative="1" w:tplc="04090019">
      <w:start w:val="1"/>
      <w:numFmt w:val="lowerLetter"/>
      <w:lvlText w:val="%5."/>
      <w:lvlJc w:val="start"/>
      <w:pPr>
        <w:ind w:hanging="18pt" w:start="180pt"/>
      </w:pPr>
    </w:lvl>
    <w:lvl w:ilvl="5" w:tentative="1" w:tplc="0409001B">
      <w:start w:val="1"/>
      <w:numFmt w:val="lowerRoman"/>
      <w:lvlText w:val="%6."/>
      <w:lvlJc w:val="end"/>
      <w:pPr>
        <w:ind w:hanging="9pt" w:start="216pt"/>
      </w:pPr>
    </w:lvl>
    <w:lvl w:ilvl="6" w:tentative="1" w:tplc="0409000F">
      <w:start w:val="1"/>
      <w:numFmt w:val="decimal"/>
      <w:lvlText w:val="%7."/>
      <w:lvlJc w:val="start"/>
      <w:pPr>
        <w:ind w:hanging="18pt" w:start="252pt"/>
      </w:pPr>
    </w:lvl>
    <w:lvl w:ilvl="7" w:tentative="1" w:tplc="04090019">
      <w:start w:val="1"/>
      <w:numFmt w:val="lowerLetter"/>
      <w:lvlText w:val="%8."/>
      <w:lvlJc w:val="start"/>
      <w:pPr>
        <w:ind w:hanging="18pt" w:start="288pt"/>
      </w:pPr>
    </w:lvl>
    <w:lvl w:ilvl="8" w:tentative="1" w:tplc="0409001B">
      <w:start w:val="1"/>
      <w:numFmt w:val="lowerRoman"/>
      <w:lvlText w:val="%9."/>
      <w:lvlJc w:val="end"/>
      <w:pPr>
        <w:ind w:hanging="9pt" w:start="324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pos="18pt" w:val="num"/>
        </w:tabs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pos="54pt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%"/>
  <w:embedSystemFonts/>
  <w:proofState w:grammar="clean" w:spelling="clean"/>
  <w:stylePaneFormatFilter w:val="0004"/>
  <w:doNotTrackMoves/>
  <w:defaultTabStop w:val="36pt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center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10.80pt" w:val="start"/>
      </w:tabs>
      <w:spacing w:after="4pt" w:before="8pt"/>
      <w:ind w:firstLine="0pt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18pt" w:val="clear"/>
        <w:tab w:pos="14.40pt" w:val="num"/>
      </w:tabs>
      <w:spacing w:after="3pt" w:before="6pt"/>
      <w:jc w:val="star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31.50pt" w:val="clear"/>
        <w:tab w:pos="36pt" w:val="start"/>
      </w:tabs>
      <w:spacing w:after="2pt" w:before="2pt"/>
      <w:ind w:firstLine="25.20pt"/>
      <w:jc w:val="both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18pt" w:val="start"/>
      </w:tabs>
      <w:spacing w:after="4pt" w:before="8pt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pt"/>
      <w:tblCellMar>
        <w:top w:type="dxa" w:w="0pt"/>
        <w:start w:type="dxa" w:w="5.40pt"/>
        <w:bottom w:type="dxa" w:w="0pt"/>
        <w:end w:type="dxa" w:w="5.40pt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2pt" w:before="18pt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14.40pt" w:val="start"/>
      </w:tabs>
      <w:spacing w:after="6pt" w:line="11.40pt" w:lineRule="auto"/>
      <w:ind w:firstLine="14.40pt"/>
      <w:jc w:val="both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32.40pt" w:val="clear"/>
      </w:tabs>
      <w:ind w:hanging="14.40pt" w:start="28.80pt"/>
    </w:pPr>
  </w:style>
  <w:style w:customStyle="1" w:styleId="equation" w:type="paragraph">
    <w:name w:val="equation"/>
    <w:basedOn w:val="Normal"/>
    <w:rsid w:val="008A2C7D"/>
    <w:pPr>
      <w:tabs>
        <w:tab w:pos="126pt" w:val="center"/>
        <w:tab w:pos="252pt" w:val="end"/>
      </w:tabs>
      <w:spacing w:after="12pt" w:before="12pt" w:line="10.80pt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26.65pt" w:val="start"/>
      </w:tabs>
      <w:spacing w:after="10pt" w:before="4pt"/>
      <w:ind w:firstLine="0pt" w:start="0pt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9.35pt" w:vAnchor="text" w:vSpace="9.35pt" w:wrap="notBeside" w:x="306.05pt" w:y="28.85pt"/>
      <w:numPr>
        <w:numId w:val="3"/>
      </w:numPr>
      <w:spacing w:after="2pt"/>
    </w:pPr>
    <w:rPr>
      <w:sz w:val="16"/>
      <w:szCs w:val="16"/>
    </w:rPr>
  </w:style>
  <w:style w:customStyle="1" w:styleId="papersubtitle" w:type="paragraph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30.75pt" w:y="111.95pt"/>
      <w:pBdr>
        <w:top w:color="auto" w:space="2" w:sz="4" w:val="single"/>
      </w:pBdr>
      <w:ind w:firstLine="14.40pt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1.50pt" w:before="3pt"/>
      <w:ind w:hanging="1.45pt" w:start="2.90pt"/>
      <w:jc w:val="end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6pt" w:before="12pt" w:line="10.80pt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6pt"/>
      <w:ind w:firstLine="13.70pt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234pt" w:val="center"/>
        <w:tab w:pos="468pt" w:val="end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234pt" w:val="center"/>
        <w:tab w:pos="468pt" w:val="end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streamlit.io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streamlit.io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2026-06-06T02:44:16Z</dcterms:created>
  <dcterms:modified xsi:type="dcterms:W3CDTF">2026-06-06T02:44:16Z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