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rPr>
      </w:pPr>
      <w:r w:rsidDel="00000000" w:rsidR="00000000" w:rsidRPr="00000000">
        <w:rPr>
          <w:b w:val="1"/>
          <w:bCs w:val="1"/>
          <w:rtl w:val="0"/>
        </w:rPr>
        <w:t xml:space="preserve">Informe de Laboratorio</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“Predicción y Clasificación en la Industria Azucarera”</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Algoritmos y Programación III</w:t>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Milton Orlando Paja Sarria</w:t>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Heiner Danit Rincón Carrillo - A00402510</w:t>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Ruben Dario Marquinez Rincón - A00</w:t>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Simon Reyes Viveros - A00</w:t>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Juan David Ocampo Martinez- A00401856</w:t>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b w:val="1"/>
          <w:bCs w:val="1"/>
          <w:rtl w:val="0"/>
        </w:rPr>
        <w:t xml:space="preserve">Universidad ICESI</w:t>
      </w:r>
    </w:p>
    <w:p w:rsidR="00000000" w:rsidDel="00000000" w:rsidP="00000000" w:rsidRDefault="00000000" w:rsidRPr="00000000" w14:paraId="0000002B">
      <w:pPr>
        <w:jc w:val="center"/>
        <w:rPr>
          <w:b w:val="1"/>
          <w:bCs w:val="1"/>
        </w:rPr>
      </w:pPr>
      <w:r w:rsidDel="00000000" w:rsidR="00000000" w:rsidRPr="00000000">
        <w:rPr>
          <w:b w:val="1"/>
          <w:bCs w:val="1"/>
          <w:rtl w:val="0"/>
        </w:rPr>
        <w:t xml:space="preserve">Cali, Valle del Cauca</w:t>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30 de abril del 2026</w:t>
      </w:r>
    </w:p>
    <w:p w:rsidR="00000000" w:rsidDel="00000000" w:rsidP="00000000" w:rsidRDefault="00000000" w:rsidRPr="00000000" w14:paraId="0000002D">
      <w:pPr>
        <w:jc w:val="both"/>
        <w:rPr>
          <w:b w:val="1"/>
          <w:bCs w:val="1"/>
        </w:rPr>
      </w:pPr>
      <w:r w:rsidDel="00000000" w:rsidR="00000000" w:rsidRPr="00000000">
        <w:rPr>
          <w:b w:val="1"/>
          <w:bCs w:val="1"/>
          <w:rtl w:val="0"/>
        </w:rPr>
        <w:t xml:space="preserve">TAREA 1: Introducción y Contexto del Negocio</w:t>
      </w:r>
    </w:p>
    <w:p w:rsidR="00000000" w:rsidDel="00000000" w:rsidP="00000000" w:rsidRDefault="00000000" w:rsidRPr="00000000" w14:paraId="0000002E">
      <w:pPr>
        <w:jc w:val="both"/>
        <w:rPr>
          <w:b w:val="1"/>
          <w:bCs w:val="1"/>
        </w:rPr>
      </w:pP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jc w:val="both"/>
        <w:rPr>
          <w:b w:val="1"/>
          <w:bCs w:val="1"/>
          <w:color w:val="000000"/>
          <w:sz w:val="22"/>
          <w:szCs w:val="22"/>
        </w:rPr>
      </w:pPr>
      <w:bookmarkStart w:colFirst="0" w:colLast="0" w:name="_knq35k8jv3tq" w:id="0"/>
      <w:bookmarkEnd w:id="0"/>
      <w:r w:rsidDel="00000000" w:rsidR="00000000" w:rsidRPr="00000000">
        <w:rPr>
          <w:b w:val="1"/>
          <w:bCs w:val="1"/>
          <w:color w:val="000000"/>
          <w:sz w:val="22"/>
          <w:szCs w:val="22"/>
          <w:rtl w:val="0"/>
        </w:rPr>
        <w:t xml:space="preserve">1. Importancia Económica y Social del Sector Azucarero</w:t>
      </w:r>
    </w:p>
    <w:p w:rsidR="00000000" w:rsidDel="00000000" w:rsidP="00000000" w:rsidRDefault="00000000" w:rsidRPr="00000000" w14:paraId="00000030">
      <w:pPr>
        <w:spacing w:after="240" w:before="240" w:lineRule="auto"/>
        <w:jc w:val="both"/>
        <w:rPr>
          <w:color w:val="1155cc"/>
          <w:u w:val="single"/>
        </w:rPr>
      </w:pPr>
      <w:r w:rsidDel="00000000" w:rsidR="00000000" w:rsidRPr="00000000">
        <w:rPr>
          <w:rtl w:val="0"/>
        </w:rPr>
        <w:t xml:space="preserve">El sector azucarero colombiano es uno de los pilares agroindustriales del país. El área sembrada en caña de azúcar suma 298.000 hectáreas en Colombia, siendo el tercer cultivo más extendido después del café y la palma de aceite. La agroindustria muele al año cerca de 24 millones de toneladas de caña, produciendo 2,2 millones de toneladas de azúcar, 438 millones de litros de etanol y 1.637 GWh de energía, suficiente para abastecer a un departamento como el Valle del Cauca.</w:t>
      </w:r>
      <w:r w:rsidDel="00000000" w:rsidR="00000000" w:rsidRPr="00000000">
        <w:rPr>
          <w:rtl w:val="0"/>
        </w:rPr>
      </w:r>
    </w:p>
    <w:p w:rsidR="00000000" w:rsidDel="00000000" w:rsidP="00000000" w:rsidRDefault="00000000" w:rsidRPr="00000000" w14:paraId="00000031">
      <w:pPr>
        <w:spacing w:after="240" w:before="240" w:lineRule="auto"/>
        <w:jc w:val="both"/>
        <w:rPr>
          <w:color w:val="1155cc"/>
          <w:u w:val="single"/>
        </w:rPr>
      </w:pPr>
      <w:r w:rsidDel="00000000" w:rsidR="00000000" w:rsidRPr="00000000">
        <w:rPr>
          <w:rtl w:val="0"/>
        </w:rPr>
        <w:t xml:space="preserve">En términos de impacto social, el 65% de las familias de los municipios cañeros están vinculadas de alguna forma a esta industria, con distintos miembros del núcleo familiar involucrados en campo, fábrica o industria alimentaria. A nivel territorial, la caña de azúcar abarca unas 189.000 hectáreas del Valle del Cauca, transformando tanto el paisaje como la economía regional.</w:t>
      </w:r>
      <w:hyperlink r:id="rId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tl w:val="0"/>
        </w:rPr>
        <w:t xml:space="preserve">En cuanto a la producción específica, Colombia alcanzó 23 millones de toneladas de caña producidas, 2,09 millones de toneladas de azúcar y 347 millones de litros de bioetanol para 2022, según datos de Asocaña.</w:t>
      </w:r>
      <w:hyperlink r:id="rId7">
        <w:r w:rsidDel="00000000" w:rsidR="00000000" w:rsidRPr="00000000">
          <w:rPr>
            <w:rtl w:val="0"/>
          </w:rPr>
          <w:t xml:space="preserve"> </w:t>
        </w:r>
      </w:hyperlink>
      <w:r w:rsidDel="00000000" w:rsidR="00000000" w:rsidRPr="00000000">
        <w:rPr>
          <w:rtl w:val="0"/>
        </w:rPr>
        <w:t xml:space="preserve">Adicionalmente, el sector azucarero colombiano agrupa 13 ingenios ubicados en el Valle del Cauca. A nivel nacional, el sector representa el 0,6% del PIB total y el 2,4% del PIB agrícola, mientras que a nivel regional constituye el 34% del PIB agrícola del Valle del Cauca, según datos de Asocaña</w:t>
      </w:r>
    </w:p>
    <w:p w:rsidR="00000000" w:rsidDel="00000000" w:rsidP="00000000" w:rsidRDefault="00000000" w:rsidRPr="00000000" w14:paraId="00000033">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2. Factores Clave del Rendimiento</w:t>
      </w:r>
    </w:p>
    <w:p w:rsidR="00000000" w:rsidDel="00000000" w:rsidP="00000000" w:rsidRDefault="00000000" w:rsidRPr="00000000" w14:paraId="00000034">
      <w:pPr>
        <w:pStyle w:val="Heading5"/>
        <w:keepNext w:val="0"/>
        <w:keepLines w:val="0"/>
        <w:spacing w:after="40" w:before="220" w:lineRule="auto"/>
        <w:jc w:val="both"/>
        <w:rPr>
          <w:b w:val="1"/>
          <w:bCs w:val="1"/>
          <w:color w:val="000000"/>
          <w:sz w:val="20"/>
          <w:szCs w:val="20"/>
        </w:rPr>
      </w:pPr>
      <w:bookmarkStart w:colFirst="0" w:colLast="0" w:name="_q5atsnlfrcnu" w:id="1"/>
      <w:bookmarkEnd w:id="1"/>
      <w:r w:rsidDel="00000000" w:rsidR="00000000" w:rsidRPr="00000000">
        <w:rPr>
          <w:b w:val="1"/>
          <w:bCs w:val="1"/>
          <w:color w:val="000000"/>
          <w:sz w:val="20"/>
          <w:szCs w:val="20"/>
          <w:rtl w:val="0"/>
        </w:rPr>
        <w:t xml:space="preserve">2.1 TCH (Toneladas de Caña por Hectárea)</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Colombia se distingue globalmente por su alta productividad. El promedio de rendimiento del país está en 120 t/ha, el doble del promedio mundial de 60 t/ha.</w:t>
      </w:r>
      <w:hyperlink r:id="rId8">
        <w:r w:rsidDel="00000000" w:rsidR="00000000" w:rsidRPr="00000000">
          <w:rPr>
            <w:rtl w:val="0"/>
          </w:rPr>
          <w:t xml:space="preserve"> </w:t>
        </w:r>
      </w:hyperlink>
      <w:r w:rsidDel="00000000" w:rsidR="00000000" w:rsidRPr="00000000">
        <w:rPr>
          <w:rtl w:val="0"/>
        </w:rPr>
        <w:t xml:space="preserve">Sin embargo, este indicador es sensible a múltiples factores: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Condiciones climáticas (lluvias):</w:t>
      </w:r>
      <w:r w:rsidDel="00000000" w:rsidR="00000000" w:rsidRPr="00000000">
        <w:rPr>
          <w:rtl w:val="0"/>
        </w:rPr>
        <w:t xml:space="preserve"> El nivel de precipitaciones derivado del Fenómeno de La Niña se incrementó por encima del 25% del nivel promedio histórico de 1.288 mm/año, llegando a 1.600 mm/año entre 2021 y 2022, lo que redujo el rendimiento de 127 t/ha a 102 t/ha.</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Edad del cultivo al corte:</w:t>
      </w:r>
      <w:r w:rsidDel="00000000" w:rsidR="00000000" w:rsidRPr="00000000">
        <w:rPr>
          <w:rtl w:val="0"/>
        </w:rPr>
        <w:t xml:space="preserve"> Más del 50% de las suertes cosechadas tenían menos de 12 meses de edad, lo que afectó directamente la productividad.</w:t>
      </w:r>
      <w:hyperlink r:id="rId10">
        <w:r w:rsidDel="00000000" w:rsidR="00000000" w:rsidRPr="00000000">
          <w:rPr>
            <w:rtl w:val="0"/>
          </w:rPr>
          <w:t xml:space="preserve"> </w:t>
        </w:r>
      </w:hyperlink>
      <w:r w:rsidDel="00000000" w:rsidR="00000000" w:rsidRPr="00000000">
        <w:rPr>
          <w:rtl w:val="0"/>
        </w:rPr>
        <w:t xml:space="preserve">Una suerte cosechada antes de su madurez completa no alcanza su máximo potencial en TCH.</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Factores agronómicos generales:</w:t>
      </w:r>
      <w:r w:rsidDel="00000000" w:rsidR="00000000" w:rsidRPr="00000000">
        <w:rPr>
          <w:rtl w:val="0"/>
        </w:rPr>
        <w:t xml:space="preserve"> El tipo de suelo, la fertilización, el manejo hídrico, la variedad, la edad del cultivo (planta, soca o resoca) y la disponibilidad de agua tienen relación directa en la productividad del cultivo.</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5"/>
        <w:keepNext w:val="0"/>
        <w:keepLines w:val="0"/>
        <w:spacing w:after="40" w:before="220" w:lineRule="auto"/>
        <w:jc w:val="both"/>
        <w:rPr>
          <w:b w:val="1"/>
          <w:bCs w:val="1"/>
          <w:color w:val="000000"/>
          <w:sz w:val="20"/>
          <w:szCs w:val="20"/>
        </w:rPr>
      </w:pPr>
      <w:bookmarkStart w:colFirst="0" w:colLast="0" w:name="_7rmgsdixwfj2" w:id="2"/>
      <w:bookmarkEnd w:id="2"/>
      <w:r w:rsidDel="00000000" w:rsidR="00000000" w:rsidRPr="00000000">
        <w:rPr>
          <w:b w:val="1"/>
          <w:bCs w:val="1"/>
          <w:color w:val="000000"/>
          <w:sz w:val="20"/>
          <w:szCs w:val="20"/>
          <w:rtl w:val="0"/>
        </w:rPr>
        <w:t xml:space="preserve">2.2 Porcentaje de Sacarosa (%Sac.Caña)</w:t>
      </w:r>
    </w:p>
    <w:p w:rsidR="00000000" w:rsidDel="00000000" w:rsidP="00000000" w:rsidRDefault="00000000" w:rsidRPr="00000000" w14:paraId="0000003C">
      <w:pPr>
        <w:spacing w:after="240" w:before="240" w:lineRule="auto"/>
        <w:jc w:val="both"/>
        <w:rPr>
          <w:color w:val="1155cc"/>
          <w:u w:val="single"/>
        </w:rPr>
      </w:pPr>
      <w:r w:rsidDel="00000000" w:rsidR="00000000" w:rsidRPr="00000000">
        <w:rPr>
          <w:rtl w:val="0"/>
        </w:rPr>
        <w:t xml:space="preserve">La caña de azúcar almacena entre 10-18% de sacarosa en los internudos, dependiendo de la variedad y de las condiciones agroclimáticas, así como de la etapa de desarrollo (planta, soca o resoca), el suelo, la fertilización, el clima, la temperatura y las plagas.</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t xml:space="preserve">La maduración es el factor más crítico para el contenido de sacarosa. Los contenidos de sacarosa aumentan conforme avanzan las fechas de maduración, ya que a medida que la caña madura acumula azúcares en tallos, aunque también los consume para mantener sus funciones fisiológicas a medida que crece.</w:t>
      </w:r>
      <w:hyperlink r:id="rId12">
        <w:r w:rsidDel="00000000" w:rsidR="00000000" w:rsidRPr="00000000">
          <w:rPr>
            <w:rtl w:val="0"/>
          </w:rPr>
          <w:t xml:space="preserve"> </w:t>
        </w:r>
      </w:hyperlink>
      <w:r w:rsidDel="00000000" w:rsidR="00000000" w:rsidRPr="00000000">
        <w:rPr>
          <w:rtl w:val="0"/>
        </w:rPr>
        <w:t xml:space="preserve">Por esto, la dosis y las semanas de aplicación de madurante son variables predictoras clave.</w:t>
      </w:r>
    </w:p>
    <w:p w:rsidR="00000000" w:rsidDel="00000000" w:rsidP="00000000" w:rsidRDefault="00000000" w:rsidRPr="00000000" w14:paraId="0000003E">
      <w:pPr>
        <w:pStyle w:val="Heading4"/>
        <w:keepNext w:val="0"/>
        <w:keepLines w:val="0"/>
        <w:spacing w:after="40" w:before="240" w:lineRule="auto"/>
        <w:jc w:val="both"/>
        <w:rPr>
          <w:b w:val="1"/>
          <w:bCs w:val="1"/>
          <w:color w:val="000000"/>
          <w:sz w:val="22"/>
          <w:szCs w:val="22"/>
        </w:rPr>
      </w:pPr>
      <w:bookmarkStart w:colFirst="0" w:colLast="0" w:name="_nh61dastu9rj" w:id="3"/>
      <w:bookmarkEnd w:id="3"/>
      <w:r w:rsidDel="00000000" w:rsidR="00000000" w:rsidRPr="00000000">
        <w:rPr>
          <w:b w:val="1"/>
          <w:bCs w:val="1"/>
          <w:color w:val="000000"/>
          <w:sz w:val="22"/>
          <w:szCs w:val="22"/>
          <w:rtl w:val="0"/>
        </w:rPr>
        <w:t xml:space="preserve">3. El Ingenio Providencia: Características y Prácticas de Sostenibilidad</w:t>
      </w:r>
    </w:p>
    <w:p w:rsidR="00000000" w:rsidDel="00000000" w:rsidP="00000000" w:rsidRDefault="00000000" w:rsidRPr="00000000" w14:paraId="0000003F">
      <w:pPr>
        <w:spacing w:after="240" w:before="240" w:lineRule="auto"/>
        <w:jc w:val="both"/>
        <w:rPr>
          <w:color w:val="1155cc"/>
          <w:u w:val="single"/>
        </w:rPr>
      </w:pPr>
      <w:r w:rsidDel="00000000" w:rsidR="00000000" w:rsidRPr="00000000">
        <w:rPr>
          <w:rtl w:val="0"/>
        </w:rPr>
        <w:t xml:space="preserve">El Ingenio Providencia, ubicado en el municipio de El Cerrito, Valle del Cauca, procesa más de 3,3 millones de toneladas de caña al año, toda cosechada en verde y de manera completamente mecanizada.</w:t>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t xml:space="preserve">Su modelo diferencial radica en la sostenibilidad avanzada:</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Es el único ingenio azucarero en el mundo con certificación como Empresa B, además de certificaciones en sostenibilidad (Bonsucro), inocuidad alimentaria (FSSC 22000) y seguridad en comercio exterior (BASC).</w:t>
      </w:r>
      <w:r w:rsidDel="00000000" w:rsidR="00000000" w:rsidRPr="00000000">
        <w:rPr>
          <w:rtl w:val="0"/>
        </w:rPr>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Desde 1999, Providencia decidió cultivar caña de origen orgánico, sin herbicidas ni fertilizantes químicos, siendo el primer ingenio colombiano en desarrollar un producto 100% orgánico.</w:t>
      </w:r>
      <w:hyperlink r:id="rId13">
        <w:r w:rsidDel="00000000" w:rsidR="00000000" w:rsidRPr="00000000">
          <w:rPr>
            <w:rtl w:val="0"/>
          </w:rPr>
          <w:t xml:space="preserve"> </w:t>
        </w:r>
      </w:hyperlink>
      <w:r w:rsidDel="00000000" w:rsidR="00000000" w:rsidRPr="00000000">
        <w:rPr>
          <w:rtl w:val="0"/>
        </w:rPr>
        <w:t xml:space="preserve">La producción orgánica ha crecido de 6.109 toneladas en 1999 a más de 400.000 toneladas anuales.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Implementa un sistema de riego mecanizado de alta frecuencia, aplica tecnologías de agricultura de precisión, y genera el 90% de su energía mediante cogeneración con biomasa (bagazo de caña).</w:t>
      </w:r>
      <w:hyperlink r:id="rId1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Genera 3.500 empleos directos y sus programas sociales benefician a 4.000 personas al año con educación, formación tecnológica y primera infancia.</w:t>
      </w:r>
      <w:r w:rsidDel="00000000" w:rsidR="00000000" w:rsidRPr="00000000">
        <w:rPr>
          <w:rtl w:val="0"/>
        </w:rPr>
      </w:r>
    </w:p>
    <w:p w:rsidR="00000000" w:rsidDel="00000000" w:rsidP="00000000" w:rsidRDefault="00000000" w:rsidRPr="00000000" w14:paraId="00000045">
      <w:pPr>
        <w:spacing w:after="240" w:before="240" w:lineRule="auto"/>
        <w:jc w:val="both"/>
        <w:rPr/>
      </w:pPr>
      <w:r w:rsidDel="00000000" w:rsidR="00000000" w:rsidRPr="00000000">
        <w:rPr>
          <w:b w:val="1"/>
          <w:bCs w:val="1"/>
          <w:rtl w:val="0"/>
        </w:rPr>
        <w:t xml:space="preserve">Implicación para los datos:</w:t>
      </w:r>
      <w:r w:rsidDel="00000000" w:rsidR="00000000" w:rsidRPr="00000000">
        <w:rPr>
          <w:rtl w:val="0"/>
        </w:rPr>
        <w:t xml:space="preserve"> La coexistencia de producción orgánica y convencional en Providencia implica diferencias sistemáticas en variables como dosis de agroquímicos, rendimientos por suerte y variedad usada. Los datos históricos deben interpretarse considerando este contexto mixto.</w:t>
      </w:r>
    </w:p>
    <w:p w:rsidR="00000000" w:rsidDel="00000000" w:rsidP="00000000" w:rsidRDefault="00000000" w:rsidRPr="00000000" w14:paraId="00000046">
      <w:pPr>
        <w:pStyle w:val="Heading4"/>
        <w:keepNext w:val="0"/>
        <w:keepLines w:val="0"/>
        <w:spacing w:after="40" w:before="240" w:lineRule="auto"/>
        <w:jc w:val="both"/>
        <w:rPr>
          <w:b w:val="1"/>
          <w:bCs w:val="1"/>
          <w:color w:val="000000"/>
          <w:sz w:val="22"/>
          <w:szCs w:val="22"/>
        </w:rPr>
      </w:pPr>
      <w:bookmarkStart w:colFirst="0" w:colLast="0" w:name="_76w42dkirnn1" w:id="4"/>
      <w:bookmarkEnd w:id="4"/>
      <w:r w:rsidDel="00000000" w:rsidR="00000000" w:rsidRPr="00000000">
        <w:rPr>
          <w:b w:val="1"/>
          <w:bCs w:val="1"/>
          <w:color w:val="000000"/>
          <w:sz w:val="22"/>
          <w:szCs w:val="22"/>
          <w:rtl w:val="0"/>
        </w:rPr>
        <w:t xml:space="preserve">4. Estado del Arte: Machine Learning en Predicción de Rendimientos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El uso de ML en agricultura de precisión ha mostrado resultados sólidos para cultivos de caña:</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Los algoritmos más utilizados en la literatura son Random Forest y la regresión múltiple, mientras que las variables más frecuentes son las climáticas (temperatura, precipitación, evapotranspiración) y las de cultivo como el número de cortes.</w:t>
      </w:r>
      <w:r w:rsidDel="00000000" w:rsidR="00000000" w:rsidRPr="00000000">
        <w:rPr>
          <w:rtl w:val="0"/>
        </w:rPr>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El modelo de Random Forest presentó el mejor rendimiento para predicción de sacarosa, con valores de R² entre 0,75 y 0,95 y RMSE de 0,71 a 1,28 Brix°.</w:t>
      </w:r>
      <w:hyperlink r:id="rId1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La producción de caña de azúcar responde de manera no lineal a combinaciones específicas de precipitación y temperatura, un patrón difícil de modelar con técnicas estadísticas convencionales, lo que justifica el uso de modelos avanzados como XGBoost o redes neuronales.</w:t>
      </w:r>
      <w:hyperlink r:id="rId1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Casi todos los estudios utilizaron RMSE y R² como métricas de evaluación de calidad del modelo, y la mayoría de los modelos de ML tuvieron resultados de alta precisión.</w:t>
      </w:r>
      <w:hyperlink r:id="rId1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tl w:val="0"/>
        </w:rPr>
        <w:t xml:space="preserve">Esto sustenta la estrategia del taller: partir de regresión lineal como benchmark e ir escalando hacia Random Forest y XGBoost, que capturan relaciones no lineales entre lluvias, tipo de suelo, variedad y edad del cultivo.</w:t>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right"/>
        <w:rPr>
          <w:b w:val="1"/>
          <w:bCs w:val="1"/>
        </w:rPr>
      </w:pPr>
      <w:r w:rsidDel="00000000" w:rsidR="00000000" w:rsidRPr="00000000">
        <w:rPr>
          <w:rtl w:val="0"/>
        </w:rPr>
      </w:r>
    </w:p>
    <w:p w:rsidR="00000000" w:rsidDel="00000000" w:rsidP="00000000" w:rsidRDefault="00000000" w:rsidRPr="00000000" w14:paraId="00000051">
      <w:pPr>
        <w:jc w:val="right"/>
        <w:rPr>
          <w:b w:val="1"/>
          <w:bCs w:val="1"/>
        </w:rPr>
      </w:pPr>
      <w:r w:rsidDel="00000000" w:rsidR="00000000" w:rsidRPr="00000000">
        <w:rPr>
          <w:rtl w:val="0"/>
        </w:rPr>
      </w:r>
    </w:p>
    <w:p w:rsidR="00000000" w:rsidDel="00000000" w:rsidP="00000000" w:rsidRDefault="00000000" w:rsidRPr="00000000" w14:paraId="00000052">
      <w:pPr>
        <w:jc w:val="right"/>
        <w:rPr>
          <w:b w:val="1"/>
          <w:bCs w:val="1"/>
        </w:rPr>
      </w:pPr>
      <w:r w:rsidDel="00000000" w:rsidR="00000000" w:rsidRPr="00000000">
        <w:rPr>
          <w:rtl w:val="0"/>
        </w:rPr>
      </w:r>
    </w:p>
    <w:p w:rsidR="00000000" w:rsidDel="00000000" w:rsidP="00000000" w:rsidRDefault="00000000" w:rsidRPr="00000000" w14:paraId="00000053">
      <w:pPr>
        <w:jc w:val="right"/>
        <w:rPr>
          <w:b w:val="1"/>
          <w:bCs w:val="1"/>
        </w:rPr>
      </w:pPr>
      <w:r w:rsidDel="00000000" w:rsidR="00000000" w:rsidRPr="00000000">
        <w:rPr>
          <w:rtl w:val="0"/>
        </w:rPr>
      </w:r>
    </w:p>
    <w:p w:rsidR="00000000" w:rsidDel="00000000" w:rsidP="00000000" w:rsidRDefault="00000000" w:rsidRPr="00000000" w14:paraId="00000054">
      <w:pPr>
        <w:jc w:val="right"/>
        <w:rPr>
          <w:b w:val="1"/>
          <w:bCs w:val="1"/>
        </w:rPr>
      </w:pPr>
      <w:r w:rsidDel="00000000" w:rsidR="00000000" w:rsidRPr="00000000">
        <w:rPr>
          <w:rtl w:val="0"/>
        </w:rPr>
      </w:r>
    </w:p>
    <w:p w:rsidR="00000000" w:rsidDel="00000000" w:rsidP="00000000" w:rsidRDefault="00000000" w:rsidRPr="00000000" w14:paraId="00000055">
      <w:pPr>
        <w:jc w:val="right"/>
        <w:rPr>
          <w:b w:val="1"/>
          <w:bCs w:val="1"/>
        </w:rPr>
      </w:pPr>
      <w:r w:rsidDel="00000000" w:rsidR="00000000" w:rsidRPr="00000000">
        <w:rPr>
          <w:rtl w:val="0"/>
        </w:rPr>
      </w:r>
    </w:p>
    <w:p w:rsidR="00000000" w:rsidDel="00000000" w:rsidP="00000000" w:rsidRDefault="00000000" w:rsidRPr="00000000" w14:paraId="00000056">
      <w:pPr>
        <w:jc w:val="right"/>
        <w:rPr>
          <w:b w:val="1"/>
          <w:bCs w:val="1"/>
        </w:rPr>
      </w:pPr>
      <w:r w:rsidDel="00000000" w:rsidR="00000000" w:rsidRPr="00000000">
        <w:rPr>
          <w:rtl w:val="0"/>
        </w:rPr>
      </w:r>
    </w:p>
    <w:p w:rsidR="00000000" w:rsidDel="00000000" w:rsidP="00000000" w:rsidRDefault="00000000" w:rsidRPr="00000000" w14:paraId="00000057">
      <w:pPr>
        <w:jc w:val="right"/>
        <w:rPr>
          <w:b w:val="1"/>
          <w:bCs w:val="1"/>
        </w:rPr>
      </w:pPr>
      <w:r w:rsidDel="00000000" w:rsidR="00000000" w:rsidRPr="00000000">
        <w:rPr>
          <w:rtl w:val="0"/>
        </w:rPr>
      </w:r>
    </w:p>
    <w:p w:rsidR="00000000" w:rsidDel="00000000" w:rsidP="00000000" w:rsidRDefault="00000000" w:rsidRPr="00000000" w14:paraId="00000058">
      <w:pPr>
        <w:jc w:val="right"/>
        <w:rPr>
          <w:b w:val="1"/>
          <w:bCs w:val="1"/>
        </w:rPr>
      </w:pPr>
      <w:r w:rsidDel="00000000" w:rsidR="00000000" w:rsidRPr="00000000">
        <w:rPr>
          <w:rtl w:val="0"/>
        </w:rPr>
      </w:r>
    </w:p>
    <w:p w:rsidR="00000000" w:rsidDel="00000000" w:rsidP="00000000" w:rsidRDefault="00000000" w:rsidRPr="00000000" w14:paraId="00000059">
      <w:pPr>
        <w:jc w:val="right"/>
        <w:rPr>
          <w:b w:val="1"/>
          <w:bCs w:val="1"/>
        </w:rPr>
      </w:pPr>
      <w:r w:rsidDel="00000000" w:rsidR="00000000" w:rsidRPr="00000000">
        <w:rPr>
          <w:rtl w:val="0"/>
        </w:rPr>
      </w:r>
    </w:p>
    <w:p w:rsidR="00000000" w:rsidDel="00000000" w:rsidP="00000000" w:rsidRDefault="00000000" w:rsidRPr="00000000" w14:paraId="0000005A">
      <w:pPr>
        <w:jc w:val="right"/>
        <w:rPr>
          <w:b w:val="1"/>
          <w:bCs w:val="1"/>
        </w:rPr>
      </w:pPr>
      <w:r w:rsidDel="00000000" w:rsidR="00000000" w:rsidRPr="00000000">
        <w:rPr>
          <w:rtl w:val="0"/>
        </w:rPr>
      </w:r>
    </w:p>
    <w:p w:rsidR="00000000" w:rsidDel="00000000" w:rsidP="00000000" w:rsidRDefault="00000000" w:rsidRPr="00000000" w14:paraId="0000005B">
      <w:pPr>
        <w:jc w:val="right"/>
        <w:rPr>
          <w:b w:val="1"/>
          <w:bCs w:val="1"/>
        </w:rPr>
      </w:pPr>
      <w:r w:rsidDel="00000000" w:rsidR="00000000" w:rsidRPr="00000000">
        <w:rPr>
          <w:rtl w:val="0"/>
        </w:rPr>
      </w:r>
    </w:p>
    <w:p w:rsidR="00000000" w:rsidDel="00000000" w:rsidP="00000000" w:rsidRDefault="00000000" w:rsidRPr="00000000" w14:paraId="0000005C">
      <w:pPr>
        <w:jc w:val="right"/>
        <w:rPr>
          <w:b w:val="1"/>
          <w:bCs w:val="1"/>
        </w:rPr>
      </w:pPr>
      <w:r w:rsidDel="00000000" w:rsidR="00000000" w:rsidRPr="00000000">
        <w:rPr>
          <w:rtl w:val="0"/>
        </w:rPr>
      </w:r>
    </w:p>
    <w:p w:rsidR="00000000" w:rsidDel="00000000" w:rsidP="00000000" w:rsidRDefault="00000000" w:rsidRPr="00000000" w14:paraId="0000005D">
      <w:pPr>
        <w:jc w:val="right"/>
        <w:rPr>
          <w:b w:val="1"/>
          <w:bCs w:val="1"/>
        </w:rPr>
      </w:pPr>
      <w:r w:rsidDel="00000000" w:rsidR="00000000" w:rsidRPr="00000000">
        <w:rPr>
          <w:rtl w:val="0"/>
        </w:rPr>
      </w:r>
    </w:p>
    <w:p w:rsidR="00000000" w:rsidDel="00000000" w:rsidP="00000000" w:rsidRDefault="00000000" w:rsidRPr="00000000" w14:paraId="0000005E">
      <w:pPr>
        <w:jc w:val="right"/>
        <w:rPr>
          <w:b w:val="1"/>
          <w:bCs w:val="1"/>
        </w:rPr>
      </w:pPr>
      <w:r w:rsidDel="00000000" w:rsidR="00000000" w:rsidRPr="00000000">
        <w:rPr>
          <w:rtl w:val="0"/>
        </w:rPr>
      </w:r>
    </w:p>
    <w:p w:rsidR="00000000" w:rsidDel="00000000" w:rsidP="00000000" w:rsidRDefault="00000000" w:rsidRPr="00000000" w14:paraId="0000005F">
      <w:pPr>
        <w:jc w:val="left"/>
        <w:rPr>
          <w:b w:val="1"/>
          <w:bCs w:val="1"/>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dalyc.org/journal/2631/263153520017/movil/" TargetMode="External"/><Relationship Id="rId10" Type="http://schemas.openxmlformats.org/officeDocument/2006/relationships/hyperlink" Target="https://www.larepublica.co/economia/rendimiento-de-la-cana-de-azucar-en-colombia-duplica-el-promedio-mundial-3876015" TargetMode="External"/><Relationship Id="rId13" Type="http://schemas.openxmlformats.org/officeDocument/2006/relationships/hyperlink" Target="https://www.semana.com/ingenio-providencia-un-motor-de-sostenibilidad-a-base-de-azucar-organico/688551/" TargetMode="External"/><Relationship Id="rId12" Type="http://schemas.openxmlformats.org/officeDocument/2006/relationships/hyperlink" Target="https://www.researchgate.net/publication/378654780_EL_MACHINE_LEARNING_Y_LA_TELEDETECCION_PARA_MONITOREAR_LA_MADURACION_DE_LA_CANA_DE_AZUCAR_MACHINE_LEARNING_AND_REMOTE_SENSING_TO_MONITOR_THE_MATURATION_OF_SUGARCA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republica.co/economia/rendimiento-de-la-cana-de-azucar-en-colombia-duplica-el-promedio-mundial-3876015" TargetMode="External"/><Relationship Id="rId15" Type="http://schemas.openxmlformats.org/officeDocument/2006/relationships/hyperlink" Target="https://www.researchgate.net/publication/378654780_EL_MACHINE_LEARNING_Y_LA_TELEDETECCION_PARA_MONITOREAR_LA_MADURACION_DE_LA_CANA_DE_AZUCAR_MACHINE_LEARNING_AND_REMOTE_SENSING_TO_MONITOR_THE_MATURATION_OF_SUGARCANE" TargetMode="External"/><Relationship Id="rId14" Type="http://schemas.openxmlformats.org/officeDocument/2006/relationships/hyperlink" Target="https://www.eltiempo.com/economia/sectores/ingenio-providencia-empresa-del-sector-azucarero-en-valle-del-cauca-expone-su-modelo-agroindustrial-sostenible-y-educativo-3472694" TargetMode="External"/><Relationship Id="rId17" Type="http://schemas.openxmlformats.org/officeDocument/2006/relationships/hyperlink" Target="https://www.siiba.conadesuca.gob.mx/siiaca/Consulta/verDoc.aspx?num=1706" TargetMode="External"/><Relationship Id="rId16" Type="http://schemas.openxmlformats.org/officeDocument/2006/relationships/hyperlink" Target="http://technologyrain.com.ar/index.php/trj/article/download/66/205" TargetMode="External"/><Relationship Id="rId5" Type="http://schemas.openxmlformats.org/officeDocument/2006/relationships/styles" Target="styles.xml"/><Relationship Id="rId6" Type="http://schemas.openxmlformats.org/officeDocument/2006/relationships/hyperlink" Target="https://www.semana.com/mejor-colombia/articulo/que-impacto-tiene-la-cana-de-azucar-en-la-calidad-de-vida-de-los-habitantes-del-valle-del-cauca/202400/" TargetMode="External"/><Relationship Id="rId7" Type="http://schemas.openxmlformats.org/officeDocument/2006/relationships/hyperlink" Target="https://www.larepublica.co/economia/rendimiento-de-la-cana-de-azucar-en-colombia-duplica-el-promedio-mundial-3876015" TargetMode="External"/><Relationship Id="rId8" Type="http://schemas.openxmlformats.org/officeDocument/2006/relationships/hyperlink" Target="https://www.larepublica.co/economia/rendimiento-de-la-cana-de-azucar-en-colombia-duplica-el-promedio-mundial-3876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