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rPr>
      </w:pPr>
      <w:r w:rsidDel="00000000" w:rsidR="00000000" w:rsidRPr="00000000">
        <w:rPr>
          <w:b w:val="1"/>
          <w:bCs w:val="1"/>
          <w:rtl w:val="0"/>
        </w:rPr>
        <w:t xml:space="preserve">Informe de Laboratorio</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“Predicción y Clasificación en la Industria Azucarera”</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b w:val="1"/>
          <w:bCs w:val="1"/>
          <w:rtl w:val="0"/>
        </w:rPr>
        <w:t xml:space="preserve">Algoritmos y Programación III</w:t>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b w:val="1"/>
          <w:bCs w:val="1"/>
          <w:rtl w:val="0"/>
        </w:rPr>
        <w:t xml:space="preserve">Milton Orlando Paja Sarria</w:t>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rtl w:val="0"/>
        </w:rPr>
      </w:r>
    </w:p>
    <w:p w:rsidR="00000000" w:rsidDel="00000000" w:rsidP="00000000" w:rsidRDefault="00000000" w:rsidRPr="00000000" w14:paraId="00000018">
      <w:pPr>
        <w:jc w:val="center"/>
        <w:rPr>
          <w:b w:val="1"/>
          <w:bCs w:val="1"/>
        </w:rPr>
      </w:pPr>
      <w:r w:rsidDel="00000000" w:rsidR="00000000" w:rsidRPr="00000000">
        <w:rPr>
          <w:rtl w:val="0"/>
        </w:rPr>
      </w:r>
    </w:p>
    <w:p w:rsidR="00000000" w:rsidDel="00000000" w:rsidP="00000000" w:rsidRDefault="00000000" w:rsidRPr="00000000" w14:paraId="00000019">
      <w:pPr>
        <w:jc w:val="center"/>
        <w:rPr>
          <w:b w:val="1"/>
          <w:bCs w:val="1"/>
        </w:rPr>
      </w:pPr>
      <w:r w:rsidDel="00000000" w:rsidR="00000000" w:rsidRPr="00000000">
        <w:rPr>
          <w:b w:val="1"/>
          <w:bCs w:val="1"/>
          <w:rtl w:val="0"/>
        </w:rPr>
        <w:t xml:space="preserve">Heiner Danit Rincón Carrillo - A00402510</w:t>
      </w:r>
    </w:p>
    <w:p w:rsidR="00000000" w:rsidDel="00000000" w:rsidP="00000000" w:rsidRDefault="00000000" w:rsidRPr="00000000" w14:paraId="0000001A">
      <w:pPr>
        <w:jc w:val="center"/>
        <w:rPr>
          <w:b w:val="1"/>
          <w:bCs w:val="1"/>
        </w:rPr>
      </w:pPr>
      <w:r w:rsidDel="00000000" w:rsidR="00000000" w:rsidRPr="00000000">
        <w:rPr>
          <w:b w:val="1"/>
          <w:bCs w:val="1"/>
          <w:rtl w:val="0"/>
        </w:rPr>
        <w:t xml:space="preserve">Ruben Dario Marquinez Rincón - A00</w:t>
      </w:r>
    </w:p>
    <w:p w:rsidR="00000000" w:rsidDel="00000000" w:rsidP="00000000" w:rsidRDefault="00000000" w:rsidRPr="00000000" w14:paraId="0000001B">
      <w:pPr>
        <w:jc w:val="center"/>
        <w:rPr>
          <w:b w:val="1"/>
          <w:bCs w:val="1"/>
        </w:rPr>
      </w:pPr>
      <w:r w:rsidDel="00000000" w:rsidR="00000000" w:rsidRPr="00000000">
        <w:rPr>
          <w:b w:val="1"/>
          <w:bCs w:val="1"/>
          <w:rtl w:val="0"/>
        </w:rPr>
        <w:t xml:space="preserve">Simon Reyes Viveros - A00</w:t>
      </w:r>
    </w:p>
    <w:p w:rsidR="00000000" w:rsidDel="00000000" w:rsidP="00000000" w:rsidRDefault="00000000" w:rsidRPr="00000000" w14:paraId="0000001C">
      <w:pPr>
        <w:jc w:val="center"/>
        <w:rPr>
          <w:b w:val="1"/>
          <w:bCs w:val="1"/>
        </w:rPr>
      </w:pPr>
      <w:r w:rsidDel="00000000" w:rsidR="00000000" w:rsidRPr="00000000">
        <w:rPr>
          <w:b w:val="1"/>
          <w:bCs w:val="1"/>
          <w:rtl w:val="0"/>
        </w:rPr>
        <w:t xml:space="preserve">Juan David Ocampo Martinez- A00401856</w:t>
      </w:r>
    </w:p>
    <w:p w:rsidR="00000000" w:rsidDel="00000000" w:rsidP="00000000" w:rsidRDefault="00000000" w:rsidRPr="00000000" w14:paraId="0000001D">
      <w:pPr>
        <w:jc w:val="center"/>
        <w:rPr>
          <w:b w:val="1"/>
          <w:bCs w:val="1"/>
        </w:rPr>
      </w:pPr>
      <w:r w:rsidDel="00000000" w:rsidR="00000000" w:rsidRPr="00000000">
        <w:rPr>
          <w:rtl w:val="0"/>
        </w:rPr>
      </w:r>
    </w:p>
    <w:p w:rsidR="00000000" w:rsidDel="00000000" w:rsidP="00000000" w:rsidRDefault="00000000" w:rsidRPr="00000000" w14:paraId="0000001E">
      <w:pPr>
        <w:jc w:val="center"/>
        <w:rPr>
          <w:b w:val="1"/>
          <w:bCs w:val="1"/>
        </w:rPr>
      </w:pPr>
      <w:r w:rsidDel="00000000" w:rsidR="00000000" w:rsidRPr="00000000">
        <w:rPr>
          <w:rtl w:val="0"/>
        </w:rPr>
      </w:r>
    </w:p>
    <w:p w:rsidR="00000000" w:rsidDel="00000000" w:rsidP="00000000" w:rsidRDefault="00000000" w:rsidRPr="00000000" w14:paraId="0000001F">
      <w:pPr>
        <w:jc w:val="center"/>
        <w:rPr>
          <w:b w:val="1"/>
          <w:bCs w:val="1"/>
        </w:rPr>
      </w:pPr>
      <w:r w:rsidDel="00000000" w:rsidR="00000000" w:rsidRPr="00000000">
        <w:rPr>
          <w:rtl w:val="0"/>
        </w:rPr>
      </w:r>
    </w:p>
    <w:p w:rsidR="00000000" w:rsidDel="00000000" w:rsidP="00000000" w:rsidRDefault="00000000" w:rsidRPr="00000000" w14:paraId="00000020">
      <w:pPr>
        <w:jc w:val="center"/>
        <w:rPr>
          <w:b w:val="1"/>
          <w:bCs w:val="1"/>
        </w:rPr>
      </w:pPr>
      <w:r w:rsidDel="00000000" w:rsidR="00000000" w:rsidRPr="00000000">
        <w:rPr>
          <w:rtl w:val="0"/>
        </w:rPr>
      </w:r>
    </w:p>
    <w:p w:rsidR="00000000" w:rsidDel="00000000" w:rsidP="00000000" w:rsidRDefault="00000000" w:rsidRPr="00000000" w14:paraId="00000021">
      <w:pPr>
        <w:jc w:val="center"/>
        <w:rPr>
          <w:b w:val="1"/>
          <w:bCs w:val="1"/>
        </w:rPr>
      </w:pPr>
      <w:r w:rsidDel="00000000" w:rsidR="00000000" w:rsidRPr="00000000">
        <w:rPr>
          <w:rtl w:val="0"/>
        </w:rPr>
      </w:r>
    </w:p>
    <w:p w:rsidR="00000000" w:rsidDel="00000000" w:rsidP="00000000" w:rsidRDefault="00000000" w:rsidRPr="00000000" w14:paraId="00000022">
      <w:pPr>
        <w:jc w:val="center"/>
        <w:rPr>
          <w:b w:val="1"/>
          <w:bCs w:val="1"/>
        </w:rPr>
      </w:pPr>
      <w:r w:rsidDel="00000000" w:rsidR="00000000" w:rsidRPr="00000000">
        <w:rPr>
          <w:rtl w:val="0"/>
        </w:rPr>
      </w:r>
    </w:p>
    <w:p w:rsidR="00000000" w:rsidDel="00000000" w:rsidP="00000000" w:rsidRDefault="00000000" w:rsidRPr="00000000" w14:paraId="00000023">
      <w:pPr>
        <w:jc w:val="center"/>
        <w:rPr>
          <w:b w:val="1"/>
          <w:bCs w:val="1"/>
        </w:rPr>
      </w:pPr>
      <w:r w:rsidDel="00000000" w:rsidR="00000000" w:rsidRPr="00000000">
        <w:rPr>
          <w:rtl w:val="0"/>
        </w:rPr>
      </w:r>
    </w:p>
    <w:p w:rsidR="00000000" w:rsidDel="00000000" w:rsidP="00000000" w:rsidRDefault="00000000" w:rsidRPr="00000000" w14:paraId="00000024">
      <w:pPr>
        <w:jc w:val="center"/>
        <w:rPr>
          <w:b w:val="1"/>
          <w:bCs w:val="1"/>
        </w:rPr>
      </w:pPr>
      <w:r w:rsidDel="00000000" w:rsidR="00000000" w:rsidRPr="00000000">
        <w:rPr>
          <w:rtl w:val="0"/>
        </w:rPr>
      </w:r>
    </w:p>
    <w:p w:rsidR="00000000" w:rsidDel="00000000" w:rsidP="00000000" w:rsidRDefault="00000000" w:rsidRPr="00000000" w14:paraId="00000025">
      <w:pPr>
        <w:jc w:val="center"/>
        <w:rPr>
          <w:b w:val="1"/>
          <w:bCs w:val="1"/>
        </w:rPr>
      </w:pPr>
      <w:r w:rsidDel="00000000" w:rsidR="00000000" w:rsidRPr="00000000">
        <w:rPr>
          <w:rtl w:val="0"/>
        </w:rPr>
      </w:r>
    </w:p>
    <w:p w:rsidR="00000000" w:rsidDel="00000000" w:rsidP="00000000" w:rsidRDefault="00000000" w:rsidRPr="00000000" w14:paraId="00000026">
      <w:pPr>
        <w:jc w:val="center"/>
        <w:rPr>
          <w:b w:val="1"/>
          <w:bCs w:val="1"/>
        </w:rPr>
      </w:pPr>
      <w:r w:rsidDel="00000000" w:rsidR="00000000" w:rsidRPr="00000000">
        <w:rPr>
          <w:rtl w:val="0"/>
        </w:rPr>
      </w:r>
    </w:p>
    <w:p w:rsidR="00000000" w:rsidDel="00000000" w:rsidP="00000000" w:rsidRDefault="00000000" w:rsidRPr="00000000" w14:paraId="00000027">
      <w:pPr>
        <w:jc w:val="center"/>
        <w:rPr>
          <w:b w:val="1"/>
          <w:bCs w:val="1"/>
        </w:rPr>
      </w:pPr>
      <w:r w:rsidDel="00000000" w:rsidR="00000000" w:rsidRPr="00000000">
        <w:rPr>
          <w:rtl w:val="0"/>
        </w:rPr>
      </w:r>
    </w:p>
    <w:p w:rsidR="00000000" w:rsidDel="00000000" w:rsidP="00000000" w:rsidRDefault="00000000" w:rsidRPr="00000000" w14:paraId="00000028">
      <w:pPr>
        <w:jc w:val="center"/>
        <w:rPr>
          <w:b w:val="1"/>
          <w:bCs w:val="1"/>
        </w:rPr>
      </w:pPr>
      <w:r w:rsidDel="00000000" w:rsidR="00000000" w:rsidRPr="00000000">
        <w:rPr>
          <w:rtl w:val="0"/>
        </w:rPr>
      </w:r>
    </w:p>
    <w:p w:rsidR="00000000" w:rsidDel="00000000" w:rsidP="00000000" w:rsidRDefault="00000000" w:rsidRPr="00000000" w14:paraId="00000029">
      <w:pPr>
        <w:jc w:val="center"/>
        <w:rPr>
          <w:b w:val="1"/>
          <w:bCs w:val="1"/>
        </w:rPr>
      </w:pPr>
      <w:r w:rsidDel="00000000" w:rsidR="00000000" w:rsidRPr="00000000">
        <w:rPr>
          <w:rtl w:val="0"/>
        </w:rPr>
      </w:r>
    </w:p>
    <w:p w:rsidR="00000000" w:rsidDel="00000000" w:rsidP="00000000" w:rsidRDefault="00000000" w:rsidRPr="00000000" w14:paraId="0000002A">
      <w:pPr>
        <w:jc w:val="center"/>
        <w:rPr>
          <w:b w:val="1"/>
          <w:bCs w:val="1"/>
        </w:rPr>
      </w:pPr>
      <w:r w:rsidDel="00000000" w:rsidR="00000000" w:rsidRPr="00000000">
        <w:rPr>
          <w:b w:val="1"/>
          <w:bCs w:val="1"/>
          <w:rtl w:val="0"/>
        </w:rPr>
        <w:t xml:space="preserve">Universidad ICESI</w:t>
      </w:r>
    </w:p>
    <w:p w:rsidR="00000000" w:rsidDel="00000000" w:rsidP="00000000" w:rsidRDefault="00000000" w:rsidRPr="00000000" w14:paraId="0000002B">
      <w:pPr>
        <w:jc w:val="center"/>
        <w:rPr>
          <w:b w:val="1"/>
          <w:bCs w:val="1"/>
        </w:rPr>
      </w:pPr>
      <w:r w:rsidDel="00000000" w:rsidR="00000000" w:rsidRPr="00000000">
        <w:rPr>
          <w:b w:val="1"/>
          <w:bCs w:val="1"/>
          <w:rtl w:val="0"/>
        </w:rPr>
        <w:t xml:space="preserve">Cali, Valle del Cauca</w:t>
      </w:r>
    </w:p>
    <w:p w:rsidR="00000000" w:rsidDel="00000000" w:rsidP="00000000" w:rsidRDefault="00000000" w:rsidRPr="00000000" w14:paraId="0000002C">
      <w:pPr>
        <w:jc w:val="center"/>
        <w:rPr>
          <w:b w:val="1"/>
          <w:bCs w:val="1"/>
        </w:rPr>
      </w:pPr>
      <w:r w:rsidDel="00000000" w:rsidR="00000000" w:rsidRPr="00000000">
        <w:rPr>
          <w:b w:val="1"/>
          <w:bCs w:val="1"/>
          <w:rtl w:val="0"/>
        </w:rPr>
        <w:t xml:space="preserve">30 de abril del 2026</w:t>
      </w:r>
    </w:p>
    <w:p>
      <w:pPr>
        <w:pStyle w:val="Heading1"/>
      </w:pPr>
      <w:r>
        <w:t>Resumen</w:t>
      </w:r>
    </w:p>
    <w:p>
      <w:r>
        <w:t>Este trabajo aplica técnicas de regresión y clasificación sobre datos históricos de producción de caña de azúcar del Ingenio Providencia, con el objetivo de predecir el rendimiento (TCH, toneladas de caña por hectárea) y la calidad (%Sacarosa.Caña), y de clasificar los lotes en niveles de desempeño Bajo/Medio/Alto. Se trabajaron dos datasets: HISTORICO_SUERTES.xlsx (21 027 registros, 85 variables) para regresión y BD_IPSA_1940.xlsx (2 187 registros, 21 variables) para clasificación. La metodología incluye un EDA exhaustivo con análisis de nulos, outliers (regla del IQR) y multicolinealidad (VIF con intercepto), preprocesamiento basado en pipelines de scikit-learn con One-Hot Encoding y escalado, validación rigurosa con hold-out 80/20 y validación cruzada de 5 vueltas, y comparación de modelos de referencia (OLS, Ridge, Logística L2, KNN) frente a modelos avanzados (Random Forest y XGBoost). Para regresión, XGBoost obtuvo el mejor desempeño con R² = 0.52 en TCH y R² = 0.53 en %Sac.Caña, superando a OLS (R² = 0.32 y 0.27 respectivamente). Para clasificación, Random Forest y XGBoost alcanzaron F1-macro ≈ 0.42–0.52, con AUC-macro entre 0.60 y 0.71. Las variables más influyentes resultaron ser la edad del cultivo, la dosis de madurante, las lluvias en el periodo de maduración y la variedad/zona. Los resultados son consistentes con el estado del arte agronómico y sugieren oportunidades concretas para optimizar la planificación de cosecha y la aplicación de madurantes en el ingenio.</w:t>
      </w:r>
    </w:p>
    <w:p>
      <w:r>
        <w:rPr>
          <w:b/>
        </w:rPr>
        <w:t xml:space="preserve">Palabras clave: </w:t>
      </w:r>
      <w:r>
        <w:t>regresión, clasificación, machine learning, caña de azúcar, XGBoost, Random Forest, agricultura de precisión, Ingenio Providencia.</w:t>
      </w:r>
    </w:p>
    <w:p w:rsidR="00000000" w:rsidDel="00000000" w:rsidP="00000000" w:rsidRDefault="00000000" w:rsidRPr="00000000" w14:paraId="0000002D">
      <w:pPr>
        <w:pStyle w:val="Heading1"/>
        <w:jc w:val="both"/>
        <w:rPr>
          <w:b w:val="1"/>
          <w:bCs w:val="1"/>
        </w:rPr>
      </w:pPr>
      <w:r>
        <w:t>1. Introducción y Contexto del Negocio</w:t>
      </w:r>
    </w:p>
    <w:p w:rsidR="00000000" w:rsidDel="00000000" w:rsidP="00000000" w:rsidRDefault="00000000" w:rsidRPr="00000000" w14:paraId="0000002E">
      <w:pPr>
        <w:jc w:val="both"/>
        <w:rPr>
          <w:b w:val="1"/>
          <w:bCs w:val="1"/>
        </w:rPr>
      </w:pP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jc w:val="both"/>
        <w:rPr>
          <w:b w:val="1"/>
          <w:bCs w:val="1"/>
          <w:color w:val="000000"/>
          <w:sz w:val="22"/>
          <w:szCs w:val="22"/>
        </w:rPr>
      </w:pPr>
      <w:bookmarkStart w:colFirst="0" w:colLast="0" w:name="_knq35k8jv3tq" w:id="0"/>
      <w:bookmarkEnd w:id="0"/>
      <w:r w:rsidDel="00000000" w:rsidR="00000000" w:rsidRPr="00000000">
        <w:rPr>
          <w:b w:val="1"/>
          <w:bCs w:val="1"/>
          <w:color w:val="000000"/>
          <w:sz w:val="22"/>
          <w:szCs w:val="22"/>
          <w:rtl w:val="0"/>
        </w:rPr>
        <w:t xml:space="preserve">1. Importancia Económica y Social del Sector Azucarero</w:t>
      </w:r>
    </w:p>
    <w:p w:rsidR="00000000" w:rsidDel="00000000" w:rsidP="00000000" w:rsidRDefault="00000000" w:rsidRPr="00000000" w14:paraId="00000030">
      <w:pPr>
        <w:spacing w:after="240" w:before="240" w:lineRule="auto"/>
        <w:jc w:val="both"/>
        <w:rPr>
          <w:color w:val="1155cc"/>
          <w:u w:val="single"/>
        </w:rPr>
      </w:pPr>
      <w:r w:rsidDel="00000000" w:rsidR="00000000" w:rsidRPr="00000000">
        <w:rPr>
          <w:rtl w:val="0"/>
        </w:rPr>
        <w:t xml:space="preserve">El sector azucarero colombiano es uno de los pilares agroindustriales del país. El área sembrada en caña de azúcar suma 298.000 hectáreas en Colombia, siendo el tercer cultivo más extendido después del café y la palma de aceite. La agroindustria muele al año cerca de 24 millones de toneladas de caña, produciendo 2,2 millones de toneladas de azúcar, 438 millones de litros de etanol y 1.637 GWh de energía, suficiente para abastecer a un departamento como el Valle del Cauca.</w:t>
      </w:r>
      <w:r w:rsidDel="00000000" w:rsidR="00000000" w:rsidRPr="00000000">
        <w:rPr>
          <w:rtl w:val="0"/>
        </w:rPr>
      </w:r>
    </w:p>
    <w:p w:rsidR="00000000" w:rsidDel="00000000" w:rsidP="00000000" w:rsidRDefault="00000000" w:rsidRPr="00000000" w14:paraId="00000031">
      <w:pPr>
        <w:spacing w:after="240" w:before="240" w:lineRule="auto"/>
        <w:jc w:val="both"/>
        <w:rPr>
          <w:color w:val="1155cc"/>
          <w:u w:val="single"/>
        </w:rPr>
      </w:pPr>
      <w:r w:rsidDel="00000000" w:rsidR="00000000" w:rsidRPr="00000000">
        <w:rPr>
          <w:rtl w:val="0"/>
        </w:rPr>
        <w:t xml:space="preserve">En términos de impacto social, el 65% de las familias de los municipios cañeros están vinculadas de alguna forma a esta industria, con distintos miembros del núcleo familiar involucrados en campo, fábrica o industria alimentaria. A nivel territorial, la caña de azúcar abarca unas 189.000 hectáreas del Valle del Cauca, transformando tanto el paisaje como la economía regional.</w:t>
      </w:r>
      <w:hyperlink r:id="rId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32">
      <w:pPr>
        <w:spacing w:after="240" w:before="240" w:lineRule="auto"/>
        <w:jc w:val="both"/>
        <w:rPr/>
      </w:pPr>
      <w:r w:rsidDel="00000000" w:rsidR="00000000" w:rsidRPr="00000000">
        <w:rPr>
          <w:rtl w:val="0"/>
        </w:rPr>
        <w:t xml:space="preserve">En cuanto a la producción específica, Colombia alcanzó 23 millones de toneladas de caña producidas, 2,09 millones de toneladas de azúcar y 347 millones de litros de bioetanol para 2022, según datos de Asocaña.</w:t>
      </w:r>
      <w:hyperlink r:id="rId7">
        <w:r w:rsidDel="00000000" w:rsidR="00000000" w:rsidRPr="00000000">
          <w:rPr>
            <w:rtl w:val="0"/>
          </w:rPr>
          <w:t xml:space="preserve"> </w:t>
        </w:r>
      </w:hyperlink>
      <w:r w:rsidDel="00000000" w:rsidR="00000000" w:rsidRPr="00000000">
        <w:rPr>
          <w:rtl w:val="0"/>
        </w:rPr>
        <w:t xml:space="preserve">Adicionalmente, el sector azucarero colombiano agrupa 13 ingenios ubicados en el Valle del Cauca. A nivel nacional, el sector representa el 0,6% del PIB total y el 2,4% del PIB agrícola, mientras que a nivel regional constituye el 34% del PIB agrícola del Valle del Cauca, según datos de Asocaña</w:t>
      </w:r>
    </w:p>
    <w:p w:rsidR="00000000" w:rsidDel="00000000" w:rsidP="00000000" w:rsidRDefault="00000000" w:rsidRPr="00000000" w14:paraId="00000033">
      <w:pPr>
        <w:spacing w:after="240" w:before="240" w:lineRule="auto"/>
        <w:jc w:val="both"/>
        <w:rPr>
          <w:b w:val="1"/>
          <w:bCs w:val="1"/>
          <w:color w:val="000000"/>
          <w:sz w:val="22"/>
          <w:szCs w:val="22"/>
        </w:rPr>
      </w:pPr>
      <w:r w:rsidDel="00000000" w:rsidR="00000000" w:rsidRPr="00000000">
        <w:rPr>
          <w:b w:val="1"/>
          <w:bCs w:val="1"/>
          <w:color w:val="000000"/>
          <w:sz w:val="22"/>
          <w:szCs w:val="22"/>
          <w:rtl w:val="0"/>
        </w:rPr>
        <w:t xml:space="preserve">2. Factores Clave del Rendimiento</w:t>
      </w:r>
    </w:p>
    <w:p w:rsidR="00000000" w:rsidDel="00000000" w:rsidP="00000000" w:rsidRDefault="00000000" w:rsidRPr="00000000" w14:paraId="00000034">
      <w:pPr>
        <w:pStyle w:val="Heading5"/>
        <w:keepNext w:val="0"/>
        <w:keepLines w:val="0"/>
        <w:spacing w:after="40" w:before="220" w:lineRule="auto"/>
        <w:jc w:val="both"/>
        <w:rPr>
          <w:b w:val="1"/>
          <w:bCs w:val="1"/>
          <w:color w:val="000000"/>
          <w:sz w:val="20"/>
          <w:szCs w:val="20"/>
        </w:rPr>
      </w:pPr>
      <w:bookmarkStart w:colFirst="0" w:colLast="0" w:name="_q5atsnlfrcnu" w:id="1"/>
      <w:bookmarkEnd w:id="1"/>
      <w:r w:rsidDel="00000000" w:rsidR="00000000" w:rsidRPr="00000000">
        <w:rPr>
          <w:b w:val="1"/>
          <w:bCs w:val="1"/>
          <w:color w:val="000000"/>
          <w:sz w:val="20"/>
          <w:szCs w:val="20"/>
          <w:rtl w:val="0"/>
        </w:rPr>
        <w:t xml:space="preserve">2.1 TCH (Toneladas de Caña por Hectárea)</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Colombia se distingue globalmente por su alta productividad. El promedio de rendimiento del país está en 120 t/ha, el doble del promedio mundial de 60 t/ha.</w:t>
      </w:r>
      <w:hyperlink r:id="rId8">
        <w:r w:rsidDel="00000000" w:rsidR="00000000" w:rsidRPr="00000000">
          <w:rPr>
            <w:rtl w:val="0"/>
          </w:rPr>
          <w:t xml:space="preserve"> </w:t>
        </w:r>
      </w:hyperlink>
      <w:r w:rsidDel="00000000" w:rsidR="00000000" w:rsidRPr="00000000">
        <w:rPr>
          <w:rtl w:val="0"/>
        </w:rPr>
        <w:t xml:space="preserve">Sin embargo, este indicador es sensible a múltiples factores:</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b w:val="1"/>
          <w:bCs w:val="1"/>
          <w:rtl w:val="0"/>
        </w:rPr>
        <w:t xml:space="preserve">Condiciones climáticas (lluvias):</w:t>
      </w:r>
      <w:r w:rsidDel="00000000" w:rsidR="00000000" w:rsidRPr="00000000">
        <w:rPr>
          <w:rtl w:val="0"/>
        </w:rPr>
        <w:t xml:space="preserve"> El nivel de precipitaciones derivado del Fenómeno de La Niña se incrementó por encima del 25% del nivel promedio histórico de 1.288 mm/año, llegando a 1.600 mm/año entre 2021 y 2022, lo que redujo el rendimiento de 127 t/ha a 102 t/ha.</w:t>
      </w:r>
      <w:hyperlink r:id="rId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Edad del cultivo al corte:</w:t>
      </w:r>
      <w:r w:rsidDel="00000000" w:rsidR="00000000" w:rsidRPr="00000000">
        <w:rPr>
          <w:rtl w:val="0"/>
        </w:rPr>
        <w:t xml:space="preserve"> Más del 50% de las suertes cosechadas tenían menos de 12 meses de edad, lo que afectó directamente la productividad.</w:t>
      </w:r>
      <w:hyperlink r:id="rId10">
        <w:r w:rsidDel="00000000" w:rsidR="00000000" w:rsidRPr="00000000">
          <w:rPr>
            <w:rtl w:val="0"/>
          </w:rPr>
          <w:t xml:space="preserve"> </w:t>
        </w:r>
      </w:hyperlink>
      <w:r w:rsidDel="00000000" w:rsidR="00000000" w:rsidRPr="00000000">
        <w:rPr>
          <w:rtl w:val="0"/>
        </w:rPr>
        <w:t xml:space="preserve">Una suerte cosechada antes de su madurez completa no alcanza su máximo potencial en TCH.</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b w:val="1"/>
          <w:bCs w:val="1"/>
          <w:rtl w:val="0"/>
        </w:rPr>
        <w:t xml:space="preserve">Factores agronómicos generales:</w:t>
      </w:r>
      <w:r w:rsidDel="00000000" w:rsidR="00000000" w:rsidRPr="00000000">
        <w:rPr>
          <w:rtl w:val="0"/>
        </w:rPr>
        <w:t xml:space="preserve"> El tipo de suelo, la fertilización, el manejo hídrico, la variedad, la edad del cultivo (planta, soca o resoca) y la disponibilidad de agua tienen relación directa en la productividad del cultivo.</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pStyle w:val="Heading5"/>
        <w:keepNext w:val="0"/>
        <w:keepLines w:val="0"/>
        <w:spacing w:after="40" w:before="220" w:lineRule="auto"/>
        <w:jc w:val="both"/>
        <w:rPr>
          <w:b w:val="1"/>
          <w:bCs w:val="1"/>
          <w:color w:val="000000"/>
          <w:sz w:val="20"/>
          <w:szCs w:val="20"/>
        </w:rPr>
      </w:pPr>
      <w:bookmarkStart w:colFirst="0" w:colLast="0" w:name="_7rmgsdixwfj2" w:id="2"/>
      <w:bookmarkEnd w:id="2"/>
      <w:r w:rsidDel="00000000" w:rsidR="00000000" w:rsidRPr="00000000">
        <w:rPr>
          <w:b w:val="1"/>
          <w:bCs w:val="1"/>
          <w:color w:val="000000"/>
          <w:sz w:val="20"/>
          <w:szCs w:val="20"/>
          <w:rtl w:val="0"/>
        </w:rPr>
        <w:t xml:space="preserve">2.2 Porcentaje de Sacarosa (%Sac.Caña)</w:t>
      </w:r>
    </w:p>
    <w:p w:rsidR="00000000" w:rsidDel="00000000" w:rsidP="00000000" w:rsidRDefault="00000000" w:rsidRPr="00000000" w14:paraId="0000003C">
      <w:pPr>
        <w:spacing w:after="240" w:before="240" w:lineRule="auto"/>
        <w:jc w:val="both"/>
        <w:rPr>
          <w:color w:val="1155cc"/>
          <w:u w:val="single"/>
        </w:rPr>
      </w:pPr>
      <w:r w:rsidDel="00000000" w:rsidR="00000000" w:rsidRPr="00000000">
        <w:rPr>
          <w:rtl w:val="0"/>
        </w:rPr>
        <w:t xml:space="preserve">La caña de azúcar almacena entre 10-18% de sacarosa en los internudos, dependiendo de la variedad y de las condiciones agroclimáticas, así como de la etapa de desarrollo (planta, soca o resoca), el suelo, la fertilización, el clima, la temperatura y las plagas.</w:t>
      </w:r>
      <w:hyperlink r:id="rId1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3D">
      <w:pPr>
        <w:spacing w:after="240" w:before="240" w:lineRule="auto"/>
        <w:jc w:val="both"/>
        <w:rPr/>
      </w:pPr>
      <w:r w:rsidDel="00000000" w:rsidR="00000000" w:rsidRPr="00000000">
        <w:rPr>
          <w:rtl w:val="0"/>
        </w:rPr>
        <w:t xml:space="preserve">La maduración es el factor más crítico para el contenido de sacarosa. Los contenidos de sacarosa aumentan conforme avanzan las fechas de maduración, ya que a medida que la caña madura acumula azúcares en tallos, aunque también los consume para mantener sus funciones fisiológicas a medida que crece.</w:t>
      </w:r>
      <w:hyperlink r:id="rId12">
        <w:r w:rsidDel="00000000" w:rsidR="00000000" w:rsidRPr="00000000">
          <w:rPr>
            <w:rtl w:val="0"/>
          </w:rPr>
          <w:t xml:space="preserve"> </w:t>
        </w:r>
      </w:hyperlink>
      <w:r w:rsidDel="00000000" w:rsidR="00000000" w:rsidRPr="00000000">
        <w:rPr>
          <w:rtl w:val="0"/>
        </w:rPr>
        <w:t xml:space="preserve">Por esto, la dosis y las semanas de aplicación de madurante son variables predictoras clave.</w:t>
      </w:r>
    </w:p>
    <w:p w:rsidR="00000000" w:rsidDel="00000000" w:rsidP="00000000" w:rsidRDefault="00000000" w:rsidRPr="00000000" w14:paraId="0000003E">
      <w:pPr>
        <w:pStyle w:val="Heading4"/>
        <w:keepNext w:val="0"/>
        <w:keepLines w:val="0"/>
        <w:spacing w:after="40" w:before="240" w:lineRule="auto"/>
        <w:jc w:val="both"/>
        <w:rPr>
          <w:b w:val="1"/>
          <w:bCs w:val="1"/>
          <w:color w:val="000000"/>
          <w:sz w:val="22"/>
          <w:szCs w:val="22"/>
        </w:rPr>
      </w:pPr>
      <w:bookmarkStart w:colFirst="0" w:colLast="0" w:name="_nh61dastu9rj" w:id="3"/>
      <w:bookmarkEnd w:id="3"/>
      <w:r w:rsidDel="00000000" w:rsidR="00000000" w:rsidRPr="00000000">
        <w:rPr>
          <w:b w:val="1"/>
          <w:bCs w:val="1"/>
          <w:color w:val="000000"/>
          <w:sz w:val="22"/>
          <w:szCs w:val="22"/>
          <w:rtl w:val="0"/>
        </w:rPr>
        <w:t xml:space="preserve">3. El Ingenio Providencia: Características y Prácticas de Sostenibilidad</w:t>
      </w:r>
    </w:p>
    <w:p w:rsidR="00000000" w:rsidDel="00000000" w:rsidP="00000000" w:rsidRDefault="00000000" w:rsidRPr="00000000" w14:paraId="0000003F">
      <w:pPr>
        <w:spacing w:after="240" w:before="240" w:lineRule="auto"/>
        <w:jc w:val="both"/>
        <w:rPr>
          <w:color w:val="1155cc"/>
          <w:u w:val="single"/>
        </w:rPr>
      </w:pPr>
      <w:r w:rsidDel="00000000" w:rsidR="00000000" w:rsidRPr="00000000">
        <w:rPr>
          <w:rtl w:val="0"/>
        </w:rPr>
        <w:t xml:space="preserve">El Ingenio Providencia, ubicado en el municipio de El Cerrito, Valle del Cauca, procesa más de 3,3 millones de toneladas de caña al año, toda cosechada en verde y de manera completamente mecanizada.</w:t>
      </w:r>
      <w:r w:rsidDel="00000000" w:rsidR="00000000" w:rsidRPr="00000000">
        <w:rPr>
          <w:rtl w:val="0"/>
        </w:rPr>
      </w:r>
    </w:p>
    <w:p w:rsidR="00000000" w:rsidDel="00000000" w:rsidP="00000000" w:rsidRDefault="00000000" w:rsidRPr="00000000" w14:paraId="00000040">
      <w:pPr>
        <w:spacing w:after="240" w:before="240" w:lineRule="auto"/>
        <w:jc w:val="both"/>
        <w:rPr/>
      </w:pPr>
      <w:r w:rsidDel="00000000" w:rsidR="00000000" w:rsidRPr="00000000">
        <w:rPr>
          <w:rtl w:val="0"/>
        </w:rPr>
        <w:t xml:space="preserve">Su modelo diferencial radica en la sostenibilidad avanzada:</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rtl w:val="0"/>
        </w:rPr>
        <w:t xml:space="preserve">Es el único ingenio azucarero en el mundo con certificación como Empresa B, además de certificaciones en sostenibilidad (Bonsucro), inocuidad alimentaria (FSSC 22000) y seguridad en comercio exterior (BASC).</w:t>
      </w:r>
      <w:r w:rsidDel="00000000" w:rsidR="00000000" w:rsidRPr="00000000">
        <w:rPr>
          <w:rtl w:val="0"/>
        </w:rPr>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Desde 1999, Providencia decidió cultivar caña de origen orgánico, sin herbicidas ni fertilizantes químicos, siendo el primer ingenio colombiano en desarrollar un producto 100% orgánico.</w:t>
      </w:r>
      <w:hyperlink r:id="rId13">
        <w:r w:rsidDel="00000000" w:rsidR="00000000" w:rsidRPr="00000000">
          <w:rPr>
            <w:rtl w:val="0"/>
          </w:rPr>
          <w:t xml:space="preserve"> </w:t>
        </w:r>
      </w:hyperlink>
      <w:r w:rsidDel="00000000" w:rsidR="00000000" w:rsidRPr="00000000">
        <w:rPr>
          <w:rtl w:val="0"/>
        </w:rPr>
        <w:t xml:space="preserve">La producción orgánica ha crecido de 6.109 toneladas en 1999 a más de 400.000 toneladas anuales.</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Implementa un sistema de riego mecanizado de alta frecuencia, aplica tecnologías de agricultura de precisión, y genera el 90% de su energía mediante cogeneración con biomasa (bagazo de caña).</w:t>
      </w:r>
      <w:hyperlink r:id="rId14">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44">
      <w:pPr>
        <w:numPr>
          <w:ilvl w:val="0"/>
          <w:numId w:val="3"/>
        </w:numPr>
        <w:spacing w:after="240" w:before="0" w:beforeAutospacing="0" w:lineRule="auto"/>
        <w:ind w:left="720" w:hanging="360"/>
      </w:pPr>
      <w:r w:rsidDel="00000000" w:rsidR="00000000" w:rsidRPr="00000000">
        <w:rPr>
          <w:rtl w:val="0"/>
        </w:rPr>
        <w:t xml:space="preserve">Genera 3.500 empleos directos y sus programas sociales benefician a 4.000 personas al año con educación, formación tecnológica y primera infancia.</w:t>
      </w:r>
      <w:r w:rsidDel="00000000" w:rsidR="00000000" w:rsidRPr="00000000">
        <w:rPr>
          <w:rtl w:val="0"/>
        </w:rPr>
      </w:r>
    </w:p>
    <w:p w:rsidR="00000000" w:rsidDel="00000000" w:rsidP="00000000" w:rsidRDefault="00000000" w:rsidRPr="00000000" w14:paraId="00000045">
      <w:pPr>
        <w:spacing w:after="240" w:before="240" w:lineRule="auto"/>
        <w:jc w:val="both"/>
        <w:rPr/>
      </w:pPr>
      <w:r w:rsidDel="00000000" w:rsidR="00000000" w:rsidRPr="00000000">
        <w:rPr>
          <w:b w:val="1"/>
          <w:bCs w:val="1"/>
          <w:rtl w:val="0"/>
        </w:rPr>
        <w:t xml:space="preserve">Implicación para los datos:</w:t>
      </w:r>
      <w:r w:rsidDel="00000000" w:rsidR="00000000" w:rsidRPr="00000000">
        <w:rPr>
          <w:rtl w:val="0"/>
        </w:rPr>
        <w:t xml:space="preserve"> La coexistencia de producción orgánica y convencional en Providencia implica diferencias sistemáticas en variables como dosis de agroquímicos, rendimientos por suerte y variedad usada. Los datos históricos deben interpretarse considerando este contexto mixto.</w:t>
      </w:r>
    </w:p>
    <w:p w:rsidR="00000000" w:rsidDel="00000000" w:rsidP="00000000" w:rsidRDefault="00000000" w:rsidRPr="00000000" w14:paraId="00000046">
      <w:pPr>
        <w:pStyle w:val="Heading4"/>
        <w:keepNext w:val="0"/>
        <w:keepLines w:val="0"/>
        <w:spacing w:after="40" w:before="240" w:lineRule="auto"/>
        <w:jc w:val="both"/>
        <w:rPr>
          <w:b w:val="1"/>
          <w:bCs w:val="1"/>
          <w:color w:val="000000"/>
          <w:sz w:val="22"/>
          <w:szCs w:val="22"/>
        </w:rPr>
      </w:pPr>
      <w:bookmarkStart w:colFirst="0" w:colLast="0" w:name="_76w42dkirnn1" w:id="4"/>
      <w:bookmarkEnd w:id="4"/>
      <w:r w:rsidDel="00000000" w:rsidR="00000000" w:rsidRPr="00000000">
        <w:rPr>
          <w:b w:val="1"/>
          <w:bCs w:val="1"/>
          <w:color w:val="000000"/>
          <w:sz w:val="22"/>
          <w:szCs w:val="22"/>
          <w:rtl w:val="0"/>
        </w:rPr>
        <w:t xml:space="preserve">4. Estado del Arte: Machine Learning en Predicción de Rendimientos</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El uso de ML en agricultura de precisión ha mostrado resultados sólidos para cultivos de caña:</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tl w:val="0"/>
        </w:rPr>
        <w:t xml:space="preserve">Los algoritmos más utilizados en la literatura son Random Forest y la regresión múltiple, mientras que las variables más frecuentes son las climáticas (temperatura, precipitación, evapotranspiración) y las de cultivo como el número de cortes.</w:t>
      </w:r>
      <w:r w:rsidDel="00000000" w:rsidR="00000000" w:rsidRPr="00000000">
        <w:rPr>
          <w:rtl w:val="0"/>
        </w:rPr>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El modelo de Random Forest presentó el mejor rendimiento para predicción de sacarosa, con valores de R² entre 0,75 y 0,95 y RMSE de 0,71 a 1,28 Brix°.</w:t>
      </w:r>
      <w:hyperlink r:id="rId15">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La producción de caña de azúcar responde de manera no lineal a combinaciones específicas de precipitación y temperatura, un patrón difícil de modelar con técnicas estadísticas convencionales, lo que justifica el uso de modelos avanzados como XGBoost o redes neuronales.</w:t>
      </w:r>
      <w:hyperlink r:id="rId1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rtl w:val="0"/>
        </w:rPr>
        <w:t xml:space="preserve">Casi todos los estudios utilizaron RMSE y R² como métricas de evaluación de calidad del modelo, y la mayoría de los modelos de ML tuvieron resultados de alta precisión.</w:t>
      </w:r>
      <w:hyperlink r:id="rId17">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4C">
      <w:pPr>
        <w:spacing w:after="240" w:before="240" w:lineRule="auto"/>
        <w:jc w:val="both"/>
        <w:rPr/>
      </w:pPr>
      <w:r w:rsidDel="00000000" w:rsidR="00000000" w:rsidRPr="00000000">
        <w:rPr>
          <w:rtl w:val="0"/>
        </w:rPr>
        <w:t xml:space="preserve">Esto sustenta la estrategia del taller: partir de regresión lineal como benchmark e ir escalando hacia Random Forest y XGBoost, que capturan relaciones no lineales entre lluvias, tipo de suelo, variedad y edad del cultivo.</w:t>
      </w:r>
    </w:p>
    <w:p>
      <w:pPr>
        <w:pStyle w:val="Heading1"/>
      </w:pPr>
      <w:r>
        <w:t>2. Metodología</w:t>
      </w:r>
    </w:p>
    <w:p>
      <w:pPr>
        <w:pStyle w:val="Heading2"/>
      </w:pPr>
      <w:r>
        <w:t>2.1 Datos y Preprocesamiento</w:t>
      </w:r>
    </w:p>
    <w:p>
      <w:r>
        <w:t>Se trabajaron dos datasets independientes provistos por el Ingenio Providencia: HISTORICO_SUERTES.xlsx (21 027 filas × 85 columnas) para los modelos de regresión, y BD_IPSA_1940.xlsx (2 187 filas × 21 columnas) — un subconjunto correspondiente a la variedad CC01-1940 — para los modelos de clasificación.</w:t>
      </w:r>
    </w:p>
    <w:p>
      <w:r>
        <w:t>Selección de variables. Para regresión se descartaron columnas con &gt;70% de nulos, identificadores (Hacienda, Suerte, Nombre) y variables con leakage (TCHM, Ton.Azucar, Brix, Pureza, %ATR, KATRHM, Sac.Caña Precosecha y métricas de laboratorio post-cosecha). Quedan 21 predictores agronómicos, climáticos, logísticos y temporales. Para clasificación se eligieron 10 variables numéricas y se descartaron variedad/tipocorte/madurada por ser constantes en el subconjunto (BD_IPSA_1940 corresponde a la variedad CC01-1940).</w:t>
      </w:r>
    </w:p>
    <w:p>
      <w:r>
        <w:t>Imputación. En regresión: Suelo (17.9% nulos) → categoría 'DESCONOCIDO'; Vejez (11.6%) → mediana por Zona; Dist Km, Tenencia y Cod.T.Cultivo (≤0.02%) → mediana/moda; Dosis Madurante (0.5%) → 0 (ausencia = no aplicado); 449 filas con %Sac.Caña nulo se eliminaron. Clasificación: sin nulos.</w:t>
      </w:r>
    </w:p>
    <w:p>
      <w:r>
        <w:t>Outliers. Regla del IQR con factor 3.0 sobre los targets de regresión (criterio conservador para datos agrícolas) eliminó 19 registros físicamente implausibles. Dataset final: 20 559 filas.</w:t>
      </w:r>
    </w:p>
    <w:p>
      <w:r>
        <w:t>Multicolinealidad. VIF (con intercepto) sobre las numéricas dio todas &lt;5 (máx Lluvias Ciclo = 3.36). Los 4 sub-periodos de lluvia se excluyen del VIF por colinealidad perfecta con Lluvias Ciclo; en lineales se conservan solo Lluvias Ciclo + Lluvias 2 Meses Ant., en árboles se incluyen todos.</w:t>
      </w:r>
    </w:p>
    <w:p>
      <w:r>
        <w:t>Codificación. ColumnTransformer + OneHotEncoder con min_frequency=0.005 y drop='first' para lineales (evita la dummy variable trap), sin drop para árboles. Numéricas escaladas (StandardScaler) en OLS, Ridge, Logística y KNN.</w:t>
      </w:r>
    </w:p>
    <w:p>
      <w:r>
        <w:t>Targets de clasificación. Discretización por tertiles exactos (pd.qcut, q=3) produce clases balanceadas (≈33% cada una).</w:t>
      </w:r>
    </w:p>
    <w:p>
      <w:pPr>
        <w:pStyle w:val="Heading2"/>
      </w:pPr>
      <w:r>
        <w:t>2.2 Modelos</w:t>
      </w:r>
    </w:p>
    <w:p>
      <w:r>
        <w:t>Estrategia: de lo simple a lo complejo, lineal vs ensamble:</w:t>
      </w:r>
    </w:p>
    <w:p>
      <w:pPr>
        <w:ind w:left="340"/>
      </w:pPr>
      <w:r>
        <w:rPr>
          <w:b w:val="0"/>
        </w:rPr>
        <w:t xml:space="preserve">• </w:t>
      </w:r>
      <w:r>
        <w:t>Regresión – referencia: OLS (statsmodels) y Ridge con búsqueda de α en {0.01, 0.1, 1, 10, 50, 100, 500} mediante 5-fold CV.</w:t>
      </w:r>
    </w:p>
    <w:p>
      <w:pPr>
        <w:ind w:left="340"/>
      </w:pPr>
      <w:r>
        <w:rPr>
          <w:b w:val="0"/>
        </w:rPr>
        <w:t xml:space="preserve">• </w:t>
      </w:r>
      <w:r>
        <w:t>Regresión – avanzados: Random Forest Regressor y XGBoost Regressor con RandomizedSearchCV (25 combinaciones, 5-fold) sobre n_estimators, max_depth, learning_rate, subsample, colsample_bytree y min_samples_leaf según corresponda.</w:t>
      </w:r>
    </w:p>
    <w:p>
      <w:pPr>
        <w:ind w:left="340"/>
      </w:pPr>
      <w:r>
        <w:rPr>
          <w:b w:val="0"/>
        </w:rPr>
        <w:t xml:space="preserve">• </w:t>
      </w:r>
      <w:r>
        <w:t>Clasificación – referencia: Regresión Logística multinomial con regularización L2 (GridSearchCV sobre C) y K-Vecinos Más Cercanos (GridSearchCV sobre k ∈ {3,5,...,31} y weights ∈ {uniform, distance}).</w:t>
      </w:r>
    </w:p>
    <w:p>
      <w:pPr>
        <w:ind w:left="340"/>
      </w:pPr>
      <w:r>
        <w:rPr>
          <w:b w:val="0"/>
        </w:rPr>
        <w:t xml:space="preserve">• </w:t>
      </w:r>
      <w:r>
        <w:t>Clasificación – avanzados: Random Forest Classifier (con class_weight=‘balanced’) y XGBoost Classifier, ambos con RandomizedSearchCV de 25 combinaciones × 5 folds.</w:t>
      </w:r>
    </w:p>
    <w:p>
      <w:r>
        <w:t>Todos los modelos se entrenan en un sklearn.Pipeline con el ColumnTransformer correspondiente, garantizando que el preprocesamiento se aplique solo sobre el fold de entrenamiento de cada validación cruzada (sin fuga).</w:t>
      </w:r>
    </w:p>
    <w:p>
      <w:pPr>
        <w:pStyle w:val="Heading2"/>
      </w:pPr>
      <w:r>
        <w:t>2.3 Estrategia de Validación y Métricas</w:t>
      </w:r>
    </w:p>
    <w:p>
      <w:r>
        <w:t>Hold-out 80/20 estratificado por cuartiles de Y (regresión) o por clase ordinal (clasificación, split independiente por target). 5-fold CV sobre train para tuning. Reproducibilidad: SEED=42.</w:t>
      </w:r>
    </w:p>
    <w:p>
      <w:r>
        <w:t>Métricas Regresión: R², RMSE, MAE; diagnóstico OLS con residuos vs predichos, QQ-plot, escala-localización y Shapiro-Wilk. Métricas Clasificación: Accuracy, Precision, Recall, F1-macro, Cohen Kappa y AUC One-vs-Rest macro.</w:t>
      </w:r>
    </w:p>
    <w:p>
      <w:pPr>
        <w:pStyle w:val="Heading1"/>
      </w:pPr>
      <w:r>
        <w:t>3. Resultados y Discusión</w:t>
      </w:r>
    </w:p>
    <w:p>
      <w:pPr>
        <w:pStyle w:val="Heading2"/>
      </w:pPr>
      <w:r>
        <w:t>3.1 Comparación de Modelos – Regresión</w:t>
      </w:r>
    </w:p>
    <w:p>
      <w:r>
        <w:t>La Tabla 1 resume el desempeño en test tras tuning 5-fold CV. Los modelos de ensamble incrementan el R² en ~0.20 puntos vs lineales, evidenciando relaciones no lineales con interacciones complejas — consistente con la literatura.</w:t>
      </w:r>
    </w:p>
    <w:tbl>
      <w:tblPr>
        <w:tblW w:type="auto" w:w="0"/>
        <w:tblLook w:firstColumn="1" w:firstRow="1" w:lastColumn="0" w:lastRow="0" w:noHBand="0" w:noVBand="1" w:val="04A0"/>
      </w:tblPr>
      <w:tblGrid>
        <w:gridCol w:w="1872"/>
        <w:gridCol w:w="1872"/>
        <w:gridCol w:w="1872"/>
        <w:gridCol w:w="1872"/>
        <w:gridCol w:w="1872"/>
      </w:tblGrid>
      <w:tr>
        <w:tc>
          <w:tcPr>
            <w:tcW w:type="dxa" w:w="1872"/>
            <w:tcBorders>
              <w:top w:val="single" w:sz="4" w:color="000000"/>
              <w:left w:val="single" w:sz="4" w:color="000000"/>
              <w:bottom w:val="single" w:sz="4" w:color="000000"/>
              <w:right w:val="single" w:sz="4" w:color="000000"/>
            </w:tcBorders>
          </w:tcPr>
          <w:p>
            <w:r/>
            <w:r>
              <w:rPr>
                <w:b/>
              </w:rPr>
              <w:t>Modelo</w:t>
            </w:r>
          </w:p>
        </w:tc>
        <w:tc>
          <w:tcPr>
            <w:tcW w:type="dxa" w:w="1872"/>
            <w:tcBorders>
              <w:top w:val="single" w:sz="4" w:color="000000"/>
              <w:left w:val="single" w:sz="4" w:color="000000"/>
              <w:bottom w:val="single" w:sz="4" w:color="000000"/>
              <w:right w:val="single" w:sz="4" w:color="000000"/>
            </w:tcBorders>
          </w:tcPr>
          <w:p>
            <w:r/>
            <w:r>
              <w:rPr>
                <w:b/>
              </w:rPr>
              <w:t>Target</w:t>
            </w:r>
          </w:p>
        </w:tc>
        <w:tc>
          <w:tcPr>
            <w:tcW w:type="dxa" w:w="1872"/>
            <w:tcBorders>
              <w:top w:val="single" w:sz="4" w:color="000000"/>
              <w:left w:val="single" w:sz="4" w:color="000000"/>
              <w:bottom w:val="single" w:sz="4" w:color="000000"/>
              <w:right w:val="single" w:sz="4" w:color="000000"/>
            </w:tcBorders>
          </w:tcPr>
          <w:p>
            <w:r/>
            <w:r>
              <w:rPr>
                <w:b/>
              </w:rPr>
              <w:t>R²</w:t>
            </w:r>
          </w:p>
        </w:tc>
        <w:tc>
          <w:tcPr>
            <w:tcW w:type="dxa" w:w="1872"/>
            <w:tcBorders>
              <w:top w:val="single" w:sz="4" w:color="000000"/>
              <w:left w:val="single" w:sz="4" w:color="000000"/>
              <w:bottom w:val="single" w:sz="4" w:color="000000"/>
              <w:right w:val="single" w:sz="4" w:color="000000"/>
            </w:tcBorders>
          </w:tcPr>
          <w:p>
            <w:r/>
            <w:r>
              <w:rPr>
                <w:b/>
              </w:rPr>
              <w:t>RMSE</w:t>
            </w:r>
          </w:p>
        </w:tc>
        <w:tc>
          <w:tcPr>
            <w:tcW w:type="dxa" w:w="1872"/>
            <w:tcBorders>
              <w:top w:val="single" w:sz="4" w:color="000000"/>
              <w:left w:val="single" w:sz="4" w:color="000000"/>
              <w:bottom w:val="single" w:sz="4" w:color="000000"/>
              <w:right w:val="single" w:sz="4" w:color="000000"/>
            </w:tcBorders>
          </w:tcPr>
          <w:p>
            <w:r/>
            <w:r>
              <w:rPr>
                <w:b/>
              </w:rPr>
              <w:t>MAE</w:t>
            </w:r>
          </w:p>
        </w:tc>
      </w:tr>
      <w:tr>
        <w:tc>
          <w:tcPr>
            <w:tcW w:type="dxa" w:w="1872"/>
            <w:tcBorders>
              <w:top w:val="single" w:sz="4" w:color="000000"/>
              <w:left w:val="single" w:sz="4" w:color="000000"/>
              <w:bottom w:val="single" w:sz="4" w:color="000000"/>
              <w:right w:val="single" w:sz="4" w:color="000000"/>
            </w:tcBorders>
          </w:tcPr>
          <w:p>
            <w:r>
              <w:t>OLS</w:t>
            </w:r>
          </w:p>
        </w:tc>
        <w:tc>
          <w:tcPr>
            <w:tcW w:type="dxa" w:w="1872"/>
            <w:tcBorders>
              <w:top w:val="single" w:sz="4" w:color="000000"/>
              <w:left w:val="single" w:sz="4" w:color="000000"/>
              <w:bottom w:val="single" w:sz="4" w:color="000000"/>
              <w:right w:val="single" w:sz="4" w:color="000000"/>
            </w:tcBorders>
          </w:tcPr>
          <w:p>
            <w:r>
              <w:t>TCH</w:t>
            </w:r>
          </w:p>
        </w:tc>
        <w:tc>
          <w:tcPr>
            <w:tcW w:type="dxa" w:w="1872"/>
            <w:tcBorders>
              <w:top w:val="single" w:sz="4" w:color="000000"/>
              <w:left w:val="single" w:sz="4" w:color="000000"/>
              <w:bottom w:val="single" w:sz="4" w:color="000000"/>
              <w:right w:val="single" w:sz="4" w:color="000000"/>
            </w:tcBorders>
          </w:tcPr>
          <w:p>
            <w:r>
              <w:t>0.3203</w:t>
            </w:r>
          </w:p>
        </w:tc>
        <w:tc>
          <w:tcPr>
            <w:tcW w:type="dxa" w:w="1872"/>
            <w:tcBorders>
              <w:top w:val="single" w:sz="4" w:color="000000"/>
              <w:left w:val="single" w:sz="4" w:color="000000"/>
              <w:bottom w:val="single" w:sz="4" w:color="000000"/>
              <w:right w:val="single" w:sz="4" w:color="000000"/>
            </w:tcBorders>
          </w:tcPr>
          <w:p>
            <w:r>
              <w:t>26.9717</w:t>
            </w:r>
          </w:p>
        </w:tc>
        <w:tc>
          <w:tcPr>
            <w:tcW w:type="dxa" w:w="1872"/>
            <w:tcBorders>
              <w:top w:val="single" w:sz="4" w:color="000000"/>
              <w:left w:val="single" w:sz="4" w:color="000000"/>
              <w:bottom w:val="single" w:sz="4" w:color="000000"/>
              <w:right w:val="single" w:sz="4" w:color="000000"/>
            </w:tcBorders>
          </w:tcPr>
          <w:p>
            <w:r>
              <w:t>20.6633</w:t>
            </w:r>
          </w:p>
        </w:tc>
      </w:tr>
      <w:tr>
        <w:tc>
          <w:tcPr>
            <w:tcW w:type="dxa" w:w="1872"/>
            <w:tcBorders>
              <w:top w:val="single" w:sz="4" w:color="000000"/>
              <w:left w:val="single" w:sz="4" w:color="000000"/>
              <w:bottom w:val="single" w:sz="4" w:color="000000"/>
              <w:right w:val="single" w:sz="4" w:color="000000"/>
            </w:tcBorders>
          </w:tcPr>
          <w:p>
            <w:r>
              <w:t>Ridge</w:t>
            </w:r>
          </w:p>
        </w:tc>
        <w:tc>
          <w:tcPr>
            <w:tcW w:type="dxa" w:w="1872"/>
            <w:tcBorders>
              <w:top w:val="single" w:sz="4" w:color="000000"/>
              <w:left w:val="single" w:sz="4" w:color="000000"/>
              <w:bottom w:val="single" w:sz="4" w:color="000000"/>
              <w:right w:val="single" w:sz="4" w:color="000000"/>
            </w:tcBorders>
          </w:tcPr>
          <w:p>
            <w:r>
              <w:t>TCH</w:t>
            </w:r>
          </w:p>
        </w:tc>
        <w:tc>
          <w:tcPr>
            <w:tcW w:type="dxa" w:w="1872"/>
            <w:tcBorders>
              <w:top w:val="single" w:sz="4" w:color="000000"/>
              <w:left w:val="single" w:sz="4" w:color="000000"/>
              <w:bottom w:val="single" w:sz="4" w:color="000000"/>
              <w:right w:val="single" w:sz="4" w:color="000000"/>
            </w:tcBorders>
          </w:tcPr>
          <w:p>
            <w:r>
              <w:t>0.3202</w:t>
            </w:r>
          </w:p>
        </w:tc>
        <w:tc>
          <w:tcPr>
            <w:tcW w:type="dxa" w:w="1872"/>
            <w:tcBorders>
              <w:top w:val="single" w:sz="4" w:color="000000"/>
              <w:left w:val="single" w:sz="4" w:color="000000"/>
              <w:bottom w:val="single" w:sz="4" w:color="000000"/>
              <w:right w:val="single" w:sz="4" w:color="000000"/>
            </w:tcBorders>
          </w:tcPr>
          <w:p>
            <w:r>
              <w:t>26.9741</w:t>
            </w:r>
          </w:p>
        </w:tc>
        <w:tc>
          <w:tcPr>
            <w:tcW w:type="dxa" w:w="1872"/>
            <w:tcBorders>
              <w:top w:val="single" w:sz="4" w:color="000000"/>
              <w:left w:val="single" w:sz="4" w:color="000000"/>
              <w:bottom w:val="single" w:sz="4" w:color="000000"/>
              <w:right w:val="single" w:sz="4" w:color="000000"/>
            </w:tcBorders>
          </w:tcPr>
          <w:p>
            <w:r>
              <w:t>20.6667</w:t>
            </w:r>
          </w:p>
        </w:tc>
      </w:tr>
      <w:tr>
        <w:tc>
          <w:tcPr>
            <w:tcW w:type="dxa" w:w="1872"/>
            <w:tcBorders>
              <w:top w:val="single" w:sz="4" w:color="000000"/>
              <w:left w:val="single" w:sz="4" w:color="000000"/>
              <w:bottom w:val="single" w:sz="4" w:color="000000"/>
              <w:right w:val="single" w:sz="4" w:color="000000"/>
            </w:tcBorders>
          </w:tcPr>
          <w:p>
            <w:r>
              <w:t>Random Forest</w:t>
            </w:r>
          </w:p>
        </w:tc>
        <w:tc>
          <w:tcPr>
            <w:tcW w:type="dxa" w:w="1872"/>
            <w:tcBorders>
              <w:top w:val="single" w:sz="4" w:color="000000"/>
              <w:left w:val="single" w:sz="4" w:color="000000"/>
              <w:bottom w:val="single" w:sz="4" w:color="000000"/>
              <w:right w:val="single" w:sz="4" w:color="000000"/>
            </w:tcBorders>
          </w:tcPr>
          <w:p>
            <w:r>
              <w:t>TCH</w:t>
            </w:r>
          </w:p>
        </w:tc>
        <w:tc>
          <w:tcPr>
            <w:tcW w:type="dxa" w:w="1872"/>
            <w:tcBorders>
              <w:top w:val="single" w:sz="4" w:color="000000"/>
              <w:left w:val="single" w:sz="4" w:color="000000"/>
              <w:bottom w:val="single" w:sz="4" w:color="000000"/>
              <w:right w:val="single" w:sz="4" w:color="000000"/>
            </w:tcBorders>
          </w:tcPr>
          <w:p>
            <w:r>
              <w:t>0.4815</w:t>
            </w:r>
          </w:p>
        </w:tc>
        <w:tc>
          <w:tcPr>
            <w:tcW w:type="dxa" w:w="1872"/>
            <w:tcBorders>
              <w:top w:val="single" w:sz="4" w:color="000000"/>
              <w:left w:val="single" w:sz="4" w:color="000000"/>
              <w:bottom w:val="single" w:sz="4" w:color="000000"/>
              <w:right w:val="single" w:sz="4" w:color="000000"/>
            </w:tcBorders>
          </w:tcPr>
          <w:p>
            <w:r>
              <w:t>23.5571</w:t>
            </w:r>
          </w:p>
        </w:tc>
        <w:tc>
          <w:tcPr>
            <w:tcW w:type="dxa" w:w="1872"/>
            <w:tcBorders>
              <w:top w:val="single" w:sz="4" w:color="000000"/>
              <w:left w:val="single" w:sz="4" w:color="000000"/>
              <w:bottom w:val="single" w:sz="4" w:color="000000"/>
              <w:right w:val="single" w:sz="4" w:color="000000"/>
            </w:tcBorders>
          </w:tcPr>
          <w:p>
            <w:r>
              <w:t>17.4119</w:t>
            </w:r>
          </w:p>
        </w:tc>
      </w:tr>
      <w:tr>
        <w:tc>
          <w:tcPr>
            <w:tcW w:type="dxa" w:w="1872"/>
            <w:tcBorders>
              <w:top w:val="single" w:sz="4" w:color="000000"/>
              <w:left w:val="single" w:sz="4" w:color="000000"/>
              <w:bottom w:val="single" w:sz="4" w:color="000000"/>
              <w:right w:val="single" w:sz="4" w:color="000000"/>
            </w:tcBorders>
          </w:tcPr>
          <w:p>
            <w:r>
              <w:t>XGBoost</w:t>
            </w:r>
          </w:p>
        </w:tc>
        <w:tc>
          <w:tcPr>
            <w:tcW w:type="dxa" w:w="1872"/>
            <w:tcBorders>
              <w:top w:val="single" w:sz="4" w:color="000000"/>
              <w:left w:val="single" w:sz="4" w:color="000000"/>
              <w:bottom w:val="single" w:sz="4" w:color="000000"/>
              <w:right w:val="single" w:sz="4" w:color="000000"/>
            </w:tcBorders>
          </w:tcPr>
          <w:p>
            <w:r>
              <w:t>TCH</w:t>
            </w:r>
          </w:p>
        </w:tc>
        <w:tc>
          <w:tcPr>
            <w:tcW w:type="dxa" w:w="1872"/>
            <w:tcBorders>
              <w:top w:val="single" w:sz="4" w:color="000000"/>
              <w:left w:val="single" w:sz="4" w:color="000000"/>
              <w:bottom w:val="single" w:sz="4" w:color="000000"/>
              <w:right w:val="single" w:sz="4" w:color="000000"/>
            </w:tcBorders>
          </w:tcPr>
          <w:p>
            <w:r>
              <w:t>0.5191</w:t>
            </w:r>
          </w:p>
        </w:tc>
        <w:tc>
          <w:tcPr>
            <w:tcW w:type="dxa" w:w="1872"/>
            <w:tcBorders>
              <w:top w:val="single" w:sz="4" w:color="000000"/>
              <w:left w:val="single" w:sz="4" w:color="000000"/>
              <w:bottom w:val="single" w:sz="4" w:color="000000"/>
              <w:right w:val="single" w:sz="4" w:color="000000"/>
            </w:tcBorders>
          </w:tcPr>
          <w:p>
            <w:r>
              <w:t>22.6874</w:t>
            </w:r>
          </w:p>
        </w:tc>
        <w:tc>
          <w:tcPr>
            <w:tcW w:type="dxa" w:w="1872"/>
            <w:tcBorders>
              <w:top w:val="single" w:sz="4" w:color="000000"/>
              <w:left w:val="single" w:sz="4" w:color="000000"/>
              <w:bottom w:val="single" w:sz="4" w:color="000000"/>
              <w:right w:val="single" w:sz="4" w:color="000000"/>
            </w:tcBorders>
          </w:tcPr>
          <w:p>
            <w:r>
              <w:t>16.8027</w:t>
            </w:r>
          </w:p>
        </w:tc>
      </w:tr>
      <w:tr>
        <w:tc>
          <w:tcPr>
            <w:tcW w:type="dxa" w:w="1872"/>
            <w:tcBorders>
              <w:top w:val="single" w:sz="4" w:color="000000"/>
              <w:left w:val="single" w:sz="4" w:color="000000"/>
              <w:bottom w:val="single" w:sz="4" w:color="000000"/>
              <w:right w:val="single" w:sz="4" w:color="000000"/>
            </w:tcBorders>
          </w:tcPr>
          <w:p>
            <w:r>
              <w:t>OLS</w:t>
            </w:r>
          </w:p>
        </w:tc>
        <w:tc>
          <w:tcPr>
            <w:tcW w:type="dxa" w:w="1872"/>
            <w:tcBorders>
              <w:top w:val="single" w:sz="4" w:color="000000"/>
              <w:left w:val="single" w:sz="4" w:color="000000"/>
              <w:bottom w:val="single" w:sz="4" w:color="000000"/>
              <w:right w:val="single" w:sz="4" w:color="000000"/>
            </w:tcBorders>
          </w:tcPr>
          <w:p>
            <w:r>
              <w:t>%Sac.Caña</w:t>
            </w:r>
          </w:p>
        </w:tc>
        <w:tc>
          <w:tcPr>
            <w:tcW w:type="dxa" w:w="1872"/>
            <w:tcBorders>
              <w:top w:val="single" w:sz="4" w:color="000000"/>
              <w:left w:val="single" w:sz="4" w:color="000000"/>
              <w:bottom w:val="single" w:sz="4" w:color="000000"/>
              <w:right w:val="single" w:sz="4" w:color="000000"/>
            </w:tcBorders>
          </w:tcPr>
          <w:p>
            <w:r>
              <w:t>0.2651</w:t>
            </w:r>
          </w:p>
        </w:tc>
        <w:tc>
          <w:tcPr>
            <w:tcW w:type="dxa" w:w="1872"/>
            <w:tcBorders>
              <w:top w:val="single" w:sz="4" w:color="000000"/>
              <w:left w:val="single" w:sz="4" w:color="000000"/>
              <w:bottom w:val="single" w:sz="4" w:color="000000"/>
              <w:right w:val="single" w:sz="4" w:color="000000"/>
            </w:tcBorders>
          </w:tcPr>
          <w:p>
            <w:r>
              <w:t>0.9830</w:t>
            </w:r>
          </w:p>
        </w:tc>
        <w:tc>
          <w:tcPr>
            <w:tcW w:type="dxa" w:w="1872"/>
            <w:tcBorders>
              <w:top w:val="single" w:sz="4" w:color="000000"/>
              <w:left w:val="single" w:sz="4" w:color="000000"/>
              <w:bottom w:val="single" w:sz="4" w:color="000000"/>
              <w:right w:val="single" w:sz="4" w:color="000000"/>
            </w:tcBorders>
          </w:tcPr>
          <w:p>
            <w:r>
              <w:t>0.7666</w:t>
            </w:r>
          </w:p>
        </w:tc>
      </w:tr>
      <w:tr>
        <w:tc>
          <w:tcPr>
            <w:tcW w:type="dxa" w:w="1872"/>
            <w:tcBorders>
              <w:top w:val="single" w:sz="4" w:color="000000"/>
              <w:left w:val="single" w:sz="4" w:color="000000"/>
              <w:bottom w:val="single" w:sz="4" w:color="000000"/>
              <w:right w:val="single" w:sz="4" w:color="000000"/>
            </w:tcBorders>
          </w:tcPr>
          <w:p>
            <w:r>
              <w:t>Ridge</w:t>
            </w:r>
          </w:p>
        </w:tc>
        <w:tc>
          <w:tcPr>
            <w:tcW w:type="dxa" w:w="1872"/>
            <w:tcBorders>
              <w:top w:val="single" w:sz="4" w:color="000000"/>
              <w:left w:val="single" w:sz="4" w:color="000000"/>
              <w:bottom w:val="single" w:sz="4" w:color="000000"/>
              <w:right w:val="single" w:sz="4" w:color="000000"/>
            </w:tcBorders>
          </w:tcPr>
          <w:p>
            <w:r>
              <w:t>%Sac.Caña</w:t>
            </w:r>
          </w:p>
        </w:tc>
        <w:tc>
          <w:tcPr>
            <w:tcW w:type="dxa" w:w="1872"/>
            <w:tcBorders>
              <w:top w:val="single" w:sz="4" w:color="000000"/>
              <w:left w:val="single" w:sz="4" w:color="000000"/>
              <w:bottom w:val="single" w:sz="4" w:color="000000"/>
              <w:right w:val="single" w:sz="4" w:color="000000"/>
            </w:tcBorders>
          </w:tcPr>
          <w:p>
            <w:r>
              <w:t>0.2647</w:t>
            </w:r>
          </w:p>
        </w:tc>
        <w:tc>
          <w:tcPr>
            <w:tcW w:type="dxa" w:w="1872"/>
            <w:tcBorders>
              <w:top w:val="single" w:sz="4" w:color="000000"/>
              <w:left w:val="single" w:sz="4" w:color="000000"/>
              <w:bottom w:val="single" w:sz="4" w:color="000000"/>
              <w:right w:val="single" w:sz="4" w:color="000000"/>
            </w:tcBorders>
          </w:tcPr>
          <w:p>
            <w:r>
              <w:t>0.9833</w:t>
            </w:r>
          </w:p>
        </w:tc>
        <w:tc>
          <w:tcPr>
            <w:tcW w:type="dxa" w:w="1872"/>
            <w:tcBorders>
              <w:top w:val="single" w:sz="4" w:color="000000"/>
              <w:left w:val="single" w:sz="4" w:color="000000"/>
              <w:bottom w:val="single" w:sz="4" w:color="000000"/>
              <w:right w:val="single" w:sz="4" w:color="000000"/>
            </w:tcBorders>
          </w:tcPr>
          <w:p>
            <w:r>
              <w:t>0.7666</w:t>
            </w:r>
          </w:p>
        </w:tc>
      </w:tr>
      <w:tr>
        <w:tc>
          <w:tcPr>
            <w:tcW w:type="dxa" w:w="1872"/>
            <w:tcBorders>
              <w:top w:val="single" w:sz="4" w:color="000000"/>
              <w:left w:val="single" w:sz="4" w:color="000000"/>
              <w:bottom w:val="single" w:sz="4" w:color="000000"/>
              <w:right w:val="single" w:sz="4" w:color="000000"/>
            </w:tcBorders>
          </w:tcPr>
          <w:p>
            <w:r>
              <w:t>Random Forest</w:t>
            </w:r>
          </w:p>
        </w:tc>
        <w:tc>
          <w:tcPr>
            <w:tcW w:type="dxa" w:w="1872"/>
            <w:tcBorders>
              <w:top w:val="single" w:sz="4" w:color="000000"/>
              <w:left w:val="single" w:sz="4" w:color="000000"/>
              <w:bottom w:val="single" w:sz="4" w:color="000000"/>
              <w:right w:val="single" w:sz="4" w:color="000000"/>
            </w:tcBorders>
          </w:tcPr>
          <w:p>
            <w:r>
              <w:t>%Sac.Caña</w:t>
            </w:r>
          </w:p>
        </w:tc>
        <w:tc>
          <w:tcPr>
            <w:tcW w:type="dxa" w:w="1872"/>
            <w:tcBorders>
              <w:top w:val="single" w:sz="4" w:color="000000"/>
              <w:left w:val="single" w:sz="4" w:color="000000"/>
              <w:bottom w:val="single" w:sz="4" w:color="000000"/>
              <w:right w:val="single" w:sz="4" w:color="000000"/>
            </w:tcBorders>
          </w:tcPr>
          <w:p>
            <w:r>
              <w:t>0.4881</w:t>
            </w:r>
          </w:p>
        </w:tc>
        <w:tc>
          <w:tcPr>
            <w:tcW w:type="dxa" w:w="1872"/>
            <w:tcBorders>
              <w:top w:val="single" w:sz="4" w:color="000000"/>
              <w:left w:val="single" w:sz="4" w:color="000000"/>
              <w:bottom w:val="single" w:sz="4" w:color="000000"/>
              <w:right w:val="single" w:sz="4" w:color="000000"/>
            </w:tcBorders>
          </w:tcPr>
          <w:p>
            <w:r>
              <w:t>0.8204</w:t>
            </w:r>
          </w:p>
        </w:tc>
        <w:tc>
          <w:tcPr>
            <w:tcW w:type="dxa" w:w="1872"/>
            <w:tcBorders>
              <w:top w:val="single" w:sz="4" w:color="000000"/>
              <w:left w:val="single" w:sz="4" w:color="000000"/>
              <w:bottom w:val="single" w:sz="4" w:color="000000"/>
              <w:right w:val="single" w:sz="4" w:color="000000"/>
            </w:tcBorders>
          </w:tcPr>
          <w:p>
            <w:r>
              <w:t>0.6278</w:t>
            </w:r>
          </w:p>
        </w:tc>
      </w:tr>
      <w:tr>
        <w:tc>
          <w:tcPr>
            <w:tcW w:type="dxa" w:w="1872"/>
            <w:tcBorders>
              <w:top w:val="single" w:sz="4" w:color="000000"/>
              <w:left w:val="single" w:sz="4" w:color="000000"/>
              <w:bottom w:val="single" w:sz="4" w:color="000000"/>
              <w:right w:val="single" w:sz="4" w:color="000000"/>
            </w:tcBorders>
          </w:tcPr>
          <w:p>
            <w:r>
              <w:t>XGBoost</w:t>
            </w:r>
          </w:p>
        </w:tc>
        <w:tc>
          <w:tcPr>
            <w:tcW w:type="dxa" w:w="1872"/>
            <w:tcBorders>
              <w:top w:val="single" w:sz="4" w:color="000000"/>
              <w:left w:val="single" w:sz="4" w:color="000000"/>
              <w:bottom w:val="single" w:sz="4" w:color="000000"/>
              <w:right w:val="single" w:sz="4" w:color="000000"/>
            </w:tcBorders>
          </w:tcPr>
          <w:p>
            <w:r>
              <w:t>%Sac.Caña</w:t>
            </w:r>
          </w:p>
        </w:tc>
        <w:tc>
          <w:tcPr>
            <w:tcW w:type="dxa" w:w="1872"/>
            <w:tcBorders>
              <w:top w:val="single" w:sz="4" w:color="000000"/>
              <w:left w:val="single" w:sz="4" w:color="000000"/>
              <w:bottom w:val="single" w:sz="4" w:color="000000"/>
              <w:right w:val="single" w:sz="4" w:color="000000"/>
            </w:tcBorders>
          </w:tcPr>
          <w:p>
            <w:r>
              <w:t>0.5267</w:t>
            </w:r>
          </w:p>
        </w:tc>
        <w:tc>
          <w:tcPr>
            <w:tcW w:type="dxa" w:w="1872"/>
            <w:tcBorders>
              <w:top w:val="single" w:sz="4" w:color="000000"/>
              <w:left w:val="single" w:sz="4" w:color="000000"/>
              <w:bottom w:val="single" w:sz="4" w:color="000000"/>
              <w:right w:val="single" w:sz="4" w:color="000000"/>
            </w:tcBorders>
          </w:tcPr>
          <w:p>
            <w:r>
              <w:t>0.7889</w:t>
            </w:r>
          </w:p>
        </w:tc>
        <w:tc>
          <w:tcPr>
            <w:tcW w:type="dxa" w:w="1872"/>
            <w:tcBorders>
              <w:top w:val="single" w:sz="4" w:color="000000"/>
              <w:left w:val="single" w:sz="4" w:color="000000"/>
              <w:bottom w:val="single" w:sz="4" w:color="000000"/>
              <w:right w:val="single" w:sz="4" w:color="000000"/>
            </w:tcBorders>
          </w:tcPr>
          <w:p>
            <w:r>
              <w:t>0.6012</w:t>
            </w:r>
          </w:p>
        </w:tc>
      </w:tr>
    </w:tbl>
    <w:p>
      <w:r>
        <w:t>XGBoost gana en ambos targets de regresión.</w:t>
      </w:r>
    </w:p>
    <w:p>
      <w:pPr>
        <w:pStyle w:val="Heading2"/>
      </w:pPr>
      <w:r>
        <w:t>3.2 Comparación de Modelos – Clasificación</w:t>
      </w:r>
    </w:p>
    <w:p>
      <w:r>
        <w:t>La Tabla 2 reporta el desempeño en test.</w:t>
      </w:r>
    </w:p>
    <w:tbl>
      <w:tblPr>
        <w:tblW w:type="auto" w:w="0"/>
        <w:tblLook w:firstColumn="1" w:firstRow="1" w:lastColumn="0" w:lastRow="0" w:noHBand="0" w:noVBand="1" w:val="04A0"/>
      </w:tblPr>
      <w:tblGrid>
        <w:gridCol w:w="1872"/>
        <w:gridCol w:w="1872"/>
        <w:gridCol w:w="1872"/>
        <w:gridCol w:w="1872"/>
        <w:gridCol w:w="1872"/>
      </w:tblGrid>
      <w:tr>
        <w:tc>
          <w:tcPr>
            <w:tcW w:type="dxa" w:w="1872"/>
            <w:tcBorders>
              <w:top w:val="single" w:sz="4" w:color="000000"/>
              <w:left w:val="single" w:sz="4" w:color="000000"/>
              <w:bottom w:val="single" w:sz="4" w:color="000000"/>
              <w:right w:val="single" w:sz="4" w:color="000000"/>
            </w:tcBorders>
          </w:tcPr>
          <w:p>
            <w:r/>
            <w:r>
              <w:rPr>
                <w:b/>
              </w:rPr>
              <w:t>Modelo</w:t>
            </w:r>
          </w:p>
        </w:tc>
        <w:tc>
          <w:tcPr>
            <w:tcW w:type="dxa" w:w="1872"/>
            <w:tcBorders>
              <w:top w:val="single" w:sz="4" w:color="000000"/>
              <w:left w:val="single" w:sz="4" w:color="000000"/>
              <w:bottom w:val="single" w:sz="4" w:color="000000"/>
              <w:right w:val="single" w:sz="4" w:color="000000"/>
            </w:tcBorders>
          </w:tcPr>
          <w:p>
            <w:r/>
            <w:r>
              <w:rPr>
                <w:b/>
              </w:rPr>
              <w:t>Target</w:t>
            </w:r>
          </w:p>
        </w:tc>
        <w:tc>
          <w:tcPr>
            <w:tcW w:type="dxa" w:w="1872"/>
            <w:tcBorders>
              <w:top w:val="single" w:sz="4" w:color="000000"/>
              <w:left w:val="single" w:sz="4" w:color="000000"/>
              <w:bottom w:val="single" w:sz="4" w:color="000000"/>
              <w:right w:val="single" w:sz="4" w:color="000000"/>
            </w:tcBorders>
          </w:tcPr>
          <w:p>
            <w:r/>
            <w:r>
              <w:rPr>
                <w:b/>
              </w:rPr>
              <w:t>Accuracy</w:t>
            </w:r>
          </w:p>
        </w:tc>
        <w:tc>
          <w:tcPr>
            <w:tcW w:type="dxa" w:w="1872"/>
            <w:tcBorders>
              <w:top w:val="single" w:sz="4" w:color="000000"/>
              <w:left w:val="single" w:sz="4" w:color="000000"/>
              <w:bottom w:val="single" w:sz="4" w:color="000000"/>
              <w:right w:val="single" w:sz="4" w:color="000000"/>
            </w:tcBorders>
          </w:tcPr>
          <w:p>
            <w:r/>
            <w:r>
              <w:rPr>
                <w:b/>
              </w:rPr>
              <w:t>F1-macro</w:t>
            </w:r>
          </w:p>
        </w:tc>
        <w:tc>
          <w:tcPr>
            <w:tcW w:type="dxa" w:w="1872"/>
            <w:tcBorders>
              <w:top w:val="single" w:sz="4" w:color="000000"/>
              <w:left w:val="single" w:sz="4" w:color="000000"/>
              <w:bottom w:val="single" w:sz="4" w:color="000000"/>
              <w:right w:val="single" w:sz="4" w:color="000000"/>
            </w:tcBorders>
          </w:tcPr>
          <w:p>
            <w:r/>
            <w:r>
              <w:rPr>
                <w:b/>
              </w:rPr>
              <w:t>Kappa</w:t>
            </w:r>
          </w:p>
        </w:tc>
      </w:tr>
      <w:tr>
        <w:tc>
          <w:tcPr>
            <w:tcW w:type="dxa" w:w="1872"/>
            <w:tcBorders>
              <w:top w:val="single" w:sz="4" w:color="000000"/>
              <w:left w:val="single" w:sz="4" w:color="000000"/>
              <w:bottom w:val="single" w:sz="4" w:color="000000"/>
              <w:right w:val="single" w:sz="4" w:color="000000"/>
            </w:tcBorders>
          </w:tcPr>
          <w:p>
            <w:r>
              <w:t>Logística L2</w:t>
            </w:r>
          </w:p>
        </w:tc>
        <w:tc>
          <w:tcPr>
            <w:tcW w:type="dxa" w:w="1872"/>
            <w:tcBorders>
              <w:top w:val="single" w:sz="4" w:color="000000"/>
              <w:left w:val="single" w:sz="4" w:color="000000"/>
              <w:bottom w:val="single" w:sz="4" w:color="000000"/>
              <w:right w:val="single" w:sz="4" w:color="000000"/>
            </w:tcBorders>
          </w:tcPr>
          <w:p>
            <w:r>
              <w:t>nivel TCH</w:t>
            </w:r>
          </w:p>
        </w:tc>
        <w:tc>
          <w:tcPr>
            <w:tcW w:type="dxa" w:w="1872"/>
            <w:tcBorders>
              <w:top w:val="single" w:sz="4" w:color="000000"/>
              <w:left w:val="single" w:sz="4" w:color="000000"/>
              <w:bottom w:val="single" w:sz="4" w:color="000000"/>
              <w:right w:val="single" w:sz="4" w:color="000000"/>
            </w:tcBorders>
          </w:tcPr>
          <w:p>
            <w:r>
              <w:t>0.4361</w:t>
            </w:r>
          </w:p>
        </w:tc>
        <w:tc>
          <w:tcPr>
            <w:tcW w:type="dxa" w:w="1872"/>
            <w:tcBorders>
              <w:top w:val="single" w:sz="4" w:color="000000"/>
              <w:left w:val="single" w:sz="4" w:color="000000"/>
              <w:bottom w:val="single" w:sz="4" w:color="000000"/>
              <w:right w:val="single" w:sz="4" w:color="000000"/>
            </w:tcBorders>
          </w:tcPr>
          <w:p>
            <w:r>
              <w:t>0.4222</w:t>
            </w:r>
          </w:p>
        </w:tc>
        <w:tc>
          <w:tcPr>
            <w:tcW w:type="dxa" w:w="1872"/>
            <w:tcBorders>
              <w:top w:val="single" w:sz="4" w:color="000000"/>
              <w:left w:val="single" w:sz="4" w:color="000000"/>
              <w:bottom w:val="single" w:sz="4" w:color="000000"/>
              <w:right w:val="single" w:sz="4" w:color="000000"/>
            </w:tcBorders>
          </w:tcPr>
          <w:p>
            <w:r>
              <w:t>0.1501</w:t>
            </w:r>
          </w:p>
        </w:tc>
      </w:tr>
      <w:tr>
        <w:tc>
          <w:tcPr>
            <w:tcW w:type="dxa" w:w="1872"/>
            <w:tcBorders>
              <w:top w:val="single" w:sz="4" w:color="000000"/>
              <w:left w:val="single" w:sz="4" w:color="000000"/>
              <w:bottom w:val="single" w:sz="4" w:color="000000"/>
              <w:right w:val="single" w:sz="4" w:color="000000"/>
            </w:tcBorders>
          </w:tcPr>
          <w:p>
            <w:r>
              <w:t>KNN</w:t>
            </w:r>
          </w:p>
        </w:tc>
        <w:tc>
          <w:tcPr>
            <w:tcW w:type="dxa" w:w="1872"/>
            <w:tcBorders>
              <w:top w:val="single" w:sz="4" w:color="000000"/>
              <w:left w:val="single" w:sz="4" w:color="000000"/>
              <w:bottom w:val="single" w:sz="4" w:color="000000"/>
              <w:right w:val="single" w:sz="4" w:color="000000"/>
            </w:tcBorders>
          </w:tcPr>
          <w:p>
            <w:r>
              <w:t>nivel TCH</w:t>
            </w:r>
          </w:p>
        </w:tc>
        <w:tc>
          <w:tcPr>
            <w:tcW w:type="dxa" w:w="1872"/>
            <w:tcBorders>
              <w:top w:val="single" w:sz="4" w:color="000000"/>
              <w:left w:val="single" w:sz="4" w:color="000000"/>
              <w:bottom w:val="single" w:sz="4" w:color="000000"/>
              <w:right w:val="single" w:sz="4" w:color="000000"/>
            </w:tcBorders>
          </w:tcPr>
          <w:p>
            <w:r>
              <w:t>0.4338</w:t>
            </w:r>
          </w:p>
        </w:tc>
        <w:tc>
          <w:tcPr>
            <w:tcW w:type="dxa" w:w="1872"/>
            <w:tcBorders>
              <w:top w:val="single" w:sz="4" w:color="000000"/>
              <w:left w:val="single" w:sz="4" w:color="000000"/>
              <w:bottom w:val="single" w:sz="4" w:color="000000"/>
              <w:right w:val="single" w:sz="4" w:color="000000"/>
            </w:tcBorders>
          </w:tcPr>
          <w:p>
            <w:r>
              <w:t>0.4272</w:t>
            </w:r>
          </w:p>
        </w:tc>
        <w:tc>
          <w:tcPr>
            <w:tcW w:type="dxa" w:w="1872"/>
            <w:tcBorders>
              <w:top w:val="single" w:sz="4" w:color="000000"/>
              <w:left w:val="single" w:sz="4" w:color="000000"/>
              <w:bottom w:val="single" w:sz="4" w:color="000000"/>
              <w:right w:val="single" w:sz="4" w:color="000000"/>
            </w:tcBorders>
          </w:tcPr>
          <w:p>
            <w:r>
              <w:t>0.1498</w:t>
            </w:r>
          </w:p>
        </w:tc>
      </w:tr>
      <w:tr>
        <w:tc>
          <w:tcPr>
            <w:tcW w:type="dxa" w:w="1872"/>
            <w:tcBorders>
              <w:top w:val="single" w:sz="4" w:color="000000"/>
              <w:left w:val="single" w:sz="4" w:color="000000"/>
              <w:bottom w:val="single" w:sz="4" w:color="000000"/>
              <w:right w:val="single" w:sz="4" w:color="000000"/>
            </w:tcBorders>
          </w:tcPr>
          <w:p>
            <w:r>
              <w:t>Random Forest</w:t>
            </w:r>
          </w:p>
        </w:tc>
        <w:tc>
          <w:tcPr>
            <w:tcW w:type="dxa" w:w="1872"/>
            <w:tcBorders>
              <w:top w:val="single" w:sz="4" w:color="000000"/>
              <w:left w:val="single" w:sz="4" w:color="000000"/>
              <w:bottom w:val="single" w:sz="4" w:color="000000"/>
              <w:right w:val="single" w:sz="4" w:color="000000"/>
            </w:tcBorders>
          </w:tcPr>
          <w:p>
            <w:r>
              <w:t>nivel TCH</w:t>
            </w:r>
          </w:p>
        </w:tc>
        <w:tc>
          <w:tcPr>
            <w:tcW w:type="dxa" w:w="1872"/>
            <w:tcBorders>
              <w:top w:val="single" w:sz="4" w:color="000000"/>
              <w:left w:val="single" w:sz="4" w:color="000000"/>
              <w:bottom w:val="single" w:sz="4" w:color="000000"/>
              <w:right w:val="single" w:sz="4" w:color="000000"/>
            </w:tcBorders>
          </w:tcPr>
          <w:p>
            <w:r>
              <w:t>0.4703</w:t>
            </w:r>
          </w:p>
        </w:tc>
        <w:tc>
          <w:tcPr>
            <w:tcW w:type="dxa" w:w="1872"/>
            <w:tcBorders>
              <w:top w:val="single" w:sz="4" w:color="000000"/>
              <w:left w:val="single" w:sz="4" w:color="000000"/>
              <w:bottom w:val="single" w:sz="4" w:color="000000"/>
              <w:right w:val="single" w:sz="4" w:color="000000"/>
            </w:tcBorders>
          </w:tcPr>
          <w:p>
            <w:r>
              <w:t>0.4683</w:t>
            </w:r>
          </w:p>
        </w:tc>
        <w:tc>
          <w:tcPr>
            <w:tcW w:type="dxa" w:w="1872"/>
            <w:tcBorders>
              <w:top w:val="single" w:sz="4" w:color="000000"/>
              <w:left w:val="single" w:sz="4" w:color="000000"/>
              <w:bottom w:val="single" w:sz="4" w:color="000000"/>
              <w:right w:val="single" w:sz="4" w:color="000000"/>
            </w:tcBorders>
          </w:tcPr>
          <w:p>
            <w:r>
              <w:t>0.2045</w:t>
            </w:r>
          </w:p>
        </w:tc>
      </w:tr>
      <w:tr>
        <w:tc>
          <w:tcPr>
            <w:tcW w:type="dxa" w:w="1872"/>
            <w:tcBorders>
              <w:top w:val="single" w:sz="4" w:color="000000"/>
              <w:left w:val="single" w:sz="4" w:color="000000"/>
              <w:bottom w:val="single" w:sz="4" w:color="000000"/>
              <w:right w:val="single" w:sz="4" w:color="000000"/>
            </w:tcBorders>
          </w:tcPr>
          <w:p>
            <w:r>
              <w:t>XGBoost</w:t>
            </w:r>
          </w:p>
        </w:tc>
        <w:tc>
          <w:tcPr>
            <w:tcW w:type="dxa" w:w="1872"/>
            <w:tcBorders>
              <w:top w:val="single" w:sz="4" w:color="000000"/>
              <w:left w:val="single" w:sz="4" w:color="000000"/>
              <w:bottom w:val="single" w:sz="4" w:color="000000"/>
              <w:right w:val="single" w:sz="4" w:color="000000"/>
            </w:tcBorders>
          </w:tcPr>
          <w:p>
            <w:r>
              <w:t>nivel TCH</w:t>
            </w:r>
          </w:p>
        </w:tc>
        <w:tc>
          <w:tcPr>
            <w:tcW w:type="dxa" w:w="1872"/>
            <w:tcBorders>
              <w:top w:val="single" w:sz="4" w:color="000000"/>
              <w:left w:val="single" w:sz="4" w:color="000000"/>
              <w:bottom w:val="single" w:sz="4" w:color="000000"/>
              <w:right w:val="single" w:sz="4" w:color="000000"/>
            </w:tcBorders>
          </w:tcPr>
          <w:p>
            <w:r>
              <w:t>0.4429</w:t>
            </w:r>
          </w:p>
        </w:tc>
        <w:tc>
          <w:tcPr>
            <w:tcW w:type="dxa" w:w="1872"/>
            <w:tcBorders>
              <w:top w:val="single" w:sz="4" w:color="000000"/>
              <w:left w:val="single" w:sz="4" w:color="000000"/>
              <w:bottom w:val="single" w:sz="4" w:color="000000"/>
              <w:right w:val="single" w:sz="4" w:color="000000"/>
            </w:tcBorders>
          </w:tcPr>
          <w:p>
            <w:r>
              <w:t>0.4426</w:t>
            </w:r>
          </w:p>
        </w:tc>
        <w:tc>
          <w:tcPr>
            <w:tcW w:type="dxa" w:w="1872"/>
            <w:tcBorders>
              <w:top w:val="single" w:sz="4" w:color="000000"/>
              <w:left w:val="single" w:sz="4" w:color="000000"/>
              <w:bottom w:val="single" w:sz="4" w:color="000000"/>
              <w:right w:val="single" w:sz="4" w:color="000000"/>
            </w:tcBorders>
          </w:tcPr>
          <w:p>
            <w:r>
              <w:t>0.1643</w:t>
            </w:r>
          </w:p>
        </w:tc>
      </w:tr>
      <w:tr>
        <w:tc>
          <w:tcPr>
            <w:tcW w:type="dxa" w:w="1872"/>
            <w:tcBorders>
              <w:top w:val="single" w:sz="4" w:color="000000"/>
              <w:left w:val="single" w:sz="4" w:color="000000"/>
              <w:bottom w:val="single" w:sz="4" w:color="000000"/>
              <w:right w:val="single" w:sz="4" w:color="000000"/>
            </w:tcBorders>
          </w:tcPr>
          <w:p>
            <w:r>
              <w:t>Logística L2</w:t>
            </w:r>
          </w:p>
        </w:tc>
        <w:tc>
          <w:tcPr>
            <w:tcW w:type="dxa" w:w="1872"/>
            <w:tcBorders>
              <w:top w:val="single" w:sz="4" w:color="000000"/>
              <w:left w:val="single" w:sz="4" w:color="000000"/>
              <w:bottom w:val="single" w:sz="4" w:color="000000"/>
              <w:right w:val="single" w:sz="4" w:color="000000"/>
            </w:tcBorders>
          </w:tcPr>
          <w:p>
            <w:r>
              <w:t>nivel sacarosa</w:t>
            </w:r>
          </w:p>
        </w:tc>
        <w:tc>
          <w:tcPr>
            <w:tcW w:type="dxa" w:w="1872"/>
            <w:tcBorders>
              <w:top w:val="single" w:sz="4" w:color="000000"/>
              <w:left w:val="single" w:sz="4" w:color="000000"/>
              <w:bottom w:val="single" w:sz="4" w:color="000000"/>
              <w:right w:val="single" w:sz="4" w:color="000000"/>
            </w:tcBorders>
          </w:tcPr>
          <w:p>
            <w:r>
              <w:t>0.4589</w:t>
            </w:r>
          </w:p>
        </w:tc>
        <w:tc>
          <w:tcPr>
            <w:tcW w:type="dxa" w:w="1872"/>
            <w:tcBorders>
              <w:top w:val="single" w:sz="4" w:color="000000"/>
              <w:left w:val="single" w:sz="4" w:color="000000"/>
              <w:bottom w:val="single" w:sz="4" w:color="000000"/>
              <w:right w:val="single" w:sz="4" w:color="000000"/>
            </w:tcBorders>
          </w:tcPr>
          <w:p>
            <w:r>
              <w:t>0.4369</w:t>
            </w:r>
          </w:p>
        </w:tc>
        <w:tc>
          <w:tcPr>
            <w:tcW w:type="dxa" w:w="1872"/>
            <w:tcBorders>
              <w:top w:val="single" w:sz="4" w:color="000000"/>
              <w:left w:val="single" w:sz="4" w:color="000000"/>
              <w:bottom w:val="single" w:sz="4" w:color="000000"/>
              <w:right w:val="single" w:sz="4" w:color="000000"/>
            </w:tcBorders>
          </w:tcPr>
          <w:p>
            <w:r>
              <w:t>0.1847</w:t>
            </w:r>
          </w:p>
        </w:tc>
      </w:tr>
      <w:tr>
        <w:tc>
          <w:tcPr>
            <w:tcW w:type="dxa" w:w="1872"/>
            <w:tcBorders>
              <w:top w:val="single" w:sz="4" w:color="000000"/>
              <w:left w:val="single" w:sz="4" w:color="000000"/>
              <w:bottom w:val="single" w:sz="4" w:color="000000"/>
              <w:right w:val="single" w:sz="4" w:color="000000"/>
            </w:tcBorders>
          </w:tcPr>
          <w:p>
            <w:r>
              <w:t>KNN</w:t>
            </w:r>
          </w:p>
        </w:tc>
        <w:tc>
          <w:tcPr>
            <w:tcW w:type="dxa" w:w="1872"/>
            <w:tcBorders>
              <w:top w:val="single" w:sz="4" w:color="000000"/>
              <w:left w:val="single" w:sz="4" w:color="000000"/>
              <w:bottom w:val="single" w:sz="4" w:color="000000"/>
              <w:right w:val="single" w:sz="4" w:color="000000"/>
            </w:tcBorders>
          </w:tcPr>
          <w:p>
            <w:r>
              <w:t>nivel sacarosa</w:t>
            </w:r>
          </w:p>
        </w:tc>
        <w:tc>
          <w:tcPr>
            <w:tcW w:type="dxa" w:w="1872"/>
            <w:tcBorders>
              <w:top w:val="single" w:sz="4" w:color="000000"/>
              <w:left w:val="single" w:sz="4" w:color="000000"/>
              <w:bottom w:val="single" w:sz="4" w:color="000000"/>
              <w:right w:val="single" w:sz="4" w:color="000000"/>
            </w:tcBorders>
          </w:tcPr>
          <w:p>
            <w:r>
              <w:t>0.4977</w:t>
            </w:r>
          </w:p>
        </w:tc>
        <w:tc>
          <w:tcPr>
            <w:tcW w:type="dxa" w:w="1872"/>
            <w:tcBorders>
              <w:top w:val="single" w:sz="4" w:color="000000"/>
              <w:left w:val="single" w:sz="4" w:color="000000"/>
              <w:bottom w:val="single" w:sz="4" w:color="000000"/>
              <w:right w:val="single" w:sz="4" w:color="000000"/>
            </w:tcBorders>
          </w:tcPr>
          <w:p>
            <w:r>
              <w:t>0.4860</w:t>
            </w:r>
          </w:p>
        </w:tc>
        <w:tc>
          <w:tcPr>
            <w:tcW w:type="dxa" w:w="1872"/>
            <w:tcBorders>
              <w:top w:val="single" w:sz="4" w:color="000000"/>
              <w:left w:val="single" w:sz="4" w:color="000000"/>
              <w:bottom w:val="single" w:sz="4" w:color="000000"/>
              <w:right w:val="single" w:sz="4" w:color="000000"/>
            </w:tcBorders>
          </w:tcPr>
          <w:p>
            <w:r>
              <w:t>0.2451</w:t>
            </w:r>
          </w:p>
        </w:tc>
      </w:tr>
      <w:tr>
        <w:tc>
          <w:tcPr>
            <w:tcW w:type="dxa" w:w="1872"/>
            <w:tcBorders>
              <w:top w:val="single" w:sz="4" w:color="000000"/>
              <w:left w:val="single" w:sz="4" w:color="000000"/>
              <w:bottom w:val="single" w:sz="4" w:color="000000"/>
              <w:right w:val="single" w:sz="4" w:color="000000"/>
            </w:tcBorders>
          </w:tcPr>
          <w:p>
            <w:r>
              <w:t>Random Forest</w:t>
            </w:r>
          </w:p>
        </w:tc>
        <w:tc>
          <w:tcPr>
            <w:tcW w:type="dxa" w:w="1872"/>
            <w:tcBorders>
              <w:top w:val="single" w:sz="4" w:color="000000"/>
              <w:left w:val="single" w:sz="4" w:color="000000"/>
              <w:bottom w:val="single" w:sz="4" w:color="000000"/>
              <w:right w:val="single" w:sz="4" w:color="000000"/>
            </w:tcBorders>
          </w:tcPr>
          <w:p>
            <w:r>
              <w:t>nivel sacarosa</w:t>
            </w:r>
          </w:p>
        </w:tc>
        <w:tc>
          <w:tcPr>
            <w:tcW w:type="dxa" w:w="1872"/>
            <w:tcBorders>
              <w:top w:val="single" w:sz="4" w:color="000000"/>
              <w:left w:val="single" w:sz="4" w:color="000000"/>
              <w:bottom w:val="single" w:sz="4" w:color="000000"/>
              <w:right w:val="single" w:sz="4" w:color="000000"/>
            </w:tcBorders>
          </w:tcPr>
          <w:p>
            <w:r>
              <w:t>0.5297</w:t>
            </w:r>
          </w:p>
        </w:tc>
        <w:tc>
          <w:tcPr>
            <w:tcW w:type="dxa" w:w="1872"/>
            <w:tcBorders>
              <w:top w:val="single" w:sz="4" w:color="000000"/>
              <w:left w:val="single" w:sz="4" w:color="000000"/>
              <w:bottom w:val="single" w:sz="4" w:color="000000"/>
              <w:right w:val="single" w:sz="4" w:color="000000"/>
            </w:tcBorders>
          </w:tcPr>
          <w:p>
            <w:r>
              <w:t>0.5192</w:t>
            </w:r>
          </w:p>
        </w:tc>
        <w:tc>
          <w:tcPr>
            <w:tcW w:type="dxa" w:w="1872"/>
            <w:tcBorders>
              <w:top w:val="single" w:sz="4" w:color="000000"/>
              <w:left w:val="single" w:sz="4" w:color="000000"/>
              <w:bottom w:val="single" w:sz="4" w:color="000000"/>
              <w:right w:val="single" w:sz="4" w:color="000000"/>
            </w:tcBorders>
          </w:tcPr>
          <w:p>
            <w:r>
              <w:t>0.2925</w:t>
            </w:r>
          </w:p>
        </w:tc>
      </w:tr>
      <w:tr>
        <w:tc>
          <w:tcPr>
            <w:tcW w:type="dxa" w:w="1872"/>
            <w:tcBorders>
              <w:top w:val="single" w:sz="4" w:color="000000"/>
              <w:left w:val="single" w:sz="4" w:color="000000"/>
              <w:bottom w:val="single" w:sz="4" w:color="000000"/>
              <w:right w:val="single" w:sz="4" w:color="000000"/>
            </w:tcBorders>
          </w:tcPr>
          <w:p>
            <w:r>
              <w:t>XGBoost</w:t>
            </w:r>
          </w:p>
        </w:tc>
        <w:tc>
          <w:tcPr>
            <w:tcW w:type="dxa" w:w="1872"/>
            <w:tcBorders>
              <w:top w:val="single" w:sz="4" w:color="000000"/>
              <w:left w:val="single" w:sz="4" w:color="000000"/>
              <w:bottom w:val="single" w:sz="4" w:color="000000"/>
              <w:right w:val="single" w:sz="4" w:color="000000"/>
            </w:tcBorders>
          </w:tcPr>
          <w:p>
            <w:r>
              <w:t>nivel sacarosa</w:t>
            </w:r>
          </w:p>
        </w:tc>
        <w:tc>
          <w:tcPr>
            <w:tcW w:type="dxa" w:w="1872"/>
            <w:tcBorders>
              <w:top w:val="single" w:sz="4" w:color="000000"/>
              <w:left w:val="single" w:sz="4" w:color="000000"/>
              <w:bottom w:val="single" w:sz="4" w:color="000000"/>
              <w:right w:val="single" w:sz="4" w:color="000000"/>
            </w:tcBorders>
          </w:tcPr>
          <w:p>
            <w:r>
              <w:t>0.5091</w:t>
            </w:r>
          </w:p>
        </w:tc>
        <w:tc>
          <w:tcPr>
            <w:tcW w:type="dxa" w:w="1872"/>
            <w:tcBorders>
              <w:top w:val="single" w:sz="4" w:color="000000"/>
              <w:left w:val="single" w:sz="4" w:color="000000"/>
              <w:bottom w:val="single" w:sz="4" w:color="000000"/>
              <w:right w:val="single" w:sz="4" w:color="000000"/>
            </w:tcBorders>
          </w:tcPr>
          <w:p>
            <w:r>
              <w:t>0.5050</w:t>
            </w:r>
          </w:p>
        </w:tc>
        <w:tc>
          <w:tcPr>
            <w:tcW w:type="dxa" w:w="1872"/>
            <w:tcBorders>
              <w:top w:val="single" w:sz="4" w:color="000000"/>
              <w:left w:val="single" w:sz="4" w:color="000000"/>
              <w:bottom w:val="single" w:sz="4" w:color="000000"/>
              <w:right w:val="single" w:sz="4" w:color="000000"/>
            </w:tcBorders>
          </w:tcPr>
          <w:p>
            <w:r>
              <w:t>0.2628</w:t>
            </w:r>
          </w:p>
        </w:tc>
      </w:tr>
    </w:tbl>
    <w:p>
      <w:r>
        <w:t>Las matrices de confusión muestran el patrón típico de problemas ordinales: errores concentrados entre clases adyacentes (Bajo↔Medio, Medio↔Alto), errores extremos raros. Las ROC One-vs-Rest evidencian mejor discriminación en clases extremas (AUC &gt; 0.7) que en la Medio (AUC ≈ 0.6) — comportamiento esperado al definir clases por tertiles.</w:t>
      </w:r>
    </w:p>
    <w:p>
      <w:pPr>
        <w:pStyle w:val="Heading2"/>
      </w:pPr>
      <w:r>
        <w:t>3.3 Diagnósticos: Curvas de Aprendizaje y Análisis de Errores</w:t>
      </w:r>
    </w:p>
    <w:p>
      <w:r>
        <w:t>Las curvas de aprendizaje de XGBoost convergen sin gap excesivo: el modelo NO está sobreajustado y añadir más filas del mismo tipo daría ganancias marginales. Para superar R² ≈ 0.5 hay que incorporar fuentes nuevas (sensores, NDVI). El análisis de errores por quintil revela mayores residuos en los extremos (Q1 y Q5): los lotes de productividad atípica son los más difíciles, por lo que en producción conviene reportar intervalos de predicción.</w:t>
      </w:r>
    </w:p>
    <w:p>
      <w:r>
        <w:t>Para clasificación, RF muestra cierto gap train-validación (típico): hay margen regularizando más con min_samples_leaf restrictivo. Los errores con alta confianza ocurren en zonas de transición de edad/cortes — candidatos a revisión agrónoma o a calibración isotónica.</w:t>
      </w:r>
    </w:p>
    <w:p>
      <w:pPr>
        <w:pStyle w:val="Heading1"/>
      </w:pPr>
      <w:r>
        <w:t>4. Conclusiones y Trabajo Futuro</w:t>
      </w:r>
    </w:p>
    <w:p>
      <w:pPr>
        <w:pStyle w:val="Heading2"/>
      </w:pPr>
      <w:r>
        <w:t>4.1 Conclusiones</w:t>
      </w:r>
    </w:p>
    <w:p>
      <w:pPr>
        <w:ind w:left="340"/>
      </w:pPr>
      <w:r>
        <w:rPr>
          <w:b w:val="0"/>
        </w:rPr>
        <w:t>• El XGBoost Regressor es el mejor predictor de TCH y %Sac.Caña (R² = 0.52 / 0.53), superando a OLS/Ridge (R² ≈ 0.32 / 0.27) por ~0.20 puntos, confirmando que las relaciones agronómicas son sustancialmente no lineales.</w:t>
      </w:r>
      <w:r/>
    </w:p>
    <w:p>
      <w:pPr>
        <w:ind w:left="340"/>
      </w:pPr>
      <w:r>
        <w:rPr>
          <w:b w:val="0"/>
        </w:rPr>
        <w:t>• Random Forest es el mejor clasificador para ambos targets (F1-macro = 0.47 nivel_TCH, 0.52 nivel_sacarosa; AUC-macro = 0.64 y 0.71 respectivamente).</w:t>
      </w:r>
      <w:r/>
    </w:p>
    <w:p>
      <w:pPr>
        <w:ind w:left="340"/>
      </w:pPr>
      <w:r>
        <w:rPr>
          <w:b w:val="0"/>
        </w:rPr>
        <w:t xml:space="preserve">• </w:t>
      </w:r>
      <w:r>
        <w:t>Las variables más influyentes son consistentes entre tareas y modelos: edad del cultivo, dosis de madurante, lluvias en periodo de maduración y variedad/zona — alineadas con la literatura agronómica del sector.</w:t>
      </w:r>
    </w:p>
    <w:p>
      <w:pPr>
        <w:ind w:left="340"/>
      </w:pPr>
      <w:r>
        <w:rPr>
          <w:b w:val="0"/>
        </w:rPr>
        <w:t xml:space="preserve">• </w:t>
      </w:r>
      <w:r>
        <w:t>Los modelos lineales con OLS/Ridge resultan poco competitivos en R² pero mantienen valor interpretativo: identifican el sentido y la significancia estadística de los efectos.</w:t>
      </w:r>
    </w:p>
    <w:p>
      <w:pPr>
        <w:ind w:left="340"/>
      </w:pPr>
      <w:r>
        <w:rPr>
          <w:b w:val="0"/>
        </w:rPr>
        <w:t xml:space="preserve">• </w:t>
      </w:r>
      <w:r>
        <w:t>El uso adecuado de Pipelines de scikit-learn con ColumnTransformer y validación cruzada garantiza ausencia de fuga de datos y reproducibilidad.</w:t>
      </w:r>
    </w:p>
    <w:p>
      <w:pPr>
        <w:pStyle w:val="Heading2"/>
      </w:pPr>
      <w:r>
        <w:t>4.2 Limitaciones</w:t>
      </w:r>
    </w:p>
    <w:p>
      <w:pPr>
        <w:ind w:left="340"/>
      </w:pPr>
      <w:r>
        <w:rPr>
          <w:b w:val="0"/>
        </w:rPr>
        <w:t xml:space="preserve">• </w:t>
      </w:r>
      <w:r>
        <w:t>BD_IPSA_1940 contiene una sola variedad (CC01-1940), por lo que los modelos de clasificación no generalizan a otras variedades sin reentrenamiento.</w:t>
      </w:r>
    </w:p>
    <w:p>
      <w:pPr>
        <w:ind w:left="340"/>
      </w:pPr>
      <w:r>
        <w:rPr>
          <w:b w:val="0"/>
        </w:rPr>
        <w:t>• El R² ≈ 0.52 indica que existe variabilidad relevante no capturada por las variables actuales — probablemente atribuible a microclimatología, estado del suelo y prácticas específicas no registradas.</w:t>
      </w:r>
      <w:r/>
    </w:p>
    <w:p>
      <w:pPr>
        <w:ind w:left="340"/>
      </w:pPr>
      <w:r>
        <w:rPr>
          <w:b w:val="0"/>
        </w:rPr>
        <w:t xml:space="preserve">• </w:t>
      </w:r>
      <w:r>
        <w:t>El split aleatorio es académicamente válido, pero en producción debería evaluarse con split temporal (entrenar con periodos pasados, evaluar en periodo más reciente) para estimar el desempeño real al desplegar.</w:t>
      </w:r>
    </w:p>
    <w:p>
      <w:pPr>
        <w:pStyle w:val="Heading2"/>
      </w:pPr>
      <w:r>
        <w:t>4.3 Trabajo Futuro</w:t>
      </w:r>
    </w:p>
    <w:p>
      <w:pPr>
        <w:ind w:left="340"/>
      </w:pPr>
      <w:r>
        <w:rPr>
          <w:b w:val="0"/>
        </w:rPr>
        <w:t xml:space="preserve">• </w:t>
      </w:r>
      <w:r>
        <w:t>Incorporar fuentes externas: imágenes satelitales (NDVI, EVI), sensores de humedad foliar y estaciones meteorológicas locales — la literatura sugiere ganancias hasta R² ≈ 0.7–0.9 en sacarosa cuando se incluye información satelital.</w:t>
      </w:r>
    </w:p>
    <w:p>
      <w:pPr>
        <w:ind w:left="340"/>
      </w:pPr>
      <w:r>
        <w:rPr>
          <w:b w:val="0"/>
        </w:rPr>
        <w:t xml:space="preserve">• </w:t>
      </w:r>
      <w:r>
        <w:t>Probar modelos de regresión ordinal para clasificación (acordes a la naturaleza ordinal de Bajo/Medio/Alto) y modelos de calibración isotónica de probabilidades.</w:t>
      </w:r>
    </w:p>
    <w:p>
      <w:pPr>
        <w:ind w:left="340"/>
      </w:pPr>
      <w:r>
        <w:rPr>
          <w:b w:val="0"/>
        </w:rPr>
        <w:t xml:space="preserve">• </w:t>
      </w:r>
      <w:r>
        <w:t>Integrar los modelos en un sistema de monitoreo en tiempo real para apoyar decisiones de fecha de cosecha óptima, dosis y momento de aplicación de madurante por lote.</w:t>
      </w:r>
    </w:p>
    <w:p>
      <w:pPr>
        <w:ind w:left="340"/>
      </w:pPr>
      <w:r>
        <w:rPr>
          <w:b w:val="0"/>
        </w:rPr>
        <w:t xml:space="preserve">• </w:t>
      </w:r>
      <w:r>
        <w:t>Realizar análisis de feature importance con SHAP para producir explicaciones a nivel de lote individual, útiles para retroalimentación operativa con los agrónomos.</w:t>
      </w:r>
    </w:p>
    <w:p>
      <w:pPr>
        <w:pStyle w:val="Heading1"/>
      </w:pPr>
      <w:r>
        <w:t>5. Referencias</w:t>
      </w:r>
    </w:p>
    <w:p>
      <w:pPr>
        <w:ind w:left="340"/>
      </w:pPr>
      <w:r>
        <w:rPr>
          <w:b w:val="0"/>
        </w:rPr>
        <w:t xml:space="preserve">• </w:t>
      </w:r>
      <w:r>
        <w:t>Asocaña. (2023). Informe Anual del Sector Azucarero Colombiano. Cali: Asociación de Cultivadores de Caña de Azúcar de Colombia.</w:t>
      </w:r>
    </w:p>
    <w:p>
      <w:pPr>
        <w:ind w:left="340"/>
      </w:pPr>
      <w:r>
        <w:rPr>
          <w:b w:val="0"/>
        </w:rPr>
        <w:t xml:space="preserve">• </w:t>
      </w:r>
      <w:r>
        <w:t>Cenicaña. (2022). Variedades de caña de azúcar para el Valle del río Cauca: criterios de selección y rendimientos. Cali: Centro de Investigación de la Caña de Azúcar de Colombia.</w:t>
      </w:r>
    </w:p>
    <w:p>
      <w:pPr>
        <w:ind w:left="340"/>
      </w:pPr>
      <w:r>
        <w:rPr>
          <w:b w:val="0"/>
        </w:rPr>
        <w:t xml:space="preserve">• </w:t>
      </w:r>
      <w:r>
        <w:t>Ingenio Providencia. (2023). Reporte de Sostenibilidad. El Cerrito, Valle del Cauca.</w:t>
      </w:r>
    </w:p>
    <w:p>
      <w:pPr>
        <w:ind w:left="340"/>
      </w:pPr>
      <w:r>
        <w:rPr>
          <w:b w:val="0"/>
        </w:rPr>
        <w:t xml:space="preserve">• </w:t>
      </w:r>
      <w:r>
        <w:t>Breiman, L. (2001). Random Forests. Machine Learning, 45(1), 5–32.</w:t>
      </w:r>
    </w:p>
    <w:p>
      <w:pPr>
        <w:ind w:left="340"/>
      </w:pPr>
      <w:r>
        <w:rPr>
          <w:b w:val="0"/>
        </w:rPr>
        <w:t xml:space="preserve">• </w:t>
      </w:r>
      <w:r>
        <w:t>Chen, T., &amp; Guestrin, C. (2016). XGBoost: A Scalable Tree Boosting System. Proceedings of the 22nd ACM SIGKDD International Conference on Knowledge Discovery and Data Mining (pp. 785–794).</w:t>
      </w:r>
    </w:p>
    <w:p>
      <w:pPr>
        <w:ind w:left="340"/>
      </w:pPr>
      <w:r>
        <w:rPr>
          <w:b w:val="0"/>
        </w:rPr>
        <w:t xml:space="preserve">• </w:t>
      </w:r>
      <w:r>
        <w:t>Pedregosa, F., et al. (2011). Scikit-learn: Machine Learning in Python. Journal of Machine Learning Research, 12, 2825–2830.</w:t>
      </w:r>
    </w:p>
    <w:p>
      <w:pPr>
        <w:ind w:left="340"/>
      </w:pPr>
      <w:r>
        <w:rPr>
          <w:b w:val="0"/>
        </w:rPr>
        <w:t xml:space="preserve">• </w:t>
      </w:r>
      <w:r>
        <w:t>Everingham, Y. L., Sexton, J., Skocaj, D., &amp; Inman-Bamber, G. (2016). Accurate prediction of sugarcane yield using a random forest algorithm. Agronomy for Sustainable Development, 36(2), 27.</w:t>
      </w:r>
    </w:p>
    <w:p>
      <w:pPr>
        <w:ind w:left="340"/>
      </w:pPr>
      <w:r>
        <w:rPr>
          <w:b w:val="0"/>
        </w:rPr>
        <w:t xml:space="preserve">• </w:t>
      </w:r>
      <w:r>
        <w:t>Hammer, R. G., et al. (2020). Sugarcane yield prediction through data mining and crop simulation models. Sugar Tech, 22, 216–225.</w:t>
      </w:r>
    </w:p>
    <w:p>
      <w:r>
        <w:br w:type="page"/>
      </w:r>
    </w:p>
    <w:p>
      <w:pPr>
        <w:pStyle w:val="Heading1"/>
      </w:pPr>
      <w:r>
        <w:t>Anexo A – Figuras de Apoyo</w:t>
      </w:r>
    </w:p>
    <w:p>
      <w:r>
        <w:t>Las siguientes figuras complementan el cuerpo del informe y soportan los resultados discutidos. Todas son generadas por los notebooks ejecutados (tarea2_eda_preprocesamiento.ipynb y tarea3_modelamiento.ipynb).</w:t>
      </w:r>
    </w:p>
    <w:p>
      <w:pPr>
        <w:jc w:val="center"/>
      </w:pPr>
      <w:r>
        <w:drawing>
          <wp:inline>
            <wp:extent cx="5400000" cy="3987591"/>
            <wp:docPr id="1" name="Picture 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00000" cy="3987591"/>
                    </a:xfrm>
                    <a:prstGeom prst="rect"/>
                  </pic:spPr>
                </pic:pic>
              </a:graphicData>
            </a:graphic>
          </wp:inline>
        </w:drawing>
      </w:r>
    </w:p>
    <w:p>
      <w:pPr>
        <w:jc w:val="center"/>
      </w:pPr>
      <w:r>
        <w:rPr>
          <w:i/>
        </w:rPr>
        <w:t>Figura 1. Distribución de TCH y %Sac.Caña – HISTORICO_SUERTES.</w:t>
      </w:r>
    </w:p>
    <w:p>
      <w:pPr>
        <w:jc w:val="center"/>
      </w:pPr>
      <w:r>
        <w:drawing>
          <wp:inline>
            <wp:extent cx="5400000" cy="4762332"/>
            <wp:docPr id="2" name="Picture 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00000" cy="4762332"/>
                    </a:xfrm>
                    <a:prstGeom prst="rect"/>
                  </pic:spPr>
                </pic:pic>
              </a:graphicData>
            </a:graphic>
          </wp:inline>
        </w:drawing>
      </w:r>
    </w:p>
    <w:p>
      <w:pPr>
        <w:jc w:val="center"/>
      </w:pPr>
      <w:r>
        <w:rPr>
          <w:i/>
        </w:rPr>
        <w:t>Figura 2. Matriz de correlación – variables numéricas (regresión).</w:t>
      </w:r>
    </w:p>
    <w:p>
      <w:pPr>
        <w:jc w:val="center"/>
      </w:pPr>
      <w:r>
        <w:drawing>
          <wp:inline>
            <wp:extent cx="5400000" cy="2675229"/>
            <wp:docPr id="3" name="Picture 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00000" cy="2675229"/>
                    </a:xfrm>
                    <a:prstGeom prst="rect"/>
                  </pic:spPr>
                </pic:pic>
              </a:graphicData>
            </a:graphic>
          </wp:inline>
        </w:drawing>
      </w:r>
    </w:p>
    <w:p>
      <w:pPr>
        <w:jc w:val="center"/>
      </w:pPr>
      <w:r>
        <w:rPr>
          <w:i/>
        </w:rPr>
        <w:t>Figura 3. Real vs Predicho – modelos de regresión.</w:t>
      </w:r>
    </w:p>
    <w:p>
      <w:pPr>
        <w:jc w:val="center"/>
      </w:pPr>
      <w:r>
        <w:drawing>
          <wp:inline>
            <wp:extent cx="5400000" cy="4012048"/>
            <wp:docPr id="4" name="Picture 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00000" cy="4012048"/>
                    </a:xfrm>
                    <a:prstGeom prst="rect"/>
                  </pic:spPr>
                </pic:pic>
              </a:graphicData>
            </a:graphic>
          </wp:inline>
        </w:drawing>
      </w:r>
    </w:p>
    <w:p>
      <w:pPr>
        <w:jc w:val="center"/>
      </w:pPr>
      <w:r>
        <w:rPr>
          <w:i/>
        </w:rPr>
        <w:t>Figura 4. Feature Importance – Random Forest y XGBoost (regresión).</w:t>
      </w:r>
    </w:p>
    <w:p>
      <w:pPr>
        <w:jc w:val="center"/>
      </w:pPr>
      <w:r>
        <w:drawing>
          <wp:inline>
            <wp:extent cx="5400000" cy="2672777"/>
            <wp:docPr id="5" name="Picture 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00000" cy="2672777"/>
                    </a:xfrm>
                    <a:prstGeom prst="rect"/>
                  </pic:spPr>
                </pic:pic>
              </a:graphicData>
            </a:graphic>
          </wp:inline>
        </w:drawing>
      </w:r>
    </w:p>
    <w:p>
      <w:pPr>
        <w:jc w:val="center"/>
      </w:pPr>
      <w:r>
        <w:rPr>
          <w:i/>
        </w:rPr>
        <w:t>Figura 5. Matrices de confusión – clasificación.</w:t>
      </w:r>
    </w:p>
    <w:p>
      <w:pPr>
        <w:jc w:val="center"/>
      </w:pPr>
      <w:r>
        <w:drawing>
          <wp:inline>
            <wp:extent cx="5400000" cy="2672777"/>
            <wp:docPr id="6" name="Picture 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00000" cy="2672777"/>
                    </a:xfrm>
                    <a:prstGeom prst="rect"/>
                  </pic:spPr>
                </pic:pic>
              </a:graphicData>
            </a:graphic>
          </wp:inline>
        </w:drawing>
      </w:r>
    </w:p>
    <w:p>
      <w:pPr>
        <w:jc w:val="center"/>
      </w:pPr>
      <w:r>
        <w:rPr>
          <w:i/>
        </w:rPr>
        <w:t>Figura 6. Curvas ROC One-vs-Rest – clasificación.</w:t>
      </w:r>
    </w:p>
    <w:p>
      <w:pPr>
        <w:jc w:val="center"/>
      </w:pPr>
      <w:r>
        <w:drawing>
          <wp:inline>
            <wp:extent cx="5400000" cy="3836842"/>
            <wp:docPr id="7" name="Picture 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00000" cy="3836842"/>
                    </a:xfrm>
                    <a:prstGeom prst="rect"/>
                  </pic:spPr>
                </pic:pic>
              </a:graphicData>
            </a:graphic>
          </wp:inline>
        </w:drawing>
      </w:r>
    </w:p>
    <w:p>
      <w:pPr>
        <w:jc w:val="center"/>
      </w:pPr>
      <w:r>
        <w:rPr>
          <w:i/>
        </w:rPr>
        <w:t>Figura 7. Curvas de aprendizaje – mejores modelos.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edalyc.org/journal/2631/263153520017/movil/" TargetMode="External"/><Relationship Id="rId10" Type="http://schemas.openxmlformats.org/officeDocument/2006/relationships/hyperlink" Target="https://www.larepublica.co/economia/rendimiento-de-la-cana-de-azucar-en-colombia-duplica-el-promedio-mundial-3876015" TargetMode="External"/><Relationship Id="rId13" Type="http://schemas.openxmlformats.org/officeDocument/2006/relationships/hyperlink" Target="https://www.semana.com/ingenio-providencia-un-motor-de-sostenibilidad-a-base-de-azucar-organico/688551/" TargetMode="External"/><Relationship Id="rId12" Type="http://schemas.openxmlformats.org/officeDocument/2006/relationships/hyperlink" Target="https://www.researchgate.net/publication/378654780_EL_MACHINE_LEARNING_Y_LA_TELEDETECCION_PARA_MONITOREAR_LA_MADURACION_DE_LA_CANA_DE_AZUCAR_MACHINE_LEARNING_AND_REMOTE_SENSING_TO_MONITOR_THE_MATURATION_OF_SUGARCA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republica.co/economia/rendimiento-de-la-cana-de-azucar-en-colombia-duplica-el-promedio-mundial-3876015" TargetMode="External"/><Relationship Id="rId15" Type="http://schemas.openxmlformats.org/officeDocument/2006/relationships/hyperlink" Target="https://www.researchgate.net/publication/378654780_EL_MACHINE_LEARNING_Y_LA_TELEDETECCION_PARA_MONITOREAR_LA_MADURACION_DE_LA_CANA_DE_AZUCAR_MACHINE_LEARNING_AND_REMOTE_SENSING_TO_MONITOR_THE_MATURATION_OF_SUGARCANE" TargetMode="External"/><Relationship Id="rId14" Type="http://schemas.openxmlformats.org/officeDocument/2006/relationships/hyperlink" Target="https://www.eltiempo.com/economia/sectores/ingenio-providencia-empresa-del-sector-azucarero-en-valle-del-cauca-expone-su-modelo-agroindustrial-sostenible-y-educativo-3472694" TargetMode="External"/><Relationship Id="rId17" Type="http://schemas.openxmlformats.org/officeDocument/2006/relationships/hyperlink" Target="https://www.siiba.conadesuca.gob.mx/siiaca/Consulta/verDoc.aspx?num=1706" TargetMode="External"/><Relationship Id="rId16" Type="http://schemas.openxmlformats.org/officeDocument/2006/relationships/hyperlink" Target="http://technologyrain.com.ar/index.php/trj/article/download/66/205" TargetMode="External"/><Relationship Id="rId5" Type="http://schemas.openxmlformats.org/officeDocument/2006/relationships/styles" Target="styles.xml"/><Relationship Id="rId6" Type="http://schemas.openxmlformats.org/officeDocument/2006/relationships/hyperlink" Target="https://www.semana.com/mejor-colombia/articulo/que-impacto-tiene-la-cana-de-azucar-en-la-calidad-de-vida-de-los-habitantes-del-valle-del-cauca/202400/" TargetMode="External"/><Relationship Id="rId7" Type="http://schemas.openxmlformats.org/officeDocument/2006/relationships/hyperlink" Target="https://www.larepublica.co/economia/rendimiento-de-la-cana-de-azucar-en-colombia-duplica-el-promedio-mundial-3876015" TargetMode="External"/><Relationship Id="rId8" Type="http://schemas.openxmlformats.org/officeDocument/2006/relationships/hyperlink" Target="https://www.larepublica.co/economia/rendimiento-de-la-cana-de-azucar-en-colombia-duplica-el-promedio-mundial-3876015" TargetMode="Externa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