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Confidence intervals</w:t>
      </w:r>
    </w:p>
    <w:p>
      <w:r>
        <w:t>A 95 percent confidence interval comes from a procedure that would contain the fixed population parameter in 95 percent of repeated samples. The parameter does not change between repetitions; the interval endpoints do. A larger sample usually reduces standard error and narrows the interval, holding variability and the confidence level constant. Greater confidence requires a wider interval.</w:t>
      </w:r>
    </w:p>
    <w:p>
      <w:pPr>
        <w:pStyle w:val="Heading1"/>
      </w:pPr>
      <w:r>
        <w:t>P values</w:t>
      </w:r>
    </w:p>
    <w:p>
      <w:r>
        <w:t>A p value is the probability, assuming the null hypothesis is true, of observing a result at least as extreme as the one obtained. It is not the probability that the null hypothesis is true. A small p value suggests that the observations are unusual under the null model. Statistical significance alone does not establish a large effect or practical importance.</w:t>
      </w:r>
    </w:p>
    <w:p>
      <w:pPr>
        <w:pStyle w:val="Heading1"/>
      </w:pPr>
      <w:r>
        <w:t>Random assignment</w:t>
      </w:r>
    </w:p>
    <w:p>
      <w:r>
        <w:t>Random assignment places study participants into treatment groups using chance. It helps balance both measured and unmeasured confounding factors on average, supporting causal comparisons between treatments. Random sampling instead selects people from a population and supports generalization. Assignment and sampling solve different problems; a randomly assigned experiment need not use a random sample of the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