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6279CD89" w:rsidR="00D36CDF" w:rsidRPr="00F27C1F" w:rsidRDefault="00F27C1F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Mobile Sensor Collection Component (C14</w:t>
      </w:r>
      <w:r w:rsidR="0085410A">
        <w:rPr>
          <w:b/>
          <w:color w:val="0070C0"/>
          <w:sz w:val="56"/>
        </w:rPr>
        <w:t>)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co-funded</w:t>
      </w:r>
      <w:proofErr w:type="gramEnd"/>
      <w:r w:rsidRPr="0021395F">
        <w:rPr>
          <w:lang w:eastAsia="el-GR"/>
        </w:rPr>
        <w:t xml:space="preserve">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77EFB8F0" w:rsidR="00D36CDF" w:rsidRPr="0021395F" w:rsidRDefault="00F27C1F" w:rsidP="00F27C1F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Mobile Sensor Collection Component (C14)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t.b.a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3694B82B" w14:textId="77777777" w:rsidR="00F27C1F" w:rsidRDefault="00D36CDF" w:rsidP="00F27C1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  <w:r w:rsidR="00F27C1F">
              <w:rPr>
                <w:color w:val="FF0000"/>
                <w:sz w:val="20"/>
                <w:szCs w:val="20"/>
              </w:rPr>
              <w:br/>
            </w:r>
          </w:p>
          <w:p w14:paraId="0962B6EA" w14:textId="026A13F4" w:rsidR="00F27C1F" w:rsidRDefault="00F27C1F" w:rsidP="00F27C1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Devices:</w:t>
            </w:r>
          </w:p>
          <w:p w14:paraId="2B0FEF39" w14:textId="77777777" w:rsidR="00F27C1F" w:rsidRPr="001422BD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1422BD">
              <w:rPr>
                <w:sz w:val="20"/>
                <w:szCs w:val="20"/>
              </w:rPr>
              <w:t>LG/Google Nexus 4</w:t>
            </w:r>
          </w:p>
          <w:p w14:paraId="1D592ABC" w14:textId="77777777" w:rsid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HTC </w:t>
            </w:r>
            <w:proofErr w:type="spellStart"/>
            <w:r>
              <w:rPr>
                <w:sz w:val="20"/>
                <w:szCs w:val="20"/>
              </w:rPr>
              <w:t>Evo</w:t>
            </w:r>
            <w:proofErr w:type="spellEnd"/>
            <w:r>
              <w:rPr>
                <w:sz w:val="20"/>
                <w:szCs w:val="20"/>
              </w:rPr>
              <w:t xml:space="preserve"> 3D</w:t>
            </w:r>
          </w:p>
          <w:p w14:paraId="39FEC5D9" w14:textId="77777777" w:rsid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D82997">
              <w:rPr>
                <w:sz w:val="20"/>
                <w:szCs w:val="20"/>
              </w:rPr>
              <w:t>Galaxy Tab 01</w:t>
            </w:r>
          </w:p>
          <w:p w14:paraId="2A60CE59" w14:textId="7DF8ED7F" w:rsidR="00D36CDF" w:rsidRP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F27C1F">
              <w:rPr>
                <w:sz w:val="20"/>
                <w:szCs w:val="20"/>
              </w:rPr>
              <w:t xml:space="preserve">Motorola </w:t>
            </w:r>
            <w:proofErr w:type="spellStart"/>
            <w:r w:rsidRPr="00F27C1F">
              <w:rPr>
                <w:sz w:val="20"/>
                <w:szCs w:val="20"/>
              </w:rPr>
              <w:t>Razr</w:t>
            </w:r>
            <w:proofErr w:type="spellEnd"/>
            <w:r w:rsidRPr="00F27C1F">
              <w:rPr>
                <w:sz w:val="20"/>
                <w:szCs w:val="20"/>
              </w:rPr>
              <w:t xml:space="preserve"> XT910 01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D36CDF" w:rsidRPr="0021395F" w14:paraId="42EEE164" w14:textId="77777777" w:rsidTr="005457D2">
        <w:tc>
          <w:tcPr>
            <w:tcW w:w="1275" w:type="pct"/>
          </w:tcPr>
          <w:p w14:paraId="3EC3F48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0B3CB225" w14:textId="35A81BD2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Deliverable D1.</w:t>
            </w:r>
            <w:r w:rsidR="00F27C1F">
              <w:rPr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 xml:space="preserve"> contains technical documentation of the Sensor Mining Component.</w:t>
            </w:r>
          </w:p>
          <w:p w14:paraId="0C669A97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00670CE7" w:rsidR="009F0103" w:rsidRPr="0021395F" w:rsidRDefault="0085410A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 xml:space="preserve"> </w:t>
            </w:r>
            <w:r w:rsidR="009F0103" w:rsidRPr="009F0103">
              <w:rPr>
                <w:color w:val="FF0000"/>
                <w:sz w:val="20"/>
                <w:szCs w:val="20"/>
              </w:rPr>
              <w:t>[Link to relevant references like requirements, technical and/or functional documentation, change logs etc.]</w:t>
            </w:r>
          </w:p>
        </w:tc>
      </w:tr>
    </w:tbl>
    <w:p w14:paraId="61497F89" w14:textId="48E6FD72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7FDB040D" w:rsidR="006C4D10" w:rsidRDefault="00F27C1F" w:rsidP="006C4D10">
      <w:pPr>
        <w:rPr>
          <w:color w:val="0070C0"/>
          <w:szCs w:val="24"/>
        </w:rPr>
      </w:pPr>
      <w:r>
        <w:rPr>
          <w:color w:val="0070C0"/>
          <w:szCs w:val="24"/>
        </w:rPr>
        <w:t>The Sensor Collection component is responsible for the collection of sensor data during the trial. We test this functionality on a mobile device using a testing GUI and inspect the uploaded data using a data inspection tool.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 xml:space="preserve">Keep in mind input data for test cases is very important part in </w:t>
      </w:r>
      <w:proofErr w:type="gramStart"/>
      <w:r w:rsidRPr="0015687E">
        <w:rPr>
          <w:lang w:eastAsia="en-GB"/>
        </w:rPr>
        <w:t>testing,</w:t>
      </w:r>
      <w:proofErr w:type="gramEnd"/>
      <w:r w:rsidRPr="0015687E">
        <w:rPr>
          <w:lang w:eastAsia="en-GB"/>
        </w:rPr>
        <w:t xml:space="preserve">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F27C1F" w:rsidRPr="0021395F" w14:paraId="22A0DA27" w14:textId="5CBE7E90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6A18D0A2" w:rsidR="00F27C1F" w:rsidRPr="0021395F" w:rsidRDefault="00F27C1F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9E084" w14:textId="34A29B44" w:rsidR="00F27C1F" w:rsidRPr="00F27C1F" w:rsidRDefault="004F75EC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R-SC.8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. </w:t>
            </w:r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The application must be </w:t>
            </w:r>
            <w:proofErr w:type="spellStart"/>
            <w:r w:rsidR="00F27C1F" w:rsidRPr="00F27C1F">
              <w:rPr>
                <w:color w:val="0070C0"/>
                <w:sz w:val="20"/>
                <w:szCs w:val="20"/>
                <w:lang w:val="en-US"/>
              </w:rPr>
              <w:t>sucessfully</w:t>
            </w:r>
            <w:proofErr w:type="spellEnd"/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 set up on a device that runs Android 2.2 or higher.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2706D0" w14:textId="6BE42E27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Download and Installation of a packaged version of the application works.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3D31C1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DAA8AEF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F27C1F" w:rsidRPr="009F0103" w:rsidRDefault="00F27C1F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F27C1F" w:rsidRPr="0021395F" w14:paraId="5CB38825" w14:textId="012A23C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FD9B4F0" w14:textId="0BF90DA5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F4AFB" w14:textId="2288E018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collector must prompt the user to activate GPS if it is not enabled on the device.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EC5953" w14:textId="1435CDB1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 popup is shown when start recording is clicked and no GPS is activated.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72B8C55" w14:textId="5618DA8E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EFEC19" w14:textId="128554B4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B9DCD" w14:textId="200F2C13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</w:tr>
      <w:tr w:rsidR="00F27C1F" w:rsidRPr="0021395F" w14:paraId="543EBAA4" w14:textId="7AD19BC2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80ED28" w14:textId="6C8D2CDC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16EB88" w14:textId="7809AEBD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Recording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activate the recording. Clicking „Stop Recording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deactivate the recording.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566545" w14:textId="3CDC3CD6" w:rsidR="00F27C1F" w:rsidRPr="0021395F" w:rsidRDefault="00F27C1F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state changes accordingly in the status bar.</w:t>
            </w:r>
            <w:r w:rsidR="00081974">
              <w:rPr>
                <w:color w:val="0070C0"/>
                <w:sz w:val="20"/>
                <w:szCs w:val="20"/>
              </w:rPr>
              <w:t xml:space="preserve"> Also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the queue size </w:t>
            </w:r>
            <w:r w:rsidR="00081974">
              <w:rPr>
                <w:color w:val="0070C0"/>
                <w:sz w:val="20"/>
                <w:szCs w:val="20"/>
                <w:lang w:val="en-US"/>
              </w:rPr>
              <w:t xml:space="preserve">sown in the status bar must change permanently </w:t>
            </w:r>
            <w:proofErr w:type="gramStart"/>
            <w:r w:rsidR="00081974">
              <w:rPr>
                <w:color w:val="0070C0"/>
                <w:sz w:val="20"/>
                <w:szCs w:val="20"/>
                <w:lang w:val="en-US"/>
              </w:rPr>
              <w:t xml:space="preserve">and 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the</w:t>
            </w:r>
            <w:proofErr w:type="gramEnd"/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sample count must increase.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077EFFE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676CD4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651686C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59C75025" w14:textId="5B98B023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C63D7C3" w14:textId="5EF52AC2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90464" w14:textId="5235BA6A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Samples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any recorded samples.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A6525" w14:textId="07752F66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recorded samples should be shown in the inspection front end.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8D6F6D0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0D908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BAA172B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DA45CB6" w14:textId="1F596DE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E7CE964" w14:textId="19D848B3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128D60" w14:textId="351E9C11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Streaming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activate the streaming. Clicking „Stop Streaming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deactivate the streaming.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C672DE" w14:textId="6BF1CC3E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state of streaming must be indicated by a green bar in the respective button.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318412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5E48D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4DA799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B968E9E" w14:textId="79776B0E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3932F16E" w14:textId="1969BE64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64DBD4" w14:textId="18C9D13E" w:rsidR="00F27C1F" w:rsidRPr="00F27C1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„Delete All Samples“, all samples must be deleted.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52502D" w14:textId="02DD72E0" w:rsidR="00F27C1F" w:rsidRPr="0021395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sample count in the status window must show 0.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ADA8113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D910AE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553004D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0E93C1AE" w14:textId="0C3F92DF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C7A771" w14:textId="08B9C11F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8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6F96E2" w14:textId="1B304DEA" w:rsidR="00F27C1F" w:rsidRPr="00F27C1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user must be able to set a user ID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FC2740" w14:textId="2A91171C" w:rsidR="00F27C1F" w:rsidRPr="0021395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set next to the ID text-box, the user Id in the information section below must change to the text in the ID text-box.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7AC991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C68013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F22317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1FD68B57" w14:textId="4D391E65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F686FF7" w14:textId="59327DFA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9C17C4" w14:textId="46AD1CA3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R-SC.1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collector must record a GPS sample every five seconds.</w:t>
            </w:r>
          </w:p>
        </w:tc>
        <w:tc>
          <w:tcPr>
            <w:tcW w:w="3476" w:type="dxa"/>
            <w:vMerge w:val="restart"/>
            <w:tcBorders>
              <w:left w:val="single" w:sz="4" w:space="0" w:color="auto"/>
            </w:tcBorders>
            <w:vAlign w:val="center"/>
          </w:tcPr>
          <w:p w14:paraId="42C61524" w14:textId="77777777" w:rsidR="00BC6F36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Record and upload sensor samples using the mobile application. The uploaded sensor samples are shown in the inspection front end. </w:t>
            </w:r>
            <w:r>
              <w:rPr>
                <w:color w:val="0070C0"/>
                <w:sz w:val="20"/>
                <w:szCs w:val="20"/>
              </w:rPr>
              <w:br/>
              <w:t xml:space="preserve">In the case of time series data like accelerometer samples, zoom into the plot until individual samples are visible and verify that the samples are recorded in the </w:t>
            </w:r>
            <w:proofErr w:type="gramStart"/>
            <w:r>
              <w:rPr>
                <w:color w:val="0070C0"/>
                <w:sz w:val="20"/>
                <w:szCs w:val="20"/>
              </w:rPr>
              <w:t>correct  frequencies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.</w:t>
            </w:r>
          </w:p>
          <w:p w14:paraId="0348AD86" w14:textId="7D505927" w:rsidR="00BC6F36" w:rsidRPr="0021395F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For discrete data like </w:t>
            </w:r>
            <w:proofErr w:type="spellStart"/>
            <w:r>
              <w:rPr>
                <w:color w:val="0070C0"/>
                <w:sz w:val="20"/>
                <w:szCs w:val="20"/>
              </w:rPr>
              <w:t>wifi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accesspoints</w:t>
            </w:r>
            <w:proofErr w:type="spellEnd"/>
            <w:r>
              <w:rPr>
                <w:color w:val="0070C0"/>
                <w:sz w:val="20"/>
                <w:szCs w:val="20"/>
              </w:rPr>
              <w:t>, lookup the corresponding entries in the table view.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358FB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73359B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4FD80B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77484C9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6C2C6488" w14:textId="0117D71C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19B947" w14:textId="35F32B84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accelerometer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BE5CD02" w14:textId="17F1BE0F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9F6951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3C1E17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FF2FA2E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57A86E62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9A320BC" w14:textId="0AA4073F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2B8B16" w14:textId="5CA0655A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R-SC.2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linear acceleration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83AD14" w14:textId="301508A9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59382E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71198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925BB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83E2155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86C4460" w14:textId="51B6A69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87E65F" w14:textId="0B6B11D5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R-SC.2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gravity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49DBFFF" w14:textId="31FA129D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2DB92A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C95AB32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4D55C2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12BDBB0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2D5B6" w14:textId="67220F1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7D68D4" w14:textId="5464CC58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R-SC.5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Every thirty seconds, the currently available </w:t>
            </w:r>
            <w:proofErr w:type="spellStart"/>
            <w:r w:rsidR="00BC6F36" w:rsidRPr="00F27C1F">
              <w:rPr>
                <w:color w:val="0070C0"/>
                <w:sz w:val="20"/>
                <w:szCs w:val="20"/>
                <w:lang w:val="en-US"/>
              </w:rPr>
              <w:t>WiFi</w:t>
            </w:r>
            <w:proofErr w:type="spellEnd"/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 access points must be logged with their respective signal strengths.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02B7251" w14:textId="61A8D4F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CD7D71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F52471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27E450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23ED8884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1D694EF" w14:textId="20A9BCE0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1C5C4E" w14:textId="72C52441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R-SC.</w:t>
            </w:r>
            <w:r>
              <w:rPr>
                <w:color w:val="0070C0"/>
                <w:sz w:val="20"/>
                <w:szCs w:val="20"/>
                <w:lang w:val="en-US"/>
              </w:rPr>
              <w:t>5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Every twenty seconds the network cells visible to the phone must be logged.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0E011E" w14:textId="25000AD0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D9B37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48531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959F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52CEC05" w14:textId="77777777" w:rsidTr="00193698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3DE5C6F" w14:textId="2ABF96D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lastRenderedPageBreak/>
              <w:t>15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CBB35" w14:textId="2FB922BE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If the phone supports the „Google Play Services“, activities recognized by these services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5F6B287" w14:textId="0DAB8EA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42BA974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A109AC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0DF997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797DDDCE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DAE6C7A" w14:textId="130AC28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844642" w14:textId="100CD93D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R-SC.8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A sent annotation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8825D2" w14:textId="0E4687D4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1FCCF1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0629B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47B4E7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06DBD98C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2D72A4F" w14:textId="1ED5514B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7EBE17" w14:textId="05438617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On clicking start-recording, an annotation with the text „Start Recording“ must be logged, on licking stop-recording an annotation with the text „Stop recording“ must be logged.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CA3C93" w14:textId="195E1228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</w:rPr>
              <w:t xml:space="preserve">Open the raw </w:t>
            </w:r>
            <w:proofErr w:type="spellStart"/>
            <w:r>
              <w:rPr>
                <w:color w:val="0070C0"/>
                <w:sz w:val="20"/>
                <w:szCs w:val="20"/>
              </w:rPr>
              <w:t>ssf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file, that has been transferred to the server, and check if </w:t>
            </w:r>
            <w:proofErr w:type="gramStart"/>
            <w:r>
              <w:rPr>
                <w:color w:val="0070C0"/>
                <w:sz w:val="20"/>
                <w:szCs w:val="20"/>
              </w:rPr>
              <w:t>correct  a</w:t>
            </w:r>
            <w:bookmarkStart w:id="3" w:name="_GoBack"/>
            <w:bookmarkEnd w:id="3"/>
            <w:r>
              <w:rPr>
                <w:color w:val="0070C0"/>
                <w:sz w:val="20"/>
                <w:szCs w:val="20"/>
              </w:rPr>
              <w:t>nnotations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are set in the file.</w:t>
            </w:r>
          </w:p>
          <w:p w14:paraId="004F4457" w14:textId="73BF546F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BFD68C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A8F2A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71FBF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 xml:space="preserve">Issues </w:t>
      </w:r>
      <w:proofErr w:type="gramStart"/>
      <w:r w:rsidR="00D36CDF" w:rsidRPr="00E1432D">
        <w:rPr>
          <w:b/>
          <w:sz w:val="32"/>
          <w:szCs w:val="32"/>
        </w:rPr>
        <w:t>raised</w:t>
      </w:r>
      <w:bookmarkEnd w:id="4"/>
      <w:proofErr w:type="gramEnd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2"/>
      <w:footerReference w:type="default" r:id="rId13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5452E2" w:rsidRDefault="005452E2" w:rsidP="002D11CB">
      <w:r>
        <w:separator/>
      </w:r>
    </w:p>
  </w:endnote>
  <w:endnote w:type="continuationSeparator" w:id="0">
    <w:p w14:paraId="48A61A1F" w14:textId="77777777" w:rsidR="005452E2" w:rsidRDefault="005452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5452E2" w:rsidRDefault="005452E2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5452E2" w:rsidRPr="005711DF" w:rsidRDefault="005452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75EC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4F75EC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5452E2" w:rsidRDefault="005452E2" w:rsidP="002D11CB">
      <w:r>
        <w:separator/>
      </w:r>
    </w:p>
  </w:footnote>
  <w:footnote w:type="continuationSeparator" w:id="0">
    <w:p w14:paraId="047BE527" w14:textId="77777777" w:rsidR="005452E2" w:rsidRDefault="005452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5452E2" w:rsidRPr="00DD3311" w:rsidRDefault="005452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5452E2" w:rsidRPr="00D36CDF" w:rsidRDefault="005452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5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4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6145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4F75EC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D0270-6E28-43D7-A4A5-92D387EF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1327</Words>
  <Characters>7207</Characters>
  <Application>Microsoft Office Word</Application>
  <DocSecurity>0</DocSecurity>
  <Lines>60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Collection Component (C14)</vt:lpstr>
      <vt:lpstr>Technical verification and testing strategy</vt:lpstr>
    </vt:vector>
  </TitlesOfParts>
  <Company>Yucat</Company>
  <LinksUpToDate>false</LinksUpToDate>
  <CharactersWithSpaces>8517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Sensor Collection Component (C14)</dc:title>
  <dc:subject>Deliverable 4.4</dc:subject>
  <dc:creator>Frank Thiele</dc:creator>
  <cp:lastModifiedBy>Hartmann</cp:lastModifiedBy>
  <cp:revision>6</cp:revision>
  <cp:lastPrinted>2013-11-12T15:01:00Z</cp:lastPrinted>
  <dcterms:created xsi:type="dcterms:W3CDTF">2014-05-21T09:37:00Z</dcterms:created>
  <dcterms:modified xsi:type="dcterms:W3CDTF">2014-05-21T11:18:00Z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