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A41132" w:rsidRDefault="00D36CDF" w:rsidP="00D36CDF">
      <w:pPr>
        <w:jc w:val="center"/>
      </w:pPr>
      <w:r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A41132" w:rsidRDefault="00D36CDF" w:rsidP="00D36CDF"/>
    <w:p w14:paraId="3814DA10" w14:textId="77777777" w:rsidR="00D36CDF" w:rsidRPr="00E26282" w:rsidRDefault="00D36CDF" w:rsidP="00D36CDF">
      <w:pPr>
        <w:jc w:val="center"/>
        <w:rPr>
          <w:sz w:val="28"/>
        </w:rPr>
      </w:pPr>
      <w:r w:rsidRPr="00E26282">
        <w:rPr>
          <w:sz w:val="28"/>
        </w:rPr>
        <w:t>Reality Sensing, Mining and Augmentation</w:t>
      </w:r>
      <w:r>
        <w:rPr>
          <w:sz w:val="28"/>
        </w:rPr>
        <w:t xml:space="preserve"> </w:t>
      </w:r>
      <w:r>
        <w:rPr>
          <w:sz w:val="28"/>
        </w:rPr>
        <w:br/>
      </w:r>
      <w:r w:rsidRPr="00E26282">
        <w:rPr>
          <w:sz w:val="28"/>
        </w:rPr>
        <w:t>for Mobile Citizen–Government Dialogue</w:t>
      </w:r>
    </w:p>
    <w:p w14:paraId="12FE7134" w14:textId="77777777" w:rsidR="00D36CDF" w:rsidRPr="00382615" w:rsidRDefault="00D36CDF" w:rsidP="00D36CDF">
      <w:pPr>
        <w:jc w:val="center"/>
        <w:rPr>
          <w:sz w:val="28"/>
        </w:rPr>
      </w:pPr>
    </w:p>
    <w:p w14:paraId="4649A61E" w14:textId="77777777" w:rsidR="00D36CDF" w:rsidRPr="00382615" w:rsidRDefault="00D36CDF" w:rsidP="00D36CDF">
      <w:pPr>
        <w:jc w:val="center"/>
        <w:rPr>
          <w:sz w:val="28"/>
        </w:rPr>
      </w:pPr>
      <w:r w:rsidRPr="00382615">
        <w:rPr>
          <w:sz w:val="28"/>
        </w:rPr>
        <w:t>FP7-</w:t>
      </w:r>
      <w:r w:rsidRPr="00E26282">
        <w:rPr>
          <w:sz w:val="28"/>
        </w:rPr>
        <w:t>288815</w:t>
      </w:r>
    </w:p>
    <w:p w14:paraId="2A46D8AB" w14:textId="77777777" w:rsidR="00D36CDF" w:rsidRDefault="00D36CDF" w:rsidP="00D36CDF"/>
    <w:p w14:paraId="7AF2DAF4" w14:textId="77777777" w:rsidR="00D36CDF" w:rsidRDefault="00D36CDF" w:rsidP="00D36CDF"/>
    <w:p w14:paraId="51C6C3BE" w14:textId="4C44651A" w:rsidR="00D36CDF" w:rsidRDefault="00D36CDF" w:rsidP="00D36CDF">
      <w:pPr>
        <w:jc w:val="center"/>
        <w:rPr>
          <w:b/>
          <w:sz w:val="56"/>
          <w:lang w:val="en-US"/>
        </w:rPr>
      </w:pPr>
      <w:r w:rsidRPr="00D36CDF">
        <w:rPr>
          <w:b/>
          <w:sz w:val="56"/>
          <w:lang w:val="en-US"/>
        </w:rPr>
        <w:t>Test scenario’s &amp;</w:t>
      </w:r>
      <w:r>
        <w:t xml:space="preserve"> </w:t>
      </w:r>
      <w:r w:rsidRPr="00D36CDF">
        <w:rPr>
          <w:b/>
          <w:sz w:val="56"/>
          <w:lang w:val="en-US"/>
        </w:rPr>
        <w:t>results</w:t>
      </w:r>
    </w:p>
    <w:p w14:paraId="515028AA" w14:textId="4B4858EF" w:rsidR="00D36CDF" w:rsidRPr="006A6FE5" w:rsidRDefault="006A6FE5" w:rsidP="006A6FE5">
      <w:pPr>
        <w:jc w:val="center"/>
        <w:rPr>
          <w:b/>
          <w:sz w:val="56"/>
          <w:lang w:val="en-US"/>
        </w:rPr>
      </w:pPr>
      <w:r w:rsidRPr="006A6FE5">
        <w:rPr>
          <w:b/>
          <w:sz w:val="56"/>
          <w:lang w:val="en-US"/>
        </w:rPr>
        <w:t>C9 Server Side Mining Service</w:t>
      </w:r>
      <w:bookmarkStart w:id="0" w:name="_GoBack"/>
      <w:bookmarkEnd w:id="0"/>
      <w:r w:rsidR="003010DD">
        <w:rPr>
          <w:b/>
          <w:sz w:val="56"/>
          <w:lang w:val="en-US"/>
        </w:rPr>
        <w:br/>
      </w:r>
      <w:proofErr w:type="spellStart"/>
      <w:r w:rsidR="003010DD">
        <w:rPr>
          <w:b/>
          <w:sz w:val="56"/>
          <w:lang w:val="en-US"/>
        </w:rPr>
        <w:t>Service</w:t>
      </w:r>
      <w:proofErr w:type="spellEnd"/>
      <w:r w:rsidR="003010DD">
        <w:rPr>
          <w:b/>
          <w:sz w:val="56"/>
          <w:lang w:val="en-US"/>
        </w:rPr>
        <w:t xml:space="preserve"> Line Detection</w:t>
      </w:r>
    </w:p>
    <w:p w14:paraId="0B34D708" w14:textId="77777777" w:rsidR="00D36CDF" w:rsidRDefault="00D36CDF" w:rsidP="00D36CDF"/>
    <w:p w14:paraId="0529F626" w14:textId="77777777" w:rsidR="00D36CDF" w:rsidRPr="00A41132" w:rsidRDefault="00D36CDF" w:rsidP="00D36CDF"/>
    <w:p w14:paraId="35D4B1AC" w14:textId="77777777" w:rsidR="00D36CDF" w:rsidRPr="00A41132" w:rsidRDefault="00D36CDF" w:rsidP="00D36CDF">
      <w:r w:rsidRPr="00A41132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E5481E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E5481E" w:rsidRDefault="00D36CDF" w:rsidP="00D36CDF">
            <w:r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E5481E" w:rsidRDefault="00D36CDF" w:rsidP="00D36CDF">
            <w:r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A41132" w:rsidRDefault="00D36CDF" w:rsidP="00D36CDF">
      <w:pPr>
        <w:rPr>
          <w:lang w:eastAsia="el-GR"/>
        </w:rPr>
      </w:pPr>
    </w:p>
    <w:p w14:paraId="7FCE33A5" w14:textId="77777777" w:rsidR="00D36CDF" w:rsidRPr="00A41132" w:rsidRDefault="00D36CDF" w:rsidP="00D36CDF">
      <w:pPr>
        <w:jc w:val="center"/>
        <w:rPr>
          <w:lang w:eastAsia="el-GR"/>
        </w:rPr>
      </w:pPr>
      <w:proofErr w:type="gramStart"/>
      <w:r w:rsidRPr="00A41132">
        <w:rPr>
          <w:lang w:eastAsia="el-GR"/>
        </w:rPr>
        <w:t>co-funded</w:t>
      </w:r>
      <w:proofErr w:type="gramEnd"/>
      <w:r w:rsidRPr="00A41132">
        <w:rPr>
          <w:lang w:eastAsia="el-GR"/>
        </w:rPr>
        <w:t xml:space="preserve"> by the European Union</w:t>
      </w:r>
    </w:p>
    <w:p w14:paraId="24A035FB" w14:textId="77777777" w:rsidR="00D36CDF" w:rsidRPr="00A41132" w:rsidRDefault="00D36CDF" w:rsidP="00D36CDF">
      <w:pPr>
        <w:rPr>
          <w:lang w:eastAsia="el-GR"/>
        </w:rPr>
      </w:pPr>
    </w:p>
    <w:p w14:paraId="4ED7E12F" w14:textId="77777777" w:rsidR="00D36CD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>
        <w:br w:type="page"/>
      </w:r>
    </w:p>
    <w:p w14:paraId="0C6521F6" w14:textId="56C7ECE5" w:rsidR="00D36CDF" w:rsidRDefault="00D36CDF" w:rsidP="00D36CDF">
      <w:pPr>
        <w:pStyle w:val="berschrift1"/>
        <w:numPr>
          <w:ilvl w:val="0"/>
          <w:numId w:val="13"/>
        </w:numPr>
      </w:pPr>
      <w:bookmarkStart w:id="1" w:name="_Toc371077574"/>
      <w:r>
        <w:lastRenderedPageBreak/>
        <w:t>Template instructions</w:t>
      </w:r>
      <w:bookmarkEnd w:id="1"/>
    </w:p>
    <w:p w14:paraId="1ED48EE5" w14:textId="36442E1E" w:rsidR="00D36CDF" w:rsidRDefault="00D36CDF" w:rsidP="00D36CDF">
      <w:pPr>
        <w:rPr>
          <w:lang w:eastAsia="en-GB"/>
        </w:rPr>
      </w:pPr>
      <w:r>
        <w:rPr>
          <w:lang w:eastAsia="en-GB"/>
        </w:rPr>
        <w:t>This templa</w:t>
      </w:r>
      <w:r w:rsidR="0041671F">
        <w:rPr>
          <w:lang w:eastAsia="en-GB"/>
        </w:rPr>
        <w:t>te is used for documenting test scenarios</w:t>
      </w:r>
      <w:r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Default="00D36CDF" w:rsidP="00D36CDF">
      <w:pPr>
        <w:rPr>
          <w:lang w:eastAsia="en-GB"/>
        </w:rPr>
      </w:pPr>
      <w:r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04ADF35D" w:rsidR="00D36CDF" w:rsidRPr="00221DBC" w:rsidRDefault="00D36CDF" w:rsidP="00D36CDF">
      <w:pPr>
        <w:rPr>
          <w:lang w:eastAsia="en-GB"/>
        </w:rPr>
      </w:pPr>
      <w:r>
        <w:rPr>
          <w:lang w:eastAsia="en-GB"/>
        </w:rPr>
        <w:t xml:space="preserve">These test scenario’s are described and agreed upon before starting the actual tests. </w:t>
      </w:r>
      <w:r w:rsidR="0041671F">
        <w:rPr>
          <w:lang w:eastAsia="en-GB"/>
        </w:rPr>
        <w:t>This mean</w:t>
      </w:r>
      <w:r w:rsidR="0052414F">
        <w:rPr>
          <w:lang w:eastAsia="en-GB"/>
        </w:rPr>
        <w:t>s</w:t>
      </w:r>
      <w:r w:rsidR="0041671F">
        <w:rPr>
          <w:lang w:eastAsia="en-GB"/>
        </w:rPr>
        <w:t xml:space="preserve"> that all </w:t>
      </w:r>
      <w:r w:rsidR="0041671F" w:rsidRPr="0052414F">
        <w:rPr>
          <w:color w:val="0070C0"/>
          <w:lang w:eastAsia="en-GB"/>
        </w:rPr>
        <w:t xml:space="preserve">blue </w:t>
      </w:r>
      <w:r w:rsidR="0041671F">
        <w:rPr>
          <w:lang w:eastAsia="en-GB"/>
        </w:rPr>
        <w:t xml:space="preserve">sections need to be pre-filled </w:t>
      </w:r>
      <w:r w:rsidR="0052414F">
        <w:rPr>
          <w:lang w:eastAsia="en-GB"/>
        </w:rPr>
        <w:t>before starting the actual test.</w:t>
      </w:r>
    </w:p>
    <w:p w14:paraId="365923A9" w14:textId="77777777" w:rsidR="00D36CDF" w:rsidRPr="004072DD" w:rsidRDefault="00D36CDF" w:rsidP="00D36CDF">
      <w:pPr>
        <w:pStyle w:val="berschrift1"/>
      </w:pPr>
      <w:bookmarkStart w:id="2" w:name="_Toc371077575"/>
      <w:r>
        <w:t>Test configuration</w:t>
      </w:r>
      <w:bookmarkEnd w:id="2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4072DD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4072DD" w:rsidRDefault="00D36CDF" w:rsidP="00D36CDF">
            <w:pPr>
              <w:rPr>
                <w:b/>
                <w:sz w:val="28"/>
              </w:rPr>
            </w:pPr>
            <w:r w:rsidRPr="006B6939">
              <w:rPr>
                <w:szCs w:val="24"/>
              </w:rPr>
              <w:t>Software identification</w:t>
            </w:r>
          </w:p>
        </w:tc>
      </w:tr>
      <w:tr w:rsidR="00D36CDF" w:rsidRPr="00E5481E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0000" w:themeColor="text1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517A2979" w:rsidR="00D36CDF" w:rsidRPr="006B6939" w:rsidRDefault="006A6FE5" w:rsidP="006A6FE5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 w:rsidRPr="00162BFB">
                  <w:rPr>
                    <w:color w:val="000000" w:themeColor="text1"/>
                    <w:sz w:val="20"/>
                    <w:szCs w:val="20"/>
                  </w:rPr>
                  <w:t xml:space="preserve">C9 Server Side Mining Service – Service Line Detection </w:t>
                </w:r>
              </w:p>
            </w:tc>
          </w:sdtContent>
        </w:sdt>
      </w:tr>
      <w:tr w:rsidR="00D36CDF" w:rsidRPr="00E5481E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B6939">
              <w:rPr>
                <w:sz w:val="20"/>
                <w:szCs w:val="20"/>
              </w:rPr>
              <w:t>ersion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587667D5" w:rsidR="00D36CDF" w:rsidRPr="006B6939" w:rsidRDefault="006A6FE5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0CFF8014" w14:textId="77777777" w:rsidR="00D36CDF" w:rsidRPr="006B6939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6777B5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6777B5" w:rsidRDefault="00D36CDF" w:rsidP="00D36CDF">
            <w:pPr>
              <w:rPr>
                <w:b/>
              </w:rPr>
            </w:pPr>
            <w:r w:rsidRPr="006B6939">
              <w:rPr>
                <w:szCs w:val="24"/>
              </w:rPr>
              <w:t>Test period</w:t>
            </w:r>
          </w:p>
        </w:tc>
      </w:tr>
      <w:tr w:rsidR="00D36CDF" w:rsidRPr="00162BFB" w14:paraId="09727AD8" w14:textId="77777777" w:rsidTr="005457D2">
        <w:tc>
          <w:tcPr>
            <w:tcW w:w="1275" w:type="pct"/>
          </w:tcPr>
          <w:p w14:paraId="4A36A315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15C70970" w:rsidR="00D36CDF" w:rsidRPr="00162BFB" w:rsidRDefault="00E0462D" w:rsidP="00E0462D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Service Level Testing</w:t>
            </w:r>
          </w:p>
        </w:tc>
      </w:tr>
      <w:tr w:rsidR="00D36CDF" w:rsidRPr="00162BFB" w14:paraId="7B40E687" w14:textId="77777777" w:rsidTr="005457D2">
        <w:tc>
          <w:tcPr>
            <w:tcW w:w="1275" w:type="pct"/>
          </w:tcPr>
          <w:p w14:paraId="07DF7136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3E374BC3" w:rsidR="00D36CDF" w:rsidRPr="00162BFB" w:rsidRDefault="00E0462D" w:rsidP="00E0462D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Functional</w:t>
            </w:r>
            <w:r w:rsidR="00BF4EED" w:rsidRPr="00162BFB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BF4EED" w:rsidRPr="00162BFB">
              <w:rPr>
                <w:color w:val="000000" w:themeColor="text1"/>
                <w:sz w:val="20"/>
                <w:szCs w:val="20"/>
              </w:rPr>
              <w:t>performace</w:t>
            </w:r>
            <w:proofErr w:type="spellEnd"/>
          </w:p>
        </w:tc>
      </w:tr>
      <w:tr w:rsidR="00D36CDF" w:rsidRPr="00162BFB" w14:paraId="23C4565B" w14:textId="77777777" w:rsidTr="005457D2">
        <w:tc>
          <w:tcPr>
            <w:tcW w:w="1275" w:type="pct"/>
          </w:tcPr>
          <w:p w14:paraId="03D8B338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5F40D862" w:rsidR="00D36CDF" w:rsidRPr="00162BFB" w:rsidRDefault="00E0462D" w:rsidP="00D36CDF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plan final</w:t>
            </w:r>
          </w:p>
        </w:tc>
      </w:tr>
      <w:tr w:rsidR="00D36CDF" w:rsidRPr="00162BFB" w14:paraId="49DA8934" w14:textId="77777777" w:rsidTr="005457D2">
        <w:tc>
          <w:tcPr>
            <w:tcW w:w="1275" w:type="pct"/>
          </w:tcPr>
          <w:p w14:paraId="3E31B01C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61FBCEB0" w:rsidR="00D36CDF" w:rsidRPr="00162BFB" w:rsidRDefault="00E0462D" w:rsidP="00D36CDF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06 Nov 2013</w:t>
            </w:r>
          </w:p>
        </w:tc>
      </w:tr>
      <w:tr w:rsidR="00D36CDF" w:rsidRPr="00162BFB" w14:paraId="2B754169" w14:textId="77777777" w:rsidTr="005457D2">
        <w:tc>
          <w:tcPr>
            <w:tcW w:w="1275" w:type="pct"/>
          </w:tcPr>
          <w:p w14:paraId="5FCE74E4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29203B4D" w:rsidR="00D36CDF" w:rsidRPr="00162BFB" w:rsidRDefault="00E0462D" w:rsidP="00D36CDF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06 Nov 2013</w:t>
            </w:r>
          </w:p>
        </w:tc>
      </w:tr>
      <w:tr w:rsidR="00D36CDF" w:rsidRPr="00162BFB" w14:paraId="20B81C30" w14:textId="77777777" w:rsidTr="005457D2">
        <w:tc>
          <w:tcPr>
            <w:tcW w:w="1275" w:type="pct"/>
          </w:tcPr>
          <w:p w14:paraId="4C5B1277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228D0425" w:rsidR="00D36CDF" w:rsidRPr="00162BFB" w:rsidRDefault="00E0462D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End of project</w:t>
            </w:r>
          </w:p>
        </w:tc>
      </w:tr>
      <w:tr w:rsidR="00D36CDF" w:rsidRPr="00162BFB" w14:paraId="6D25CAE7" w14:textId="77777777" w:rsidTr="005457D2">
        <w:tc>
          <w:tcPr>
            <w:tcW w:w="1275" w:type="pct"/>
          </w:tcPr>
          <w:p w14:paraId="521E2285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603D6132" w:rsidR="00D36CDF" w:rsidRPr="00162BFB" w:rsidRDefault="00E0462D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UKob</w:t>
            </w:r>
          </w:p>
        </w:tc>
      </w:tr>
      <w:tr w:rsidR="00D36CDF" w:rsidRPr="00162BFB" w14:paraId="568BC085" w14:textId="77777777" w:rsidTr="005457D2">
        <w:tc>
          <w:tcPr>
            <w:tcW w:w="1275" w:type="pct"/>
          </w:tcPr>
          <w:p w14:paraId="5DE5FFD2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429B067A" w:rsidR="00D36CDF" w:rsidRPr="00162BFB" w:rsidRDefault="00E0462D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62BFB">
              <w:rPr>
                <w:color w:val="000000" w:themeColor="text1"/>
                <w:sz w:val="20"/>
                <w:szCs w:val="20"/>
              </w:rPr>
              <w:t>Christoph</w:t>
            </w:r>
            <w:proofErr w:type="spellEnd"/>
            <w:r w:rsidRPr="00162BFB">
              <w:rPr>
                <w:color w:val="000000" w:themeColor="text1"/>
                <w:sz w:val="20"/>
                <w:szCs w:val="20"/>
              </w:rPr>
              <w:t xml:space="preserve"> Schaefer, Heinrich Hartmann</w:t>
            </w:r>
          </w:p>
        </w:tc>
      </w:tr>
    </w:tbl>
    <w:p w14:paraId="4A659D49" w14:textId="77777777" w:rsidR="00D36CDF" w:rsidRPr="00162BFB" w:rsidRDefault="00D36CDF" w:rsidP="00D36CDF">
      <w:pPr>
        <w:pStyle w:val="KeinLeerraum"/>
        <w:rPr>
          <w:color w:val="000000" w:themeColor="text1"/>
        </w:rPr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162BFB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162BFB" w:rsidRDefault="00D36CDF" w:rsidP="00D36CDF">
            <w:pPr>
              <w:rPr>
                <w:b/>
                <w:color w:val="000000" w:themeColor="text1"/>
                <w:szCs w:val="24"/>
              </w:rPr>
            </w:pPr>
            <w:r w:rsidRPr="00162BFB">
              <w:rPr>
                <w:color w:val="000000" w:themeColor="text1"/>
                <w:szCs w:val="24"/>
              </w:rPr>
              <w:t>Test environment</w:t>
            </w:r>
          </w:p>
        </w:tc>
      </w:tr>
      <w:tr w:rsidR="00D36CDF" w:rsidRPr="00162BFB" w14:paraId="412E15A7" w14:textId="77777777" w:rsidTr="005457D2">
        <w:tc>
          <w:tcPr>
            <w:tcW w:w="1259" w:type="pct"/>
          </w:tcPr>
          <w:p w14:paraId="57907D8F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E3346AB" w:rsidR="00D36CDF" w:rsidRPr="00162BFB" w:rsidRDefault="00090020" w:rsidP="00090020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None automated functional and performance t</w:t>
            </w:r>
            <w:r w:rsidR="00E0462D" w:rsidRPr="00162BFB">
              <w:rPr>
                <w:color w:val="000000" w:themeColor="text1"/>
                <w:sz w:val="20"/>
                <w:szCs w:val="20"/>
              </w:rPr>
              <w:t>est</w:t>
            </w:r>
            <w:r w:rsidRPr="00162BFB">
              <w:rPr>
                <w:color w:val="000000" w:themeColor="text1"/>
                <w:sz w:val="20"/>
                <w:szCs w:val="20"/>
              </w:rPr>
              <w:t>. Executed in a web browser.</w:t>
            </w:r>
          </w:p>
        </w:tc>
      </w:tr>
      <w:tr w:rsidR="00D36CDF" w:rsidRPr="00162BFB" w14:paraId="5ED906D8" w14:textId="77777777" w:rsidTr="005457D2">
        <w:tc>
          <w:tcPr>
            <w:tcW w:w="1259" w:type="pct"/>
          </w:tcPr>
          <w:p w14:paraId="20017FB6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2A60CE59" w14:textId="4A328532" w:rsidR="00D36CDF" w:rsidRPr="00162BFB" w:rsidRDefault="00C92BA8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36CDF" w:rsidRPr="00162BFB" w14:paraId="764F55E5" w14:textId="77777777" w:rsidTr="005457D2">
        <w:tc>
          <w:tcPr>
            <w:tcW w:w="1259" w:type="pct"/>
          </w:tcPr>
          <w:p w14:paraId="46E8767E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18259EF2" w14:textId="5DF722C3" w:rsidR="00D36CDF" w:rsidRPr="00162BFB" w:rsidRDefault="00C92BA8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Conventional pc, OS independent, browser independent</w:t>
            </w:r>
          </w:p>
        </w:tc>
      </w:tr>
    </w:tbl>
    <w:p w14:paraId="5C9F2F6F" w14:textId="77777777" w:rsidR="00D36CDF" w:rsidRPr="00162BFB" w:rsidRDefault="00D36CDF" w:rsidP="00D36CDF">
      <w:pPr>
        <w:pStyle w:val="KeinLeerraum"/>
        <w:rPr>
          <w:color w:val="000000" w:themeColor="text1"/>
        </w:rPr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162BFB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162BFB" w:rsidRDefault="00D36CDF" w:rsidP="00D36CDF">
            <w:pPr>
              <w:rPr>
                <w:b/>
                <w:color w:val="000000" w:themeColor="text1"/>
                <w:sz w:val="28"/>
              </w:rPr>
            </w:pPr>
            <w:r w:rsidRPr="00162BFB">
              <w:rPr>
                <w:color w:val="000000" w:themeColor="text1"/>
                <w:szCs w:val="24"/>
              </w:rPr>
              <w:t>References</w:t>
            </w:r>
          </w:p>
        </w:tc>
      </w:tr>
      <w:tr w:rsidR="00162BFB" w:rsidRPr="00162BFB" w14:paraId="42EEE164" w14:textId="77777777" w:rsidTr="005457D2">
        <w:tc>
          <w:tcPr>
            <w:tcW w:w="1275" w:type="pct"/>
          </w:tcPr>
          <w:p w14:paraId="3EC3F482" w14:textId="77777777" w:rsidR="00D36CDF" w:rsidRPr="00162BFB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1D490CFD" w14:textId="1683FE2F" w:rsidR="00B55801" w:rsidRPr="00162BFB" w:rsidRDefault="00B55801" w:rsidP="00162BFB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Source code:</w:t>
            </w:r>
          </w:p>
          <w:p w14:paraId="60BB145C" w14:textId="77777777" w:rsidR="00D36CDF" w:rsidRPr="00162BFB" w:rsidRDefault="003010DD" w:rsidP="00162BFB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hyperlink r:id="rId12" w:tgtFrame="_blank" w:history="1">
              <w:r w:rsidR="00BF4EED" w:rsidRPr="00162BFB">
                <w:rPr>
                  <w:b/>
                  <w:sz w:val="20"/>
                  <w:szCs w:val="20"/>
                </w:rPr>
                <w:t>https://liveandgov.codespaces.com/svn/wp1/Service%20Line%20Detection</w:t>
              </w:r>
            </w:hyperlink>
          </w:p>
          <w:p w14:paraId="0408EB9C" w14:textId="77777777" w:rsidR="00B55801" w:rsidRPr="00162BFB" w:rsidRDefault="00B55801" w:rsidP="00162BFB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Test URL:</w:t>
            </w:r>
          </w:p>
          <w:p w14:paraId="7E88032D" w14:textId="38430C71" w:rsidR="00B55801" w:rsidRPr="00162BFB" w:rsidRDefault="003010DD" w:rsidP="00162BFB">
            <w:pPr>
              <w:spacing w:after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3" w:history="1">
              <w:r w:rsidR="00B55801" w:rsidRPr="00162BFB">
                <w:rPr>
                  <w:b/>
                  <w:sz w:val="20"/>
                  <w:szCs w:val="20"/>
                </w:rPr>
                <w:t>http://141.26.71.84:8080/backend/osm.html</w:t>
              </w:r>
            </w:hyperlink>
          </w:p>
        </w:tc>
      </w:tr>
    </w:tbl>
    <w:p w14:paraId="61497F89" w14:textId="65437F82" w:rsidR="00D36CDF" w:rsidRPr="00162BFB" w:rsidRDefault="00D36CDF" w:rsidP="00D36CDF">
      <w:pPr>
        <w:pStyle w:val="KeinLeerraum"/>
        <w:rPr>
          <w:color w:val="000000" w:themeColor="text1"/>
          <w:lang w:eastAsia="en-GB"/>
        </w:rPr>
      </w:pPr>
    </w:p>
    <w:p w14:paraId="5BAE8C2D" w14:textId="77777777" w:rsidR="00D36CDF" w:rsidRPr="00162BFB" w:rsidRDefault="00D36CDF" w:rsidP="00D36CDF">
      <w:pPr>
        <w:pStyle w:val="KeinLeerraum"/>
        <w:rPr>
          <w:color w:val="000000" w:themeColor="text1"/>
          <w:lang w:eastAsia="en-GB"/>
        </w:rPr>
      </w:pPr>
    </w:p>
    <w:p w14:paraId="52447948" w14:textId="77777777" w:rsidR="00D36CDF" w:rsidRPr="00162BFB" w:rsidRDefault="00D36CDF" w:rsidP="00D36CDF">
      <w:pPr>
        <w:spacing w:after="0"/>
        <w:jc w:val="left"/>
        <w:rPr>
          <w:rFonts w:cs="Arial"/>
          <w:b/>
          <w:bCs/>
          <w:color w:val="000000" w:themeColor="text1"/>
          <w:kern w:val="28"/>
          <w:sz w:val="32"/>
          <w:szCs w:val="28"/>
          <w:lang w:eastAsia="en-GB"/>
        </w:rPr>
      </w:pPr>
      <w:r w:rsidRPr="00162BFB">
        <w:rPr>
          <w:color w:val="000000" w:themeColor="text1"/>
        </w:rPr>
        <w:br w:type="page"/>
      </w:r>
    </w:p>
    <w:p w14:paraId="27ED9E51" w14:textId="77777777" w:rsidR="00D36CDF" w:rsidRDefault="00D36CDF" w:rsidP="00D36CDF">
      <w:pPr>
        <w:pStyle w:val="berschrift1"/>
        <w:rPr>
          <w:color w:val="000000" w:themeColor="text1"/>
        </w:rPr>
      </w:pPr>
      <w:bookmarkStart w:id="3" w:name="_Toc371077576"/>
      <w:r w:rsidRPr="00162BFB">
        <w:rPr>
          <w:color w:val="000000" w:themeColor="text1"/>
        </w:rPr>
        <w:lastRenderedPageBreak/>
        <w:t>Test scenarios</w:t>
      </w:r>
      <w:bookmarkEnd w:id="3"/>
    </w:p>
    <w:p w14:paraId="22FC69A1" w14:textId="16D610BA" w:rsidR="002B03C4" w:rsidRPr="002B03C4" w:rsidRDefault="00C9089D" w:rsidP="002B03C4">
      <w:pPr>
        <w:rPr>
          <w:lang w:eastAsia="en-GB"/>
        </w:rPr>
      </w:pPr>
      <w:r>
        <w:rPr>
          <w:lang w:eastAsia="en-GB"/>
        </w:rPr>
        <w:t>In the table below we refer to the context mining requirements derived in D1.1.</w:t>
      </w:r>
    </w:p>
    <w:tbl>
      <w:tblPr>
        <w:tblStyle w:val="table"/>
        <w:tblW w:w="9042" w:type="dxa"/>
        <w:tblLook w:val="0420" w:firstRow="1" w:lastRow="0" w:firstColumn="0" w:lastColumn="0" w:noHBand="0" w:noVBand="1"/>
      </w:tblPr>
      <w:tblGrid>
        <w:gridCol w:w="502"/>
        <w:gridCol w:w="3259"/>
        <w:gridCol w:w="4576"/>
        <w:gridCol w:w="705"/>
      </w:tblGrid>
      <w:tr w:rsidR="00162BFB" w:rsidRPr="00162BFB" w14:paraId="7192741D" w14:textId="77777777" w:rsidTr="006B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32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Requirements</w:t>
            </w:r>
          </w:p>
        </w:tc>
        <w:tc>
          <w:tcPr>
            <w:tcW w:w="45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Expected behaviour</w:t>
            </w:r>
          </w:p>
        </w:tc>
        <w:tc>
          <w:tcPr>
            <w:tcW w:w="7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D88B15" w14:textId="77777777" w:rsidR="00D36CDF" w:rsidRPr="00162BFB" w:rsidRDefault="00D36CDF" w:rsidP="00D36CDF">
            <w:pPr>
              <w:jc w:val="left"/>
              <w:rPr>
                <w:color w:val="000000" w:themeColor="text1"/>
                <w:sz w:val="20"/>
                <w:szCs w:val="20"/>
                <w:lang w:eastAsia="en-GB"/>
              </w:rPr>
            </w:pPr>
            <w:r w:rsidRPr="00162BFB">
              <w:rPr>
                <w:color w:val="000000" w:themeColor="text1"/>
                <w:sz w:val="20"/>
                <w:szCs w:val="20"/>
                <w:lang w:eastAsia="en-GB"/>
              </w:rPr>
              <w:t>[OK/</w:t>
            </w:r>
          </w:p>
          <w:p w14:paraId="215C6B70" w14:textId="77777777" w:rsidR="00D36CDF" w:rsidRPr="00162BFB" w:rsidRDefault="00D36CDF" w:rsidP="00D36CDF">
            <w:pPr>
              <w:jc w:val="left"/>
              <w:rPr>
                <w:color w:val="000000" w:themeColor="text1"/>
                <w:sz w:val="20"/>
                <w:szCs w:val="20"/>
                <w:lang w:eastAsia="en-GB"/>
              </w:rPr>
            </w:pPr>
            <w:r w:rsidRPr="00162BFB">
              <w:rPr>
                <w:color w:val="000000" w:themeColor="text1"/>
                <w:sz w:val="20"/>
                <w:szCs w:val="20"/>
                <w:lang w:eastAsia="en-GB"/>
              </w:rPr>
              <w:t>NOK]</w:t>
            </w:r>
          </w:p>
        </w:tc>
      </w:tr>
      <w:tr w:rsidR="00162BFB" w:rsidRPr="00162BFB" w14:paraId="22A0DA27" w14:textId="77777777" w:rsidTr="006B6AE1">
        <w:trPr>
          <w:trHeight w:val="755"/>
        </w:trPr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77777777" w:rsidR="00D36CDF" w:rsidRPr="00162BFB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162BFB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227514B2" w:rsidR="00D36CDF" w:rsidRPr="00162BFB" w:rsidRDefault="00C9089D" w:rsidP="000C74D5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RB.7-13. Detect if a user is using public transportation. The individual transportation means (bus, train, tram, metro, subway, ferry) </w:t>
            </w:r>
            <w:r w:rsidR="000C74D5">
              <w:rPr>
                <w:color w:val="000000" w:themeColor="text1"/>
                <w:sz w:val="20"/>
                <w:szCs w:val="20"/>
                <w:lang w:eastAsia="en-US"/>
              </w:rPr>
              <w:t xml:space="preserve">need to 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>be distinguished.</w:t>
            </w:r>
          </w:p>
        </w:tc>
        <w:tc>
          <w:tcPr>
            <w:tcW w:w="4576" w:type="dxa"/>
            <w:tcBorders>
              <w:left w:val="single" w:sz="4" w:space="0" w:color="auto"/>
              <w:bottom w:val="single" w:sz="4" w:space="0" w:color="auto"/>
            </w:tcBorders>
          </w:tcPr>
          <w:p w14:paraId="7A16333B" w14:textId="77777777" w:rsidR="00D36CDF" w:rsidRDefault="00C9089D" w:rsidP="00C9089D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Service Line Detection module takes a recorded track of GPS coordinates as input and returns a </w:t>
            </w:r>
            <w:r w:rsidR="00AB2FC5" w:rsidRPr="00162BFB">
              <w:rPr>
                <w:color w:val="000000" w:themeColor="text1"/>
                <w:sz w:val="20"/>
                <w:szCs w:val="20"/>
              </w:rPr>
              <w:t xml:space="preserve">list of service lines ordered by the probability the given GPS samples </w:t>
            </w:r>
            <w:r w:rsidR="00604196" w:rsidRPr="00162BFB">
              <w:rPr>
                <w:color w:val="000000" w:themeColor="text1"/>
                <w:sz w:val="20"/>
                <w:szCs w:val="20"/>
              </w:rPr>
              <w:t xml:space="preserve">belonging </w:t>
            </w:r>
            <w:r>
              <w:rPr>
                <w:color w:val="000000" w:themeColor="text1"/>
                <w:sz w:val="20"/>
                <w:szCs w:val="20"/>
              </w:rPr>
              <w:t>to the respective service line.</w:t>
            </w:r>
          </w:p>
          <w:p w14:paraId="4B2706D0" w14:textId="25215CD4" w:rsidR="00C9089D" w:rsidRPr="00162BFB" w:rsidRDefault="00C9089D" w:rsidP="00C9089D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162BFB">
              <w:rPr>
                <w:color w:val="000000" w:themeColor="text1"/>
                <w:sz w:val="20"/>
                <w:szCs w:val="20"/>
              </w:rPr>
              <w:t xml:space="preserve">response time </w:t>
            </w:r>
            <w:r>
              <w:rPr>
                <w:color w:val="000000" w:themeColor="text1"/>
                <w:sz w:val="20"/>
                <w:szCs w:val="20"/>
              </w:rPr>
              <w:t xml:space="preserve">for one query </w:t>
            </w:r>
            <w:r w:rsidRPr="00162BFB">
              <w:rPr>
                <w:color w:val="000000" w:themeColor="text1"/>
                <w:sz w:val="20"/>
                <w:szCs w:val="20"/>
              </w:rPr>
              <w:t xml:space="preserve">should be below </w:t>
            </w:r>
            <w:r>
              <w:rPr>
                <w:color w:val="000000" w:themeColor="text1"/>
                <w:sz w:val="20"/>
                <w:szCs w:val="20"/>
              </w:rPr>
              <w:t>100</w:t>
            </w:r>
            <w:r w:rsidRPr="00162BFB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mill</w:t>
            </w:r>
            <w:r w:rsidRPr="00162BFB">
              <w:rPr>
                <w:color w:val="000000" w:themeColor="text1"/>
                <w:sz w:val="20"/>
                <w:szCs w:val="20"/>
              </w:rPr>
              <w:t>isecon</w:t>
            </w:r>
            <w:r>
              <w:rPr>
                <w:color w:val="000000" w:themeColor="text1"/>
                <w:sz w:val="20"/>
                <w:szCs w:val="20"/>
              </w:rPr>
              <w:t>ds.</w:t>
            </w:r>
          </w:p>
        </w:tc>
        <w:tc>
          <w:tcPr>
            <w:tcW w:w="705" w:type="dxa"/>
            <w:tcBorders>
              <w:left w:val="single" w:sz="4" w:space="0" w:color="auto"/>
              <w:bottom w:val="single" w:sz="4" w:space="0" w:color="auto"/>
            </w:tcBorders>
          </w:tcPr>
          <w:p w14:paraId="4DAA8AEF" w14:textId="3D963512" w:rsidR="00D36CDF" w:rsidRPr="00162BFB" w:rsidRDefault="00D36CDF" w:rsidP="00604196">
            <w:pPr>
              <w:jc w:val="left"/>
              <w:rPr>
                <w:color w:val="000000" w:themeColor="text1"/>
                <w:sz w:val="20"/>
                <w:szCs w:val="20"/>
                <w:lang w:eastAsia="en-GB"/>
              </w:rPr>
            </w:pPr>
            <w:r w:rsidRPr="00162BFB">
              <w:rPr>
                <w:color w:val="000000" w:themeColor="text1"/>
                <w:sz w:val="20"/>
                <w:szCs w:val="20"/>
                <w:lang w:eastAsia="en-GB"/>
              </w:rPr>
              <w:t>[</w:t>
            </w:r>
            <w:r w:rsidR="00534DA0" w:rsidRPr="00162BFB">
              <w:rPr>
                <w:color w:val="000000" w:themeColor="text1"/>
                <w:sz w:val="20"/>
                <w:szCs w:val="20"/>
                <w:lang w:eastAsia="en-GB"/>
              </w:rPr>
              <w:t>N</w:t>
            </w:r>
            <w:r w:rsidRPr="00162BFB">
              <w:rPr>
                <w:color w:val="000000" w:themeColor="text1"/>
                <w:sz w:val="20"/>
                <w:szCs w:val="20"/>
                <w:lang w:eastAsia="en-GB"/>
              </w:rPr>
              <w:t>OK]</w:t>
            </w:r>
          </w:p>
        </w:tc>
      </w:tr>
    </w:tbl>
    <w:p w14:paraId="18444070" w14:textId="77777777" w:rsidR="00D36CDF" w:rsidRDefault="00D36CDF" w:rsidP="00D36CDF">
      <w:pPr>
        <w:pStyle w:val="berschrift1"/>
      </w:pPr>
      <w:bookmarkStart w:id="4" w:name="_Toc371077577"/>
      <w:r>
        <w:t>Issues raised</w:t>
      </w:r>
      <w:bookmarkEnd w:id="4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1CB0FFCB" w:rsidR="00D36CDF" w:rsidRPr="006B6939" w:rsidRDefault="00B55801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SeviceLineDetectionIssue14</w:t>
            </w:r>
          </w:p>
        </w:tc>
      </w:tr>
      <w:tr w:rsidR="00D36CDF" w14:paraId="44CD0B48" w14:textId="77777777" w:rsidTr="00D36CDF">
        <w:tc>
          <w:tcPr>
            <w:tcW w:w="2359" w:type="dxa"/>
          </w:tcPr>
          <w:p w14:paraId="2A448B14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4C928E43" w:rsidR="00D36CDF" w:rsidRPr="006B6939" w:rsidRDefault="00B55801" w:rsidP="00B55801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D36CDF" w14:paraId="7DA9203C" w14:textId="77777777" w:rsidTr="00D36CDF">
        <w:tc>
          <w:tcPr>
            <w:tcW w:w="2359" w:type="dxa"/>
          </w:tcPr>
          <w:p w14:paraId="09369690" w14:textId="77777777" w:rsidR="00D36CDF" w:rsidRPr="006B6939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27506D7B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D36CDF" w14:paraId="1AAC7C5B" w14:textId="77777777" w:rsidTr="00D36CDF">
        <w:tc>
          <w:tcPr>
            <w:tcW w:w="2359" w:type="dxa"/>
          </w:tcPr>
          <w:p w14:paraId="5C46A0EC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2B674B85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</w:p>
        </w:tc>
      </w:tr>
      <w:tr w:rsidR="00D36CDF" w14:paraId="1F9A1B19" w14:textId="77777777" w:rsidTr="00D36CDF">
        <w:tc>
          <w:tcPr>
            <w:tcW w:w="2359" w:type="dxa"/>
          </w:tcPr>
          <w:p w14:paraId="662B5D4A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6169BDB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B55801">
              <w:rPr>
                <w:sz w:val="20"/>
                <w:szCs w:val="20"/>
              </w:rPr>
              <w:t>Service Line Detection detects wrong service lines</w:t>
            </w:r>
          </w:p>
        </w:tc>
      </w:tr>
      <w:tr w:rsidR="00D36CDF" w14:paraId="460A7E76" w14:textId="77777777" w:rsidTr="00D36CDF">
        <w:tc>
          <w:tcPr>
            <w:tcW w:w="2359" w:type="dxa"/>
          </w:tcPr>
          <w:p w14:paraId="760E4214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1EDB45BE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testing website (c.f. 2 References) </w:t>
            </w:r>
            <w:r w:rsidR="006B6AE1">
              <w:rPr>
                <w:sz w:val="20"/>
                <w:szCs w:val="20"/>
              </w:rPr>
              <w:t xml:space="preserve">one can select some coordinates which will be </w:t>
            </w:r>
            <w:proofErr w:type="gramStart"/>
            <w:r w:rsidR="006B6AE1">
              <w:rPr>
                <w:sz w:val="20"/>
                <w:szCs w:val="20"/>
              </w:rPr>
              <w:t>send</w:t>
            </w:r>
            <w:proofErr w:type="gramEnd"/>
            <w:r w:rsidR="006B6AE1">
              <w:rPr>
                <w:sz w:val="20"/>
                <w:szCs w:val="20"/>
              </w:rPr>
              <w:t xml:space="preserve"> to the server backend. The coordinates are tagged correct with the service line they belong to. As one can see in the screenshot below, the right service line (</w:t>
            </w:r>
            <w:proofErr w:type="spellStart"/>
            <w:r w:rsidR="006B6AE1">
              <w:rPr>
                <w:sz w:val="20"/>
                <w:szCs w:val="20"/>
              </w:rPr>
              <w:t>route_id</w:t>
            </w:r>
            <w:proofErr w:type="spellEnd"/>
            <w:r w:rsidR="006B6AE1">
              <w:rPr>
                <w:sz w:val="20"/>
                <w:szCs w:val="20"/>
              </w:rPr>
              <w:t>) is not detected.</w:t>
            </w:r>
          </w:p>
        </w:tc>
      </w:tr>
      <w:tr w:rsidR="00D36CD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044FF3F2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36CD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51A0B4E8" w:rsidR="00D36CDF" w:rsidRPr="006B6939" w:rsidRDefault="00B5580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Integration can start independently of this issue. The accepted HTTP POST request and the response JSON is in the right format. </w:t>
            </w:r>
          </w:p>
        </w:tc>
      </w:tr>
    </w:tbl>
    <w:p w14:paraId="51BEEDA4" w14:textId="77777777" w:rsidR="00D36CDF" w:rsidRPr="006B6939" w:rsidRDefault="00D36CDF" w:rsidP="00D36CDF">
      <w:pPr>
        <w:pStyle w:val="KeinLeerraum"/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05894CC1" w:rsidR="00D36CDF" w:rsidRPr="006B6939" w:rsidRDefault="00090020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SeviceLineDetectionIssue15</w:t>
            </w:r>
          </w:p>
        </w:tc>
      </w:tr>
      <w:tr w:rsidR="00D36CDF" w14:paraId="26E5EF3B" w14:textId="77777777" w:rsidTr="00D36CDF">
        <w:tc>
          <w:tcPr>
            <w:tcW w:w="2359" w:type="dxa"/>
          </w:tcPr>
          <w:p w14:paraId="3D5A0F57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0D63D834" w:rsidR="00D36CDF" w:rsidRPr="006B6939" w:rsidRDefault="006B6AE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D36CDF" w14:paraId="03CBED22" w14:textId="77777777" w:rsidTr="00D36CDF">
        <w:tc>
          <w:tcPr>
            <w:tcW w:w="2359" w:type="dxa"/>
          </w:tcPr>
          <w:p w14:paraId="5E177DE7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1963AD3F" w:rsidR="00D36CDF" w:rsidRPr="006B6939" w:rsidRDefault="006B6AE1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</w:p>
        </w:tc>
      </w:tr>
      <w:tr w:rsidR="00D36CDF" w14:paraId="61E49AC3" w14:textId="77777777" w:rsidTr="00D36CDF">
        <w:tc>
          <w:tcPr>
            <w:tcW w:w="2359" w:type="dxa"/>
          </w:tcPr>
          <w:p w14:paraId="4154DFBC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6CEB2F47" w:rsidR="00D36CDF" w:rsidRPr="006B6939" w:rsidRDefault="006B6AE1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6B6AE1">
              <w:rPr>
                <w:sz w:val="20"/>
                <w:szCs w:val="20"/>
              </w:rPr>
              <w:t>Service Line Detection response time to high</w:t>
            </w:r>
          </w:p>
        </w:tc>
      </w:tr>
      <w:tr w:rsidR="00D36CDF" w14:paraId="40342186" w14:textId="77777777" w:rsidTr="00D36CDF">
        <w:tc>
          <w:tcPr>
            <w:tcW w:w="2359" w:type="dxa"/>
          </w:tcPr>
          <w:p w14:paraId="1A120608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21935D8F" w:rsidR="00D36CDF" w:rsidRPr="006B6939" w:rsidRDefault="00090020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090020">
              <w:rPr>
                <w:sz w:val="20"/>
                <w:szCs w:val="20"/>
              </w:rPr>
              <w:t xml:space="preserve">The response time should be below 100 </w:t>
            </w:r>
            <w:proofErr w:type="spellStart"/>
            <w:r w:rsidRPr="00090020">
              <w:rPr>
                <w:sz w:val="20"/>
                <w:szCs w:val="20"/>
              </w:rPr>
              <w:t>ms</w:t>
            </w:r>
            <w:proofErr w:type="spellEnd"/>
            <w:r w:rsidRPr="00090020">
              <w:rPr>
                <w:sz w:val="20"/>
                <w:szCs w:val="20"/>
              </w:rPr>
              <w:t>, independent how much coordinates are send to the server.</w:t>
            </w:r>
          </w:p>
        </w:tc>
      </w:tr>
      <w:tr w:rsidR="00D36CDF" w14:paraId="2EEEC668" w14:textId="77777777" w:rsidTr="00D36CDF">
        <w:tc>
          <w:tcPr>
            <w:tcW w:w="2359" w:type="dxa"/>
          </w:tcPr>
          <w:p w14:paraId="2AF6E6A6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4144E729" w:rsidR="00D36CDF" w:rsidRPr="006B6939" w:rsidRDefault="00090020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the response</w:t>
            </w:r>
          </w:p>
        </w:tc>
      </w:tr>
      <w:tr w:rsidR="00D36CDF" w14:paraId="7058AE36" w14:textId="77777777" w:rsidTr="00D36CDF">
        <w:tc>
          <w:tcPr>
            <w:tcW w:w="2359" w:type="dxa"/>
          </w:tcPr>
          <w:p w14:paraId="193E6005" w14:textId="77777777" w:rsidR="00D36CDF" w:rsidRPr="006B6939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B6939">
              <w:rPr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5BE52AA3" w:rsidR="00D36CDF" w:rsidRPr="006B6939" w:rsidRDefault="00090020" w:rsidP="00D36CD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can start; we will lower the response time before the roll out.</w:t>
            </w:r>
          </w:p>
        </w:tc>
      </w:tr>
    </w:tbl>
    <w:p w14:paraId="15204E32" w14:textId="77777777" w:rsidR="00D36CDF" w:rsidRDefault="00D36CDF" w:rsidP="00D36CDF">
      <w:pPr>
        <w:pStyle w:val="berschrift1"/>
      </w:pPr>
      <w:bookmarkStart w:id="5" w:name="_Toc371077578"/>
      <w:r>
        <w:t>Issue screenshots</w:t>
      </w:r>
      <w:bookmarkEnd w:id="5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7059"/>
      </w:tblGrid>
      <w:tr w:rsidR="00D36CD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6B6939" w:rsidRDefault="00D36CDF" w:rsidP="00D36CDF">
            <w:pPr>
              <w:rPr>
                <w:b/>
                <w:szCs w:val="24"/>
              </w:rPr>
            </w:pPr>
            <w:r>
              <w:rPr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2ACFE568" w:rsidR="00D36CDF" w:rsidRPr="006B6939" w:rsidRDefault="006B6AE1" w:rsidP="00D36CDF">
            <w:pPr>
              <w:tabs>
                <w:tab w:val="left" w:pos="1304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SeviceLineDetectionIssue14</w:t>
            </w:r>
          </w:p>
        </w:tc>
      </w:tr>
      <w:tr w:rsidR="00D36CD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573F6E84" w:rsidR="00D36CDF" w:rsidRPr="00845937" w:rsidRDefault="006B6AE1" w:rsidP="00D36CDF">
            <w:pPr>
              <w:spacing w:after="0"/>
              <w:jc w:val="left"/>
              <w:rPr>
                <w:b/>
                <w:lang w:eastAsia="en-GB"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377FA6DB" wp14:editId="68D1BE48">
                  <wp:extent cx="5760720" cy="345630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cc4c2e-46fb-11e3-92e2-c6b0d0e85f0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70287" w14:textId="77777777" w:rsidR="00D36CDF" w:rsidRDefault="00D36CDF" w:rsidP="00D36CDF">
      <w:pPr>
        <w:pStyle w:val="KeinLeerraum"/>
      </w:pPr>
    </w:p>
    <w:p w14:paraId="3505D8E5" w14:textId="77777777" w:rsidR="00D36CDF" w:rsidRPr="00E63894" w:rsidRDefault="00D36CDF" w:rsidP="00D36CDF"/>
    <w:p w14:paraId="457A9B24" w14:textId="51A6F258" w:rsidR="004B5EEC" w:rsidRPr="002350AA" w:rsidRDefault="004B5EEC" w:rsidP="00D36CDF">
      <w:pPr>
        <w:pStyle w:val="Biblio"/>
        <w:numPr>
          <w:ilvl w:val="0"/>
          <w:numId w:val="0"/>
        </w:numPr>
        <w:rPr>
          <w:highlight w:val="yellow"/>
        </w:rPr>
      </w:pPr>
    </w:p>
    <w:sectPr w:rsidR="004B5EEC" w:rsidRPr="002350AA" w:rsidSect="00E418E8">
      <w:headerReference w:type="default" r:id="rId15"/>
      <w:footerReference w:type="default" r:id="rId16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7084E" w14:textId="77777777" w:rsidR="000B3215" w:rsidRDefault="000B3215" w:rsidP="002D11CB">
      <w:r>
        <w:separator/>
      </w:r>
    </w:p>
  </w:endnote>
  <w:endnote w:type="continuationSeparator" w:id="0">
    <w:p w14:paraId="4EEC47C9" w14:textId="77777777" w:rsidR="000B3215" w:rsidRDefault="000B3215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E0462D" w:rsidRDefault="00E0462D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70521053" w:rsidR="00E0462D" w:rsidRPr="005711DF" w:rsidRDefault="00E0462D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10D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30993" w14:textId="77777777" w:rsidR="000B3215" w:rsidRDefault="000B3215" w:rsidP="002D11CB">
      <w:r>
        <w:separator/>
      </w:r>
    </w:p>
  </w:footnote>
  <w:footnote w:type="continuationSeparator" w:id="0">
    <w:p w14:paraId="165D4FB4" w14:textId="77777777" w:rsidR="000B3215" w:rsidRDefault="000B3215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1410CF33" w:rsidR="00E0462D" w:rsidRPr="00DD3311" w:rsidRDefault="00E0462D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sdt>
      <w:sdtPr>
        <w:rPr>
          <w:color w:val="000000"/>
          <w:szCs w:val="24"/>
          <w:lang w:val="nl-NL" w:eastAsia="nl-NL"/>
        </w:rPr>
        <w:alias w:val="Title"/>
        <w:id w:val="-1588380788"/>
        <w:placeholder>
          <w:docPart w:val="BC0AFC3835F246D48CC78BF0BB9E39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EED">
          <w:rPr>
            <w:color w:val="000000"/>
            <w:szCs w:val="24"/>
            <w:lang w:val="nl-NL" w:eastAsia="nl-NL"/>
          </w:rPr>
          <w:t xml:space="preserve">C9 </w:t>
        </w:r>
        <w:r w:rsidR="00BF4EED" w:rsidRPr="006A6FE5">
          <w:rPr>
            <w:color w:val="000000"/>
            <w:szCs w:val="24"/>
            <w:lang w:val="nl-NL" w:eastAsia="nl-NL"/>
          </w:rPr>
          <w:t>Server Side Mining Service</w:t>
        </w:r>
        <w:r w:rsidR="00BF4EED">
          <w:rPr>
            <w:color w:val="000000"/>
            <w:szCs w:val="24"/>
            <w:lang w:val="nl-NL" w:eastAsia="nl-NL"/>
          </w:rPr>
          <w:t xml:space="preserve"> – Service Line Detection</w:t>
        </w:r>
        <w:r w:rsidR="00BF4EED" w:rsidRPr="006A6FE5">
          <w:rPr>
            <w:color w:val="000000"/>
            <w:szCs w:val="24"/>
            <w:lang w:val="nl-NL" w:eastAsia="nl-NL"/>
          </w:rPr>
          <w:t xml:space="preserve"> </w:t>
        </w:r>
      </w:sdtContent>
    </w:sdt>
  </w:p>
  <w:p w14:paraId="50294C7D" w14:textId="7CA7F61A" w:rsidR="00E0462D" w:rsidRPr="00D36CDF" w:rsidRDefault="00E0462D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8067FF1"/>
    <w:multiLevelType w:val="hybridMultilevel"/>
    <w:tmpl w:val="0A34E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608F7"/>
    <w:multiLevelType w:val="hybridMultilevel"/>
    <w:tmpl w:val="2466D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D1949"/>
    <w:multiLevelType w:val="hybridMultilevel"/>
    <w:tmpl w:val="9CFC0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3464233A"/>
    <w:multiLevelType w:val="hybridMultilevel"/>
    <w:tmpl w:val="661EF8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420D2"/>
    <w:multiLevelType w:val="hybridMultilevel"/>
    <w:tmpl w:val="BAFAA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C3138"/>
    <w:multiLevelType w:val="hybridMultilevel"/>
    <w:tmpl w:val="FDD8D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E60E64"/>
    <w:multiLevelType w:val="multilevel"/>
    <w:tmpl w:val="FAE00C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61D80"/>
    <w:multiLevelType w:val="hybridMultilevel"/>
    <w:tmpl w:val="DD1AC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6383"/>
    <w:multiLevelType w:val="hybridMultilevel"/>
    <w:tmpl w:val="9D1498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6">
    <w:nsid w:val="62F33E0A"/>
    <w:multiLevelType w:val="hybridMultilevel"/>
    <w:tmpl w:val="EA7AC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E7B8A"/>
    <w:multiLevelType w:val="hybridMultilevel"/>
    <w:tmpl w:val="620036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9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8"/>
  </w:num>
  <w:num w:numId="17">
    <w:abstractNumId w:val="2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8193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E4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51B2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51DD"/>
    <w:rsid w:val="0006653F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3C84"/>
    <w:rsid w:val="000840FF"/>
    <w:rsid w:val="00084B06"/>
    <w:rsid w:val="00087330"/>
    <w:rsid w:val="000876BB"/>
    <w:rsid w:val="00090020"/>
    <w:rsid w:val="000904A8"/>
    <w:rsid w:val="00090D29"/>
    <w:rsid w:val="00091C89"/>
    <w:rsid w:val="00092D3E"/>
    <w:rsid w:val="00095042"/>
    <w:rsid w:val="0009612C"/>
    <w:rsid w:val="0009664F"/>
    <w:rsid w:val="000A26F1"/>
    <w:rsid w:val="000A3D79"/>
    <w:rsid w:val="000A414B"/>
    <w:rsid w:val="000A41E5"/>
    <w:rsid w:val="000A48E4"/>
    <w:rsid w:val="000A7205"/>
    <w:rsid w:val="000A78C1"/>
    <w:rsid w:val="000A7A28"/>
    <w:rsid w:val="000B0A33"/>
    <w:rsid w:val="000B2FF7"/>
    <w:rsid w:val="000B3215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B64"/>
    <w:rsid w:val="000C74D5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4A1A"/>
    <w:rsid w:val="000E4B1E"/>
    <w:rsid w:val="000E53F8"/>
    <w:rsid w:val="000E543F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21D0"/>
    <w:rsid w:val="00113F1E"/>
    <w:rsid w:val="00115B46"/>
    <w:rsid w:val="00117226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2BFB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107C"/>
    <w:rsid w:val="00171182"/>
    <w:rsid w:val="00171681"/>
    <w:rsid w:val="00172132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1498"/>
    <w:rsid w:val="001D23D0"/>
    <w:rsid w:val="001D2582"/>
    <w:rsid w:val="001D2778"/>
    <w:rsid w:val="001D38AC"/>
    <w:rsid w:val="001D3FBD"/>
    <w:rsid w:val="001D5D1E"/>
    <w:rsid w:val="001D71FF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201A82"/>
    <w:rsid w:val="00201DD3"/>
    <w:rsid w:val="00202449"/>
    <w:rsid w:val="00202656"/>
    <w:rsid w:val="002042A6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19F"/>
    <w:rsid w:val="00241A9D"/>
    <w:rsid w:val="002422CC"/>
    <w:rsid w:val="0024318F"/>
    <w:rsid w:val="00245C75"/>
    <w:rsid w:val="00245CB2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6888"/>
    <w:rsid w:val="0027752B"/>
    <w:rsid w:val="00281621"/>
    <w:rsid w:val="0028168A"/>
    <w:rsid w:val="00281963"/>
    <w:rsid w:val="00284037"/>
    <w:rsid w:val="00284622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D8F"/>
    <w:rsid w:val="00297134"/>
    <w:rsid w:val="002A0237"/>
    <w:rsid w:val="002A2A3B"/>
    <w:rsid w:val="002A2B57"/>
    <w:rsid w:val="002A3D07"/>
    <w:rsid w:val="002A43C4"/>
    <w:rsid w:val="002A5991"/>
    <w:rsid w:val="002A62F0"/>
    <w:rsid w:val="002A63C8"/>
    <w:rsid w:val="002B03C4"/>
    <w:rsid w:val="002B1F35"/>
    <w:rsid w:val="002B1FF4"/>
    <w:rsid w:val="002B2158"/>
    <w:rsid w:val="002B33EA"/>
    <w:rsid w:val="002B4886"/>
    <w:rsid w:val="002B5B83"/>
    <w:rsid w:val="002C0CAA"/>
    <w:rsid w:val="002C2354"/>
    <w:rsid w:val="002C3617"/>
    <w:rsid w:val="002C3B40"/>
    <w:rsid w:val="002C5084"/>
    <w:rsid w:val="002C5123"/>
    <w:rsid w:val="002C5349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E007B"/>
    <w:rsid w:val="002E0789"/>
    <w:rsid w:val="002E0CF5"/>
    <w:rsid w:val="002E18CE"/>
    <w:rsid w:val="002E2101"/>
    <w:rsid w:val="002E3C9E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0DD"/>
    <w:rsid w:val="003019B6"/>
    <w:rsid w:val="003028F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CAB"/>
    <w:rsid w:val="003561C3"/>
    <w:rsid w:val="00356247"/>
    <w:rsid w:val="003564A4"/>
    <w:rsid w:val="00356B1E"/>
    <w:rsid w:val="00356DBC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F6F"/>
    <w:rsid w:val="00372EDE"/>
    <w:rsid w:val="00373586"/>
    <w:rsid w:val="003741D7"/>
    <w:rsid w:val="00374A1B"/>
    <w:rsid w:val="003757D6"/>
    <w:rsid w:val="00375A44"/>
    <w:rsid w:val="00375AA8"/>
    <w:rsid w:val="003764F6"/>
    <w:rsid w:val="00376E84"/>
    <w:rsid w:val="00380444"/>
    <w:rsid w:val="003804C5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2037"/>
    <w:rsid w:val="003E24A0"/>
    <w:rsid w:val="003E3E5E"/>
    <w:rsid w:val="003E4009"/>
    <w:rsid w:val="003E43A7"/>
    <w:rsid w:val="003E445E"/>
    <w:rsid w:val="003E471B"/>
    <w:rsid w:val="003E6446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5B06"/>
    <w:rsid w:val="003F6006"/>
    <w:rsid w:val="003F62C2"/>
    <w:rsid w:val="003F71E1"/>
    <w:rsid w:val="003F7ACB"/>
    <w:rsid w:val="003F7E64"/>
    <w:rsid w:val="004015FB"/>
    <w:rsid w:val="0040331A"/>
    <w:rsid w:val="00403800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FD4"/>
    <w:rsid w:val="004D1145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3C4A"/>
    <w:rsid w:val="004E3CB0"/>
    <w:rsid w:val="004E46ED"/>
    <w:rsid w:val="004E4AF0"/>
    <w:rsid w:val="004E4C22"/>
    <w:rsid w:val="004E6021"/>
    <w:rsid w:val="004F03E0"/>
    <w:rsid w:val="004F2591"/>
    <w:rsid w:val="004F3882"/>
    <w:rsid w:val="004F598C"/>
    <w:rsid w:val="004F60A8"/>
    <w:rsid w:val="00501914"/>
    <w:rsid w:val="0050212A"/>
    <w:rsid w:val="00503E01"/>
    <w:rsid w:val="0050408E"/>
    <w:rsid w:val="00505151"/>
    <w:rsid w:val="0050533F"/>
    <w:rsid w:val="00505591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414F"/>
    <w:rsid w:val="005245EF"/>
    <w:rsid w:val="00524CB7"/>
    <w:rsid w:val="005250E5"/>
    <w:rsid w:val="00525899"/>
    <w:rsid w:val="00525932"/>
    <w:rsid w:val="00525D74"/>
    <w:rsid w:val="005263F3"/>
    <w:rsid w:val="00526BB2"/>
    <w:rsid w:val="0052720A"/>
    <w:rsid w:val="00527708"/>
    <w:rsid w:val="00530009"/>
    <w:rsid w:val="005317B2"/>
    <w:rsid w:val="00532CFE"/>
    <w:rsid w:val="00533274"/>
    <w:rsid w:val="00533F88"/>
    <w:rsid w:val="00534DA0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271D"/>
    <w:rsid w:val="00562F2C"/>
    <w:rsid w:val="00563337"/>
    <w:rsid w:val="0056386F"/>
    <w:rsid w:val="00565895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2E86"/>
    <w:rsid w:val="00593298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E14"/>
    <w:rsid w:val="005C4FEB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713"/>
    <w:rsid w:val="005E7C96"/>
    <w:rsid w:val="005F039C"/>
    <w:rsid w:val="005F0D98"/>
    <w:rsid w:val="005F122E"/>
    <w:rsid w:val="005F1F51"/>
    <w:rsid w:val="005F5C89"/>
    <w:rsid w:val="005F649A"/>
    <w:rsid w:val="005F71BF"/>
    <w:rsid w:val="005F75E5"/>
    <w:rsid w:val="005F76A5"/>
    <w:rsid w:val="006005EB"/>
    <w:rsid w:val="006011C9"/>
    <w:rsid w:val="00601794"/>
    <w:rsid w:val="00602C7D"/>
    <w:rsid w:val="0060321C"/>
    <w:rsid w:val="00604196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3AD"/>
    <w:rsid w:val="00627861"/>
    <w:rsid w:val="00627AB7"/>
    <w:rsid w:val="00630128"/>
    <w:rsid w:val="006311D8"/>
    <w:rsid w:val="00631919"/>
    <w:rsid w:val="00631A30"/>
    <w:rsid w:val="00631CC5"/>
    <w:rsid w:val="00632954"/>
    <w:rsid w:val="00632972"/>
    <w:rsid w:val="00633059"/>
    <w:rsid w:val="00637781"/>
    <w:rsid w:val="00637B4C"/>
    <w:rsid w:val="00640524"/>
    <w:rsid w:val="00640A70"/>
    <w:rsid w:val="00641A48"/>
    <w:rsid w:val="006426B7"/>
    <w:rsid w:val="00642BBE"/>
    <w:rsid w:val="00644A36"/>
    <w:rsid w:val="00646790"/>
    <w:rsid w:val="006471F7"/>
    <w:rsid w:val="00651B1D"/>
    <w:rsid w:val="00651B86"/>
    <w:rsid w:val="006520A7"/>
    <w:rsid w:val="0065285B"/>
    <w:rsid w:val="00655B6B"/>
    <w:rsid w:val="00657757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E77"/>
    <w:rsid w:val="0067024E"/>
    <w:rsid w:val="006702EF"/>
    <w:rsid w:val="00670A30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6FE5"/>
    <w:rsid w:val="006A78B5"/>
    <w:rsid w:val="006A7BFD"/>
    <w:rsid w:val="006B16A0"/>
    <w:rsid w:val="006B382B"/>
    <w:rsid w:val="006B4236"/>
    <w:rsid w:val="006B6098"/>
    <w:rsid w:val="006B6623"/>
    <w:rsid w:val="006B6AE1"/>
    <w:rsid w:val="006B6B7F"/>
    <w:rsid w:val="006C00EA"/>
    <w:rsid w:val="006C05BA"/>
    <w:rsid w:val="006C0E1A"/>
    <w:rsid w:val="006C0F54"/>
    <w:rsid w:val="006C161D"/>
    <w:rsid w:val="006C1C67"/>
    <w:rsid w:val="006C1F4A"/>
    <w:rsid w:val="006C1F85"/>
    <w:rsid w:val="006C2B2E"/>
    <w:rsid w:val="006C3488"/>
    <w:rsid w:val="006C4213"/>
    <w:rsid w:val="006C60C5"/>
    <w:rsid w:val="006D1A92"/>
    <w:rsid w:val="006D1CFD"/>
    <w:rsid w:val="006D2D72"/>
    <w:rsid w:val="006D4AF9"/>
    <w:rsid w:val="006D63C6"/>
    <w:rsid w:val="006D7D0D"/>
    <w:rsid w:val="006E02C4"/>
    <w:rsid w:val="006E05CB"/>
    <w:rsid w:val="006E0D97"/>
    <w:rsid w:val="006E1838"/>
    <w:rsid w:val="006E1ECB"/>
    <w:rsid w:val="006E516D"/>
    <w:rsid w:val="006E7A80"/>
    <w:rsid w:val="006E7CE6"/>
    <w:rsid w:val="006F2E30"/>
    <w:rsid w:val="006F39AA"/>
    <w:rsid w:val="006F3EF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AA0"/>
    <w:rsid w:val="00725506"/>
    <w:rsid w:val="00726AA3"/>
    <w:rsid w:val="00726D94"/>
    <w:rsid w:val="00732FD2"/>
    <w:rsid w:val="007331C6"/>
    <w:rsid w:val="007342D1"/>
    <w:rsid w:val="00734BC3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1C32"/>
    <w:rsid w:val="00792AEC"/>
    <w:rsid w:val="0079396C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C58"/>
    <w:rsid w:val="007B0F2E"/>
    <w:rsid w:val="007B21CF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19D2"/>
    <w:rsid w:val="007E1BD0"/>
    <w:rsid w:val="007E1DE1"/>
    <w:rsid w:val="007E1FF7"/>
    <w:rsid w:val="007E2ED8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102D"/>
    <w:rsid w:val="008227AB"/>
    <w:rsid w:val="00824185"/>
    <w:rsid w:val="0082570C"/>
    <w:rsid w:val="008266CA"/>
    <w:rsid w:val="00827E9E"/>
    <w:rsid w:val="008301B1"/>
    <w:rsid w:val="00831F7A"/>
    <w:rsid w:val="008320EB"/>
    <w:rsid w:val="0083295C"/>
    <w:rsid w:val="008354A0"/>
    <w:rsid w:val="00835C68"/>
    <w:rsid w:val="00836CAD"/>
    <w:rsid w:val="0083750D"/>
    <w:rsid w:val="008402C1"/>
    <w:rsid w:val="00840694"/>
    <w:rsid w:val="00841182"/>
    <w:rsid w:val="0084164F"/>
    <w:rsid w:val="00841B31"/>
    <w:rsid w:val="00841EAF"/>
    <w:rsid w:val="008429E7"/>
    <w:rsid w:val="008434B1"/>
    <w:rsid w:val="008436F6"/>
    <w:rsid w:val="00843D3C"/>
    <w:rsid w:val="00850506"/>
    <w:rsid w:val="00850C53"/>
    <w:rsid w:val="00853F84"/>
    <w:rsid w:val="00854C89"/>
    <w:rsid w:val="008554E5"/>
    <w:rsid w:val="0085593C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478C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7F9"/>
    <w:rsid w:val="008A38DB"/>
    <w:rsid w:val="008A3AFA"/>
    <w:rsid w:val="008A54C1"/>
    <w:rsid w:val="008A5541"/>
    <w:rsid w:val="008A5575"/>
    <w:rsid w:val="008A5AF7"/>
    <w:rsid w:val="008A63AF"/>
    <w:rsid w:val="008A6A93"/>
    <w:rsid w:val="008A6C04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6928"/>
    <w:rsid w:val="008D0253"/>
    <w:rsid w:val="008D146D"/>
    <w:rsid w:val="008D163B"/>
    <w:rsid w:val="008D22FF"/>
    <w:rsid w:val="008D4175"/>
    <w:rsid w:val="008D5531"/>
    <w:rsid w:val="008D5DA9"/>
    <w:rsid w:val="008D67F9"/>
    <w:rsid w:val="008D780E"/>
    <w:rsid w:val="008E038C"/>
    <w:rsid w:val="008E1A21"/>
    <w:rsid w:val="008E35E4"/>
    <w:rsid w:val="008E40B7"/>
    <w:rsid w:val="008E43C0"/>
    <w:rsid w:val="008E4A2C"/>
    <w:rsid w:val="008E60E8"/>
    <w:rsid w:val="008F0431"/>
    <w:rsid w:val="008F0880"/>
    <w:rsid w:val="008F1008"/>
    <w:rsid w:val="008F1EF1"/>
    <w:rsid w:val="008F3FE3"/>
    <w:rsid w:val="008F4BD0"/>
    <w:rsid w:val="008F4E2F"/>
    <w:rsid w:val="008F59F2"/>
    <w:rsid w:val="008F7854"/>
    <w:rsid w:val="008F7C11"/>
    <w:rsid w:val="0090131C"/>
    <w:rsid w:val="00901C49"/>
    <w:rsid w:val="00901F64"/>
    <w:rsid w:val="009021A0"/>
    <w:rsid w:val="00902495"/>
    <w:rsid w:val="00904988"/>
    <w:rsid w:val="00904C2B"/>
    <w:rsid w:val="00906C04"/>
    <w:rsid w:val="009072D0"/>
    <w:rsid w:val="009078DD"/>
    <w:rsid w:val="0091016F"/>
    <w:rsid w:val="0091125F"/>
    <w:rsid w:val="00911BF9"/>
    <w:rsid w:val="00912114"/>
    <w:rsid w:val="0091274D"/>
    <w:rsid w:val="00912FAD"/>
    <w:rsid w:val="0091368D"/>
    <w:rsid w:val="00913E63"/>
    <w:rsid w:val="0091432F"/>
    <w:rsid w:val="00915C38"/>
    <w:rsid w:val="0091675C"/>
    <w:rsid w:val="00916B67"/>
    <w:rsid w:val="00917314"/>
    <w:rsid w:val="00917594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4E0"/>
    <w:rsid w:val="00945FFC"/>
    <w:rsid w:val="009462D0"/>
    <w:rsid w:val="0094702A"/>
    <w:rsid w:val="00947FD0"/>
    <w:rsid w:val="00947FF9"/>
    <w:rsid w:val="009505CD"/>
    <w:rsid w:val="00950D65"/>
    <w:rsid w:val="00950ECE"/>
    <w:rsid w:val="00953376"/>
    <w:rsid w:val="00953979"/>
    <w:rsid w:val="00954413"/>
    <w:rsid w:val="009552A4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605"/>
    <w:rsid w:val="009A415F"/>
    <w:rsid w:val="009A5D9A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FAB"/>
    <w:rsid w:val="009C5601"/>
    <w:rsid w:val="009C60AF"/>
    <w:rsid w:val="009C6F7A"/>
    <w:rsid w:val="009C7E57"/>
    <w:rsid w:val="009D1386"/>
    <w:rsid w:val="009D2238"/>
    <w:rsid w:val="009D3236"/>
    <w:rsid w:val="009E1A0F"/>
    <w:rsid w:val="009E1DEE"/>
    <w:rsid w:val="009E2529"/>
    <w:rsid w:val="009E2D3E"/>
    <w:rsid w:val="009E3E9B"/>
    <w:rsid w:val="009E464C"/>
    <w:rsid w:val="009E58DF"/>
    <w:rsid w:val="009E5C8A"/>
    <w:rsid w:val="009E6738"/>
    <w:rsid w:val="009E69AC"/>
    <w:rsid w:val="009F1BED"/>
    <w:rsid w:val="009F489A"/>
    <w:rsid w:val="009F4B25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8D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BDE"/>
    <w:rsid w:val="00A611B5"/>
    <w:rsid w:val="00A612DC"/>
    <w:rsid w:val="00A613C0"/>
    <w:rsid w:val="00A61E17"/>
    <w:rsid w:val="00A63A32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418F"/>
    <w:rsid w:val="00A94931"/>
    <w:rsid w:val="00A94AC5"/>
    <w:rsid w:val="00A94DB3"/>
    <w:rsid w:val="00A9611C"/>
    <w:rsid w:val="00A97A12"/>
    <w:rsid w:val="00AA06C5"/>
    <w:rsid w:val="00AA0C4F"/>
    <w:rsid w:val="00AA1801"/>
    <w:rsid w:val="00AA190E"/>
    <w:rsid w:val="00AA2324"/>
    <w:rsid w:val="00AA232E"/>
    <w:rsid w:val="00AA3F2A"/>
    <w:rsid w:val="00AA3FA4"/>
    <w:rsid w:val="00AA4F0A"/>
    <w:rsid w:val="00AA4FAC"/>
    <w:rsid w:val="00AA5519"/>
    <w:rsid w:val="00AA78CB"/>
    <w:rsid w:val="00AA7F12"/>
    <w:rsid w:val="00AB11D6"/>
    <w:rsid w:val="00AB2599"/>
    <w:rsid w:val="00AB2FC5"/>
    <w:rsid w:val="00AB3F46"/>
    <w:rsid w:val="00AB453B"/>
    <w:rsid w:val="00AB6647"/>
    <w:rsid w:val="00AB7E24"/>
    <w:rsid w:val="00AC0309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BA4"/>
    <w:rsid w:val="00AD15FB"/>
    <w:rsid w:val="00AD2DEB"/>
    <w:rsid w:val="00AD54AA"/>
    <w:rsid w:val="00AD6616"/>
    <w:rsid w:val="00AD68E2"/>
    <w:rsid w:val="00AD6EBC"/>
    <w:rsid w:val="00AE288D"/>
    <w:rsid w:val="00AE3409"/>
    <w:rsid w:val="00AE4B87"/>
    <w:rsid w:val="00AE6253"/>
    <w:rsid w:val="00AE665F"/>
    <w:rsid w:val="00AF019E"/>
    <w:rsid w:val="00AF0E60"/>
    <w:rsid w:val="00AF1062"/>
    <w:rsid w:val="00AF24B7"/>
    <w:rsid w:val="00AF482F"/>
    <w:rsid w:val="00AF4B5D"/>
    <w:rsid w:val="00AF54BC"/>
    <w:rsid w:val="00AF5724"/>
    <w:rsid w:val="00AF69C0"/>
    <w:rsid w:val="00B00449"/>
    <w:rsid w:val="00B006CB"/>
    <w:rsid w:val="00B0143F"/>
    <w:rsid w:val="00B01F6B"/>
    <w:rsid w:val="00B04EC3"/>
    <w:rsid w:val="00B056C7"/>
    <w:rsid w:val="00B059D9"/>
    <w:rsid w:val="00B063B3"/>
    <w:rsid w:val="00B078C9"/>
    <w:rsid w:val="00B07D86"/>
    <w:rsid w:val="00B11078"/>
    <w:rsid w:val="00B13F21"/>
    <w:rsid w:val="00B140AC"/>
    <w:rsid w:val="00B15604"/>
    <w:rsid w:val="00B15E22"/>
    <w:rsid w:val="00B1738D"/>
    <w:rsid w:val="00B17718"/>
    <w:rsid w:val="00B17D17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5801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24EE"/>
    <w:rsid w:val="00BE31DE"/>
    <w:rsid w:val="00BE3C30"/>
    <w:rsid w:val="00BE56C1"/>
    <w:rsid w:val="00BE79E0"/>
    <w:rsid w:val="00BF0183"/>
    <w:rsid w:val="00BF01B2"/>
    <w:rsid w:val="00BF3C08"/>
    <w:rsid w:val="00BF3E11"/>
    <w:rsid w:val="00BF4115"/>
    <w:rsid w:val="00BF442F"/>
    <w:rsid w:val="00BF46CD"/>
    <w:rsid w:val="00BF4EED"/>
    <w:rsid w:val="00BF559E"/>
    <w:rsid w:val="00BF5FD7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8A8"/>
    <w:rsid w:val="00C119EB"/>
    <w:rsid w:val="00C11A4D"/>
    <w:rsid w:val="00C12145"/>
    <w:rsid w:val="00C123AE"/>
    <w:rsid w:val="00C13537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7283"/>
    <w:rsid w:val="00C4752E"/>
    <w:rsid w:val="00C47598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EEB"/>
    <w:rsid w:val="00C86073"/>
    <w:rsid w:val="00C87BE9"/>
    <w:rsid w:val="00C9089D"/>
    <w:rsid w:val="00C908F0"/>
    <w:rsid w:val="00C90E2B"/>
    <w:rsid w:val="00C91FE4"/>
    <w:rsid w:val="00C92BA8"/>
    <w:rsid w:val="00C93878"/>
    <w:rsid w:val="00C962C8"/>
    <w:rsid w:val="00CA084A"/>
    <w:rsid w:val="00CA0E43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C13D6"/>
    <w:rsid w:val="00CC2013"/>
    <w:rsid w:val="00CC40B2"/>
    <w:rsid w:val="00CC4B89"/>
    <w:rsid w:val="00CC4D49"/>
    <w:rsid w:val="00CC5EFA"/>
    <w:rsid w:val="00CC6696"/>
    <w:rsid w:val="00CC6FFF"/>
    <w:rsid w:val="00CD0713"/>
    <w:rsid w:val="00CD243D"/>
    <w:rsid w:val="00CD4CE7"/>
    <w:rsid w:val="00CD5434"/>
    <w:rsid w:val="00CD7375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1095A"/>
    <w:rsid w:val="00D130D3"/>
    <w:rsid w:val="00D130E6"/>
    <w:rsid w:val="00D147E2"/>
    <w:rsid w:val="00D14C78"/>
    <w:rsid w:val="00D15ADC"/>
    <w:rsid w:val="00D16F7C"/>
    <w:rsid w:val="00D17B5D"/>
    <w:rsid w:val="00D217C2"/>
    <w:rsid w:val="00D222B7"/>
    <w:rsid w:val="00D23E50"/>
    <w:rsid w:val="00D24233"/>
    <w:rsid w:val="00D242A6"/>
    <w:rsid w:val="00D24C4D"/>
    <w:rsid w:val="00D300C1"/>
    <w:rsid w:val="00D303FE"/>
    <w:rsid w:val="00D30B63"/>
    <w:rsid w:val="00D319AF"/>
    <w:rsid w:val="00D32CD1"/>
    <w:rsid w:val="00D3560F"/>
    <w:rsid w:val="00D36168"/>
    <w:rsid w:val="00D36693"/>
    <w:rsid w:val="00D36CDF"/>
    <w:rsid w:val="00D3752C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41BA"/>
    <w:rsid w:val="00D54369"/>
    <w:rsid w:val="00D54438"/>
    <w:rsid w:val="00D550BB"/>
    <w:rsid w:val="00D554AE"/>
    <w:rsid w:val="00D566B0"/>
    <w:rsid w:val="00D567C8"/>
    <w:rsid w:val="00D61062"/>
    <w:rsid w:val="00D61A09"/>
    <w:rsid w:val="00D61F0A"/>
    <w:rsid w:val="00D6300A"/>
    <w:rsid w:val="00D644CF"/>
    <w:rsid w:val="00D65F4D"/>
    <w:rsid w:val="00D6733A"/>
    <w:rsid w:val="00D70844"/>
    <w:rsid w:val="00D709E0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6540"/>
    <w:rsid w:val="00DA0E4F"/>
    <w:rsid w:val="00DA131F"/>
    <w:rsid w:val="00DA2335"/>
    <w:rsid w:val="00DA3259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62D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5F7"/>
    <w:rsid w:val="00E15567"/>
    <w:rsid w:val="00E178A6"/>
    <w:rsid w:val="00E17B3A"/>
    <w:rsid w:val="00E17CF9"/>
    <w:rsid w:val="00E20105"/>
    <w:rsid w:val="00E20324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72A"/>
    <w:rsid w:val="00E418E8"/>
    <w:rsid w:val="00E4220A"/>
    <w:rsid w:val="00E4237F"/>
    <w:rsid w:val="00E4337E"/>
    <w:rsid w:val="00E433A2"/>
    <w:rsid w:val="00E43E98"/>
    <w:rsid w:val="00E45068"/>
    <w:rsid w:val="00E458F1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4826"/>
    <w:rsid w:val="00E64E58"/>
    <w:rsid w:val="00E6522D"/>
    <w:rsid w:val="00E65822"/>
    <w:rsid w:val="00E66667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6AB6"/>
    <w:rsid w:val="00E87774"/>
    <w:rsid w:val="00E90FC3"/>
    <w:rsid w:val="00E9383C"/>
    <w:rsid w:val="00E967C2"/>
    <w:rsid w:val="00E97BF4"/>
    <w:rsid w:val="00E97CFF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6CA"/>
    <w:rsid w:val="00EB3970"/>
    <w:rsid w:val="00EB3DB2"/>
    <w:rsid w:val="00EB476F"/>
    <w:rsid w:val="00EB58EB"/>
    <w:rsid w:val="00EB6B26"/>
    <w:rsid w:val="00EB7061"/>
    <w:rsid w:val="00EC0029"/>
    <w:rsid w:val="00EC265F"/>
    <w:rsid w:val="00EC3F19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4189"/>
    <w:rsid w:val="00EE4749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5A64"/>
    <w:rsid w:val="00F0654C"/>
    <w:rsid w:val="00F0699F"/>
    <w:rsid w:val="00F06ADF"/>
    <w:rsid w:val="00F06ECE"/>
    <w:rsid w:val="00F07CE5"/>
    <w:rsid w:val="00F11547"/>
    <w:rsid w:val="00F1158E"/>
    <w:rsid w:val="00F129E9"/>
    <w:rsid w:val="00F1316D"/>
    <w:rsid w:val="00F14D4A"/>
    <w:rsid w:val="00F16DD8"/>
    <w:rsid w:val="00F1795C"/>
    <w:rsid w:val="00F227ED"/>
    <w:rsid w:val="00F22ED0"/>
    <w:rsid w:val="00F238DC"/>
    <w:rsid w:val="00F238FA"/>
    <w:rsid w:val="00F24710"/>
    <w:rsid w:val="00F262EA"/>
    <w:rsid w:val="00F26E20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2CDA"/>
    <w:rsid w:val="00F5383F"/>
    <w:rsid w:val="00F53F54"/>
    <w:rsid w:val="00F570C6"/>
    <w:rsid w:val="00F607E8"/>
    <w:rsid w:val="00F62123"/>
    <w:rsid w:val="00F62E6A"/>
    <w:rsid w:val="00F633B5"/>
    <w:rsid w:val="00F63612"/>
    <w:rsid w:val="00F642E7"/>
    <w:rsid w:val="00F6497B"/>
    <w:rsid w:val="00F655BC"/>
    <w:rsid w:val="00F70DAD"/>
    <w:rsid w:val="00F712D0"/>
    <w:rsid w:val="00F71762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72E6"/>
    <w:rsid w:val="00FA001C"/>
    <w:rsid w:val="00FA05BA"/>
    <w:rsid w:val="00FA16AC"/>
    <w:rsid w:val="00FA1E6D"/>
    <w:rsid w:val="00FA277B"/>
    <w:rsid w:val="00FB080B"/>
    <w:rsid w:val="00FB0D1C"/>
    <w:rsid w:val="00FB35AA"/>
    <w:rsid w:val="00FB39CD"/>
    <w:rsid w:val="00FB3A66"/>
    <w:rsid w:val="00FB3E9F"/>
    <w:rsid w:val="00FB4E3B"/>
    <w:rsid w:val="00FB6EB4"/>
    <w:rsid w:val="00FB700C"/>
    <w:rsid w:val="00FB7557"/>
    <w:rsid w:val="00FC1CD4"/>
    <w:rsid w:val="00FC2ACE"/>
    <w:rsid w:val="00FC49BA"/>
    <w:rsid w:val="00FC6173"/>
    <w:rsid w:val="00FC6719"/>
    <w:rsid w:val="00FD02B0"/>
    <w:rsid w:val="00FD1070"/>
    <w:rsid w:val="00FD12B7"/>
    <w:rsid w:val="00FD17B9"/>
    <w:rsid w:val="00FD26FF"/>
    <w:rsid w:val="00FD3E98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6CDF"/>
    <w:pPr>
      <w:keepNext/>
      <w:numPr>
        <w:numId w:val="7"/>
      </w:numPr>
      <w:tabs>
        <w:tab w:val="left" w:pos="567"/>
      </w:tabs>
      <w:autoSpaceDE w:val="0"/>
      <w:autoSpaceDN w:val="0"/>
      <w:spacing w:before="120" w:after="240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B96CA2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CA2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numPr>
        <w:numId w:val="0"/>
      </w:numPr>
      <w:tabs>
        <w:tab w:val="clear" w:pos="567"/>
      </w:tabs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semiHidden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CDF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F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z w:val="20"/>
      <w:szCs w:val="20"/>
      <w:lang w:val="en-US"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F4EED"/>
    <w:rPr>
      <w:rFonts w:ascii="Courier New" w:hAnsi="Courier New" w:cs="Courier New"/>
      <w:color w:val="00000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6CDF"/>
    <w:pPr>
      <w:keepNext/>
      <w:numPr>
        <w:numId w:val="7"/>
      </w:numPr>
      <w:tabs>
        <w:tab w:val="left" w:pos="567"/>
      </w:tabs>
      <w:autoSpaceDE w:val="0"/>
      <w:autoSpaceDN w:val="0"/>
      <w:spacing w:before="120" w:after="240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B96CA2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CA2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numPr>
        <w:numId w:val="0"/>
      </w:numPr>
      <w:tabs>
        <w:tab w:val="clear" w:pos="567"/>
      </w:tabs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semiHidden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semiHidden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CDF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F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z w:val="20"/>
      <w:szCs w:val="20"/>
      <w:lang w:val="en-US"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F4EED"/>
    <w:rPr>
      <w:rFonts w:ascii="Courier New" w:hAnsi="Courier New" w:cs="Courier New"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41.26.71.84:8080/backend/osm.html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veandgov.codespaces.com/svn/wp1/Service%20Line%20Det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  <w:docPart>
      <w:docPartPr>
        <w:name w:val="BC0AFC3835F246D48CC78BF0BB9E39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6EAF2-99F9-4DAD-BC88-A85754493DA8}"/>
      </w:docPartPr>
      <w:docPartBody>
        <w:p w:rsidR="00B150FE" w:rsidRDefault="006338BF" w:rsidP="006338BF">
          <w:pPr>
            <w:pStyle w:val="BC0AFC3835F246D48CC78BF0BB9E39F5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6338BF"/>
    <w:rsid w:val="00651092"/>
    <w:rsid w:val="00B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38BF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  <w:style w:type="paragraph" w:customStyle="1" w:styleId="BC0AFC3835F246D48CC78BF0BB9E39F5">
    <w:name w:val="BC0AFC3835F246D48CC78BF0BB9E39F5"/>
    <w:rsid w:val="006338BF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38BF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  <w:style w:type="paragraph" w:customStyle="1" w:styleId="BC0AFC3835F246D48CC78BF0BB9E39F5">
    <w:name w:val="BC0AFC3835F246D48CC78BF0BB9E39F5"/>
    <w:rsid w:val="006338B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9C918-2BAC-4691-ACEF-59114747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C9 Server Side Mining Service – Service Line Detection </vt:lpstr>
      <vt:lpstr>Technical verification and testing strategy</vt:lpstr>
    </vt:vector>
  </TitlesOfParts>
  <Manager/>
  <Company>Yucat</Company>
  <LinksUpToDate>false</LinksUpToDate>
  <CharactersWithSpaces>3423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C9 Server Side Mining Service – Service Line Detection </dc:title>
  <dc:subject>Deliverable 4.4</dc:subject>
  <dc:creator>Frank Thiele</dc:creator>
  <cp:keywords/>
  <dc:description/>
  <cp:lastModifiedBy>Hartmann</cp:lastModifiedBy>
  <cp:revision>35</cp:revision>
  <cp:lastPrinted>2013-07-10T15:45:00Z</cp:lastPrinted>
  <dcterms:created xsi:type="dcterms:W3CDTF">2013-11-01T09:24:00Z</dcterms:created>
  <dcterms:modified xsi:type="dcterms:W3CDTF">2013-11-11T16:44:00Z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