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0618" w14:textId="68A749E7" w:rsidR="003E27BA" w:rsidRPr="00190029" w:rsidRDefault="003E27BA" w:rsidP="00190029">
      <w:pPr>
        <w:jc w:val="center"/>
        <w:rPr>
          <w:rFonts w:ascii="Times New Roman" w:hAnsi="Times New Roman" w:cs="Times New Roman"/>
          <w:b/>
          <w:sz w:val="28"/>
        </w:rPr>
      </w:pPr>
      <w:r w:rsidRPr="00190029">
        <w:rPr>
          <w:rFonts w:ascii="Times New Roman" w:hAnsi="Times New Roman" w:cs="Times New Roman"/>
          <w:b/>
          <w:sz w:val="28"/>
        </w:rPr>
        <w:t xml:space="preserve">Подготовить </w:t>
      </w:r>
      <w:r w:rsidR="00190029">
        <w:rPr>
          <w:rFonts w:ascii="Times New Roman" w:hAnsi="Times New Roman" w:cs="Times New Roman"/>
          <w:b/>
          <w:sz w:val="28"/>
        </w:rPr>
        <w:t xml:space="preserve">2 </w:t>
      </w:r>
      <w:r w:rsidRPr="00190029">
        <w:rPr>
          <w:rFonts w:ascii="Times New Roman" w:hAnsi="Times New Roman" w:cs="Times New Roman"/>
          <w:b/>
          <w:sz w:val="28"/>
        </w:rPr>
        <w:t>доклад</w:t>
      </w:r>
      <w:r w:rsidR="00190029">
        <w:rPr>
          <w:rFonts w:ascii="Times New Roman" w:hAnsi="Times New Roman" w:cs="Times New Roman"/>
          <w:b/>
          <w:sz w:val="28"/>
        </w:rPr>
        <w:t>а</w:t>
      </w:r>
      <w:r w:rsidRPr="00190029">
        <w:rPr>
          <w:rFonts w:ascii="Times New Roman" w:hAnsi="Times New Roman" w:cs="Times New Roman"/>
          <w:b/>
          <w:sz w:val="28"/>
        </w:rPr>
        <w:t xml:space="preserve"> </w:t>
      </w:r>
      <w:r w:rsidR="00190029" w:rsidRPr="00190029">
        <w:rPr>
          <w:rFonts w:ascii="Times New Roman" w:hAnsi="Times New Roman" w:cs="Times New Roman"/>
          <w:b/>
          <w:sz w:val="28"/>
        </w:rPr>
        <w:t xml:space="preserve">и </w:t>
      </w:r>
      <w:r w:rsidR="004C1A4A">
        <w:rPr>
          <w:rFonts w:ascii="Times New Roman" w:hAnsi="Times New Roman" w:cs="Times New Roman"/>
          <w:b/>
          <w:sz w:val="28"/>
        </w:rPr>
        <w:t>загрузить в задание на ЛМС</w:t>
      </w:r>
    </w:p>
    <w:p w14:paraId="6BFFA98C" w14:textId="77777777" w:rsidR="003E27BA" w:rsidRPr="003E27BA" w:rsidRDefault="003E27BA" w:rsidP="003E27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27BA">
        <w:rPr>
          <w:rFonts w:ascii="Times New Roman" w:hAnsi="Times New Roman" w:cs="Times New Roman"/>
          <w:bCs/>
          <w:sz w:val="28"/>
          <w:szCs w:val="28"/>
        </w:rPr>
        <w:t>Хронология и летосчисление в истории России.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27BA">
        <w:rPr>
          <w:rFonts w:ascii="Times New Roman" w:hAnsi="Times New Roman" w:cs="Times New Roman"/>
          <w:bCs/>
          <w:sz w:val="28"/>
          <w:szCs w:val="28"/>
        </w:rPr>
        <w:t>Периодизация истории России. Географические границы Российской цивилизации.</w:t>
      </w:r>
    </w:p>
    <w:p w14:paraId="4A18501A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Причины и условия образования государства.</w:t>
      </w:r>
    </w:p>
    <w:p w14:paraId="21C5D32F" w14:textId="77777777" w:rsidR="003E27BA" w:rsidRPr="003E27BA" w:rsidRDefault="003E27BA" w:rsidP="003E27B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 xml:space="preserve">Особенности социально-политического, хозяйственного и культурного развития Древнерусского государства. Ранний феодализм в странах Европы и социально-экономический строй Древней Руси: сходства и различия. Социальная структура раннесредневекового общества. Христианизация; духовная и материальная культура Древней Руси.  </w:t>
      </w:r>
    </w:p>
    <w:p w14:paraId="3D436E78" w14:textId="77777777" w:rsidR="003E27BA" w:rsidRPr="003E27BA" w:rsidRDefault="003E27BA" w:rsidP="003E27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Экономическая и политическая история Владимиро-Суздальского княжества (Ю.Долгорукий, А.Боголюбский, Всеволод «Большое Гнездо»);</w:t>
      </w:r>
    </w:p>
    <w:p w14:paraId="5EF1B481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Экономическая и политическая история Новгородской республики. Механизм осуществления новгородской демократии. Гос.деятельность А.Невского;</w:t>
      </w:r>
    </w:p>
    <w:p w14:paraId="79A69A91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Экономическая и политическая история Галицко-Волынского княжества (Я.Осмомысл, Р.Мстиславич, Д.Романович «Галицкий»).</w:t>
      </w:r>
    </w:p>
    <w:p w14:paraId="0784A77D" w14:textId="77777777" w:rsidR="003E27BA" w:rsidRPr="003E27BA" w:rsidRDefault="003E27BA" w:rsidP="003E27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Захватнические походы монголо-татар. Сражение на р. Калке. Монголо-татарское нашествие на Русь. Последствия «батыева погрома». Освободительная борьба населения древнерусских княжеств.</w:t>
      </w:r>
    </w:p>
    <w:p w14:paraId="071A0ECD" w14:textId="77777777" w:rsidR="003E27BA" w:rsidRPr="003E27BA" w:rsidRDefault="003E27BA" w:rsidP="003E27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 xml:space="preserve">Система ордынского владычества на Руси: признаки и хронологические рамки. Свержение монголо-татарского ига. Куликовская битва. «Стояние» на р. Угре. </w:t>
      </w:r>
    </w:p>
    <w:p w14:paraId="0DB67E48" w14:textId="77777777" w:rsidR="003E27BA" w:rsidRPr="003E27BA" w:rsidRDefault="003E27BA" w:rsidP="003E27B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Последствия ордынского владычества и влияние монголо-татарского ига на общественно-политическое, хозяйственное и культурное развитие русских земель.</w:t>
      </w:r>
    </w:p>
    <w:p w14:paraId="2D173F4A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Возвышение Северо-Восточной Руси и образование государства с центром в г.Москве. Борьба за лидерство и государственная деятельность московских князей (от Даниила Александровича до Ивана III)</w:t>
      </w:r>
    </w:p>
    <w:p w14:paraId="6FE3B706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. Избранная Рада (ИР) и ее представители. Причины реформ ИР. Реформы ИР (1549-1560): социально-экономические мероприятия; реформа органов государственного управления (административная); военная реформа; церковная реформа; реформа законодательства. Судебник 1550 года.</w:t>
      </w:r>
    </w:p>
    <w:p w14:paraId="0DF1436A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. Опричнина (1565-1572): причины и цели, опричное управление. И.Грозный и А.Курбский: два альтернативных подхода к осуществлению монархической власти. Политические события Опричнины и судьба оппозиции. Итоги и последствия Опричнины.</w:t>
      </w:r>
    </w:p>
    <w:p w14:paraId="7BB3F213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Внешняя политика и расширение территории государства. Ливонская война (1558-1583).</w:t>
      </w:r>
    </w:p>
    <w:p w14:paraId="415AC86D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Борьба за власть и социальные движения в годы «Смуты» (Лжедмитрий I; И.Болотников; Лжедмитрий II; В.Шуйский; «Семибоярщина»). Освободительная борьба против польскошведских интервентов. Последствия «Смуты»</w:t>
      </w:r>
    </w:p>
    <w:p w14:paraId="52C7CB73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Причины петровских реформ, цели и характер их проведения. Последствия, методы проведения и цена петровских реформ. Оценки государственной деятельности Петра I.</w:t>
      </w:r>
    </w:p>
    <w:p w14:paraId="55D4CA0D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lastRenderedPageBreak/>
        <w:t>Петровская внешняя политика и расширение территории Российской империи</w:t>
      </w:r>
    </w:p>
    <w:p w14:paraId="5F58354E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«Дворцовые перевороты» в России: определение, причины, характеристика эпохи</w:t>
      </w:r>
    </w:p>
    <w:p w14:paraId="5601D058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 xml:space="preserve">Приход к власти Екатерины II. Просветительская концепция государственных преобразований Екатерины II. Деятельность Уложенной комиссии и первый </w:t>
      </w:r>
    </w:p>
    <w:p w14:paraId="1EA2A619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Екатерининская внешняя политика и расширение территории Российской империи.</w:t>
      </w:r>
    </w:p>
    <w:p w14:paraId="60CAD6A9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Либеральные и консервативные преобразования Александра I: содержание реформ, причины и последствия смены политического курса. Деятельность «Негласного комитета», М.Сперанского, А.Аракчеева, Н.Новосильцева.</w:t>
      </w:r>
    </w:p>
    <w:p w14:paraId="6099F978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Внешняя политика России в годы Александра I. Отечественная война 1812 года.</w:t>
      </w:r>
    </w:p>
    <w:p w14:paraId="0E0455E6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7BA">
        <w:rPr>
          <w:rFonts w:ascii="Times New Roman" w:hAnsi="Times New Roman" w:cs="Times New Roman"/>
          <w:sz w:val="28"/>
          <w:szCs w:val="28"/>
        </w:rPr>
        <w:t>Бюрократическая система управления «николаевской» Россией. Социальная и культурная политика. М.М.Сперанский. П.Д.Киселев. Е.Ф.Канкрин.</w:t>
      </w:r>
    </w:p>
    <w:p w14:paraId="57602235" w14:textId="77777777" w:rsidR="003E27BA" w:rsidRPr="003E27BA" w:rsidRDefault="003E27BA" w:rsidP="003E27BA">
      <w:pPr>
        <w:pStyle w:val="a5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27BA">
        <w:rPr>
          <w:rFonts w:ascii="Times New Roman" w:hAnsi="Times New Roman" w:cs="Times New Roman"/>
          <w:sz w:val="28"/>
          <w:szCs w:val="28"/>
        </w:rPr>
        <w:t>.Дипломатия</w:t>
      </w:r>
      <w:proofErr w:type="gramEnd"/>
      <w:r w:rsidRPr="003E27BA">
        <w:rPr>
          <w:rFonts w:ascii="Times New Roman" w:hAnsi="Times New Roman" w:cs="Times New Roman"/>
          <w:sz w:val="28"/>
          <w:szCs w:val="28"/>
        </w:rPr>
        <w:t xml:space="preserve"> Николая I. «Завоевание» Кавказа. Крымская война: причины, ход, результаты.</w:t>
      </w:r>
    </w:p>
    <w:p w14:paraId="1E0D3A4D" w14:textId="77777777" w:rsidR="003E27BA" w:rsidRPr="003E27BA" w:rsidRDefault="003E27BA" w:rsidP="003E27BA"/>
    <w:sectPr w:rsidR="003E27BA" w:rsidRPr="003E27BA" w:rsidSect="003E27BA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2E19"/>
    <w:multiLevelType w:val="hybridMultilevel"/>
    <w:tmpl w:val="62B2A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8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CD"/>
    <w:rsid w:val="00190029"/>
    <w:rsid w:val="003E27BA"/>
    <w:rsid w:val="004C1A4A"/>
    <w:rsid w:val="00B405FE"/>
    <w:rsid w:val="00E47D35"/>
    <w:rsid w:val="00E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73C7"/>
  <w15:chartTrackingRefBased/>
  <w15:docId w15:val="{3B9157E2-7035-4B21-BF28-5AB84FD3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405FE"/>
    <w:pPr>
      <w:spacing w:after="120" w:line="240" w:lineRule="auto"/>
    </w:pPr>
    <w:rPr>
      <w:rFonts w:ascii="Calibri" w:eastAsia="Times New Roman" w:hAnsi="Calibri" w:cs="Calibri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405FE"/>
    <w:rPr>
      <w:rFonts w:ascii="Calibri" w:eastAsia="Times New Roman" w:hAnsi="Calibri" w:cs="Calibri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E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Александр Беликов</cp:lastModifiedBy>
  <cp:revision>3</cp:revision>
  <dcterms:created xsi:type="dcterms:W3CDTF">2023-12-18T16:57:00Z</dcterms:created>
  <dcterms:modified xsi:type="dcterms:W3CDTF">2024-01-19T08:43:00Z</dcterms:modified>
</cp:coreProperties>
</file>