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Noto Sans CJK KR" w:hAnsi="Noto Sans CJK KR" w:eastAsia="Noto Sans CJK KR"/>
          <w:b/>
          <w:color w:val="17365D"/>
          <w:sz w:val="50"/>
        </w:rPr>
        <w:t>BC 외국인 상권 진단 기반</w:t>
        <w:br/>
        <w:t>LLM Action Knowledge Base 프로토타입</w:t>
      </w:r>
    </w:p>
    <w:p>
      <w:pPr>
        <w:spacing w:before="240"/>
        <w:jc w:val="center"/>
      </w:pPr>
      <w:r>
        <w:rPr>
          <w:rFonts w:ascii="Noto Sans CJK KR" w:hAnsi="Noto Sans CJK KR" w:eastAsia="Noto Sans CJK KR"/>
          <w:color w:val="44546A"/>
          <w:sz w:val="24"/>
        </w:rPr>
        <w:t>데이터가 지역을 진단하고, LLM이 근거 기반 실행전략으로 변환하는 의사결정 지원 시스템</w:t>
      </w:r>
    </w:p>
    <w:p>
      <w:pPr>
        <w:spacing w:before="1100"/>
        <w:jc w:val="center"/>
      </w:pPr>
      <w:r>
        <w:rPr>
          <w:rFonts w:ascii="Noto Sans CJK KR" w:hAnsi="Noto Sans CJK KR" w:eastAsia="Noto Sans CJK KR"/>
          <w:b/>
          <w:color w:val="1F4E79"/>
          <w:sz w:val="22"/>
        </w:rPr>
        <w:t>공모전 프로토타입 제안서</w:t>
      </w:r>
    </w:p>
    <w:p>
      <w:pPr>
        <w:jc w:val="center"/>
      </w:pPr>
      <w:r>
        <w:rPr>
          <w:rFonts w:ascii="Noto Sans CJK KR" w:hAnsi="Noto Sans CJK KR" w:eastAsia="Noto Sans CJK KR"/>
          <w:color w:val="646464"/>
          <w:sz w:val="20"/>
        </w:rPr>
        <w:t>2026</w:t>
      </w:r>
    </w:p>
    <w:p>
      <w:r>
        <w:br w:type="page"/>
      </w:r>
    </w:p>
    <w:p>
      <w:pPr>
        <w:pStyle w:val="Heading1"/>
      </w:pPr>
      <w:r>
        <w:t>1. 프로토타입 개요</w:t>
      </w:r>
    </w:p>
    <w:p>
      <w:pPr>
        <w:spacing w:after="80" w:line="324" w:lineRule="auto"/>
      </w:pPr>
      <w:r>
        <w:rPr>
          <w:rFonts w:ascii="Noto Sans CJK KR" w:hAnsi="Noto Sans CJK KR" w:eastAsia="Noto Sans CJK KR"/>
          <w:sz w:val="21"/>
        </w:rPr>
        <w:t>본 프로토타입의 목적은 카드데이터 분석 결과를 사람이 임의로 해석해 조언하는 방식에서 벗어나, 정량적으로 검증된 지역 라벨을 Action Knowledge Base와 결합하고 LLM이 이해관계자별 실행전략으로 변환하도록 만드는 것이다. LLM은 지역의 유형을 스스로 추정하지 않으며, 분석 엔진이 산출한 Structure·Momentum·Confidence·External Context를 구조화된 입력값으로 전달받는다.</w:t>
      </w:r>
    </w:p>
    <w:tbl>
      <w:tblPr>
        <w:tblW w:type="auto" w:w="0"/>
        <w:tblLayout w:type="fixed"/>
        <w:tblLook w:firstColumn="1" w:firstRow="1" w:lastColumn="0" w:lastRow="0" w:noHBand="0" w:noVBand="1" w:val="04A0"/>
      </w:tblPr>
      <w:tblGrid>
        <w:gridCol w:w="2376"/>
        <w:gridCol w:w="7128"/>
      </w:tblGrid>
      <w:tr>
        <w:tc>
          <w:tcPr>
            <w:tcW w:type="dxa" w:w="10166"/>
            <w:gridSpan w:val="2"/>
            <w:shd w:fill="1F4E78"/>
            <w:tcMar>
              <w:top w:w="80" w:type="dxa"/>
              <w:start w:w="100" w:type="dxa"/>
              <w:bottom w:w="80" w:type="dxa"/>
              <w:end w:w="100" w:type="dxa"/>
            </w:tcMar>
          </w:tcPr>
          <w:p>
            <w:r>
              <w:rPr>
                <w:rFonts w:ascii="Noto Sans CJK KR" w:hAnsi="Noto Sans CJK KR" w:eastAsia="Noto Sans CJK KR"/>
                <w:b w:val="0"/>
                <w:color w:val="FFFFFF"/>
                <w:sz w:val="18"/>
              </w:rPr>
              <w:t>핵심 설계 원칙</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역할 분리</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분석 엔진은 사실을 계산하고, LLM은 계산된 사실을 실행 가능한 언어로 번역한다.</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근거 기반</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추천 액션은 Action Knowledge Base에 등록된 규칙·정책·사례·데이터에 근거해야 한다.</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신뢰도 제어</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Confidence가 낮은 지역은 강한 투자 권고 대신 파일럿·추가 관찰을 우선한다.</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이해관계자 분화</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동일 지역이라도 BC카드, 소상공인/창업자, 지자체에 서로 다른 Action을 생성한다.</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확장 가능성</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255개 지역을 사람이 일일이 해석하지 않고 동일한 규칙으로 자동 확장한다.</w:t>
            </w:r>
          </w:p>
        </w:tc>
      </w:tr>
    </w:tbl>
    <w:p>
      <w:pPr>
        <w:spacing w:after="40"/>
      </w:pPr>
    </w:p>
    <w:p>
      <w:pPr>
        <w:pStyle w:val="Heading2"/>
        <w:spacing w:after="80" w:line="324" w:lineRule="auto"/>
      </w:pPr>
      <w:r>
        <w:rPr>
          <w:rFonts w:ascii="Noto Sans CJK KR" w:hAnsi="Noto Sans CJK KR" w:eastAsia="Noto Sans CJK KR"/>
          <w:sz w:val="21"/>
        </w:rPr>
        <w:t>기존 방식과의 차이</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8"/>
              </w:rPr>
              <w:t>구분</w:t>
            </w:r>
          </w:p>
        </w:tc>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8"/>
              </w:rPr>
              <w:t>일반적 분석 보고서</w:t>
            </w:r>
          </w:p>
        </w:tc>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8"/>
              </w:rPr>
              <w:t>본 프로토타입</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8"/>
              </w:rPr>
              <w:t>분석 결과</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8"/>
              </w:rPr>
              <w:t>지역별 통계·그래프 제시</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8"/>
              </w:rPr>
              <w:t>Structure·Momentum·Confidence로 정량 라벨링</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8"/>
              </w:rPr>
              <w:t>Action</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8"/>
              </w:rPr>
              <w:t>분석자의 해석과 제안</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8"/>
              </w:rPr>
              <w:t>KB에 등록된 근거를 검색해 LLM이 생성</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8"/>
              </w:rPr>
              <w:t>확장성</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8"/>
              </w:rPr>
              <w:t>지역별 수작업</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8"/>
              </w:rPr>
              <w:t>255개 시군구 자동 진단·설명</w:t>
            </w:r>
          </w:p>
        </w:tc>
      </w:tr>
    </w:tbl>
    <w:p>
      <w:pPr>
        <w:pStyle w:val="Heading1"/>
        <w:spacing w:after="80" w:line="324" w:lineRule="auto"/>
      </w:pPr>
      <w:r>
        <w:rPr>
          <w:rFonts w:ascii="Noto Sans CJK KR" w:hAnsi="Noto Sans CJK KR" w:eastAsia="Noto Sans CJK KR"/>
          <w:sz w:val="21"/>
        </w:rPr>
        <w:t>2. 시스템 아키텍처</w:t>
      </w:r>
    </w:p>
    <w:p>
      <w:pPr>
        <w:spacing w:after="80" w:line="324" w:lineRule="auto"/>
      </w:pPr>
      <w:r>
        <w:rPr>
          <w:rFonts w:ascii="Noto Sans CJK KR" w:hAnsi="Noto Sans CJK KR" w:eastAsia="Noto Sans CJK KR"/>
          <w:sz w:val="21"/>
        </w:rPr>
        <w:t>전체 구조는 “Data → Diagnosis → Context → Action Retrieval → LLM → Stakeholder Output”의 6단계로 설계한다. 중요한 점은 Action 생성 전에 분석 결과와 외부 데이터가 먼저 지역의 상태를 제한한다는 것이다.</w:t>
      </w:r>
    </w:p>
    <w:tbl>
      <w:tblPr>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1F4E78"/>
            <w:tcMar>
              <w:top w:w="70" w:type="dxa"/>
              <w:start w:w="50" w:type="dxa"/>
              <w:bottom w:w="70" w:type="dxa"/>
              <w:end w:w="50" w:type="dxa"/>
            </w:tcMar>
          </w:tcPr>
          <w:p>
            <w:pPr>
              <w:jc w:val="center"/>
            </w:pPr>
            <w:r>
              <w:rPr>
                <w:rFonts w:ascii="Noto Sans CJK KR" w:hAnsi="Noto Sans CJK KR" w:eastAsia="Noto Sans CJK KR"/>
                <w:b/>
                <w:color w:val="FFFFFF"/>
                <w:sz w:val="17"/>
              </w:rPr>
              <w:t>① BC DATA</w:t>
            </w:r>
          </w:p>
        </w:tc>
        <w:tc>
          <w:tcPr>
            <w:tcW w:type="dxa" w:w="1694"/>
            <w:shd w:fill="1F4E78"/>
            <w:tcMar>
              <w:top w:w="70" w:type="dxa"/>
              <w:start w:w="50" w:type="dxa"/>
              <w:bottom w:w="70" w:type="dxa"/>
              <w:end w:w="50" w:type="dxa"/>
            </w:tcMar>
          </w:tcPr>
          <w:p>
            <w:pPr>
              <w:jc w:val="center"/>
            </w:pPr>
            <w:r>
              <w:rPr>
                <w:rFonts w:ascii="Noto Sans CJK KR" w:hAnsi="Noto Sans CJK KR" w:eastAsia="Noto Sans CJK KR"/>
                <w:b/>
                <w:color w:val="FFFFFF"/>
                <w:sz w:val="17"/>
              </w:rPr>
              <w:t>② Analytics</w:t>
            </w:r>
          </w:p>
        </w:tc>
        <w:tc>
          <w:tcPr>
            <w:tcW w:type="dxa" w:w="1694"/>
            <w:shd w:fill="1F4E78"/>
            <w:tcMar>
              <w:top w:w="70" w:type="dxa"/>
              <w:start w:w="50" w:type="dxa"/>
              <w:bottom w:w="70" w:type="dxa"/>
              <w:end w:w="50" w:type="dxa"/>
            </w:tcMar>
          </w:tcPr>
          <w:p>
            <w:pPr>
              <w:jc w:val="center"/>
            </w:pPr>
            <w:r>
              <w:rPr>
                <w:rFonts w:ascii="Noto Sans CJK KR" w:hAnsi="Noto Sans CJK KR" w:eastAsia="Noto Sans CJK KR"/>
                <w:b/>
                <w:color w:val="FFFFFF"/>
                <w:sz w:val="17"/>
              </w:rPr>
              <w:t>③ Context</w:t>
            </w:r>
          </w:p>
        </w:tc>
        <w:tc>
          <w:tcPr>
            <w:tcW w:type="dxa" w:w="1694"/>
            <w:shd w:fill="1F4E78"/>
            <w:tcMar>
              <w:top w:w="70" w:type="dxa"/>
              <w:start w:w="50" w:type="dxa"/>
              <w:bottom w:w="70" w:type="dxa"/>
              <w:end w:w="50" w:type="dxa"/>
            </w:tcMar>
          </w:tcPr>
          <w:p>
            <w:pPr>
              <w:jc w:val="center"/>
            </w:pPr>
            <w:r>
              <w:rPr>
                <w:rFonts w:ascii="Noto Sans CJK KR" w:hAnsi="Noto Sans CJK KR" w:eastAsia="Noto Sans CJK KR"/>
                <w:b/>
                <w:color w:val="FFFFFF"/>
                <w:sz w:val="17"/>
              </w:rPr>
              <w:t>④ Action KB</w:t>
            </w:r>
          </w:p>
        </w:tc>
        <w:tc>
          <w:tcPr>
            <w:tcW w:type="dxa" w:w="1694"/>
            <w:shd w:fill="1F4E78"/>
            <w:tcMar>
              <w:top w:w="70" w:type="dxa"/>
              <w:start w:w="50" w:type="dxa"/>
              <w:bottom w:w="70" w:type="dxa"/>
              <w:end w:w="50" w:type="dxa"/>
            </w:tcMar>
          </w:tcPr>
          <w:p>
            <w:pPr>
              <w:jc w:val="center"/>
            </w:pPr>
            <w:r>
              <w:rPr>
                <w:rFonts w:ascii="Noto Sans CJK KR" w:hAnsi="Noto Sans CJK KR" w:eastAsia="Noto Sans CJK KR"/>
                <w:b/>
                <w:color w:val="FFFFFF"/>
                <w:sz w:val="17"/>
              </w:rPr>
              <w:t>⑤ LLM</w:t>
            </w:r>
          </w:p>
        </w:tc>
        <w:tc>
          <w:tcPr>
            <w:tcW w:type="dxa" w:w="1694"/>
            <w:shd w:fill="1F4E78"/>
            <w:tcMar>
              <w:top w:w="70" w:type="dxa"/>
              <w:start w:w="50" w:type="dxa"/>
              <w:bottom w:w="70" w:type="dxa"/>
              <w:end w:w="50" w:type="dxa"/>
            </w:tcMar>
          </w:tcPr>
          <w:p>
            <w:pPr>
              <w:jc w:val="center"/>
            </w:pPr>
            <w:r>
              <w:rPr>
                <w:rFonts w:ascii="Noto Sans CJK KR" w:hAnsi="Noto Sans CJK KR" w:eastAsia="Noto Sans CJK KR"/>
                <w:b/>
                <w:color w:val="FFFFFF"/>
                <w:sz w:val="17"/>
              </w:rPr>
              <w:t>⑥ Output</w:t>
            </w:r>
          </w:p>
        </w:tc>
      </w:tr>
      <w:tr>
        <w:tc>
          <w:tcPr>
            <w:tcW w:type="dxa" w:w="1694"/>
            <w:shd w:fill="EAF2F8"/>
            <w:tcMar>
              <w:top w:w="110" w:type="dxa"/>
              <w:start w:w="50" w:type="dxa"/>
              <w:bottom w:w="110" w:type="dxa"/>
              <w:end w:w="50" w:type="dxa"/>
            </w:tcMar>
          </w:tcPr>
          <w:p>
            <w:pPr>
              <w:jc w:val="center"/>
            </w:pPr>
            <w:r>
              <w:rPr>
                <w:rFonts w:ascii="Noto Sans CJK KR" w:hAnsi="Noto Sans CJK KR" w:eastAsia="Noto Sans CJK KR"/>
                <w:sz w:val="16"/>
              </w:rPr>
              <w:t>카드 거래</w:t>
            </w:r>
          </w:p>
        </w:tc>
        <w:tc>
          <w:tcPr>
            <w:tcW w:type="dxa" w:w="1694"/>
            <w:shd w:fill="EAF2F8"/>
            <w:tcMar>
              <w:top w:w="110" w:type="dxa"/>
              <w:start w:w="50" w:type="dxa"/>
              <w:bottom w:w="110" w:type="dxa"/>
              <w:end w:w="50" w:type="dxa"/>
            </w:tcMar>
          </w:tcPr>
          <w:p>
            <w:pPr>
              <w:jc w:val="center"/>
            </w:pPr>
            <w:r>
              <w:rPr>
                <w:rFonts w:ascii="Noto Sans CJK KR" w:hAnsi="Noto Sans CJK KR" w:eastAsia="Noto Sans CJK KR"/>
                <w:sz w:val="16"/>
              </w:rPr>
              <w:t>Structure</w:t>
              <w:br/>
              <w:t>Momentum</w:t>
              <w:br/>
              <w:t>Confidence</w:t>
            </w:r>
          </w:p>
        </w:tc>
        <w:tc>
          <w:tcPr>
            <w:tcW w:type="dxa" w:w="1694"/>
            <w:shd w:fill="EAF2F8"/>
            <w:tcMar>
              <w:top w:w="110" w:type="dxa"/>
              <w:start w:w="50" w:type="dxa"/>
              <w:bottom w:w="110" w:type="dxa"/>
              <w:end w:w="50" w:type="dxa"/>
            </w:tcMar>
          </w:tcPr>
          <w:p>
            <w:pPr>
              <w:jc w:val="center"/>
            </w:pPr>
            <w:r>
              <w:rPr>
                <w:rFonts w:ascii="Noto Sans CJK KR" w:hAnsi="Noto Sans CJK KR" w:eastAsia="Noto Sans CJK KR"/>
                <w:sz w:val="16"/>
              </w:rPr>
              <w:t>정주·관광</w:t>
              <w:br/>
              <w:t>공급·정책</w:t>
            </w:r>
          </w:p>
        </w:tc>
        <w:tc>
          <w:tcPr>
            <w:tcW w:type="dxa" w:w="1694"/>
            <w:shd w:fill="EAF2F8"/>
            <w:tcMar>
              <w:top w:w="110" w:type="dxa"/>
              <w:start w:w="50" w:type="dxa"/>
              <w:bottom w:w="110" w:type="dxa"/>
              <w:end w:w="50" w:type="dxa"/>
            </w:tcMar>
          </w:tcPr>
          <w:p>
            <w:pPr>
              <w:jc w:val="center"/>
            </w:pPr>
            <w:r>
              <w:rPr>
                <w:rFonts w:ascii="Noto Sans CJK KR" w:hAnsi="Noto Sans CJK KR" w:eastAsia="Noto Sans CJK KR"/>
                <w:sz w:val="16"/>
              </w:rPr>
              <w:t>조건에 맞는</w:t>
              <w:br/>
              <w:t>액션 검색</w:t>
            </w:r>
          </w:p>
        </w:tc>
        <w:tc>
          <w:tcPr>
            <w:tcW w:type="dxa" w:w="1694"/>
            <w:shd w:fill="EAF2F8"/>
            <w:tcMar>
              <w:top w:w="110" w:type="dxa"/>
              <w:start w:w="50" w:type="dxa"/>
              <w:bottom w:w="110" w:type="dxa"/>
              <w:end w:w="50" w:type="dxa"/>
            </w:tcMar>
          </w:tcPr>
          <w:p>
            <w:pPr>
              <w:jc w:val="center"/>
            </w:pPr>
            <w:r>
              <w:rPr>
                <w:rFonts w:ascii="Noto Sans CJK KR" w:hAnsi="Noto Sans CJK KR" w:eastAsia="Noto Sans CJK KR"/>
                <w:sz w:val="16"/>
              </w:rPr>
              <w:t>근거 기반</w:t>
              <w:br/>
              <w:t>설명/조합</w:t>
            </w:r>
          </w:p>
        </w:tc>
        <w:tc>
          <w:tcPr>
            <w:tcW w:type="dxa" w:w="1694"/>
            <w:shd w:fill="EAF2F8"/>
            <w:tcMar>
              <w:top w:w="110" w:type="dxa"/>
              <w:start w:w="50" w:type="dxa"/>
              <w:bottom w:w="110" w:type="dxa"/>
              <w:end w:w="50" w:type="dxa"/>
            </w:tcMar>
          </w:tcPr>
          <w:p>
            <w:pPr>
              <w:jc w:val="center"/>
            </w:pPr>
            <w:r>
              <w:rPr>
                <w:rFonts w:ascii="Noto Sans CJK KR" w:hAnsi="Noto Sans CJK KR" w:eastAsia="Noto Sans CJK KR"/>
                <w:sz w:val="16"/>
              </w:rPr>
              <w:t>BC / 상인 /</w:t>
              <w:br/>
              <w:t>지자체</w:t>
            </w:r>
          </w:p>
        </w:tc>
      </w:tr>
    </w:tbl>
    <w:p>
      <w:pPr>
        <w:pStyle w:val="Heading2"/>
        <w:spacing w:after="80" w:line="324" w:lineRule="auto"/>
      </w:pPr>
      <w:r>
        <w:rPr>
          <w:rFonts w:ascii="Noto Sans CJK KR" w:hAnsi="Noto Sans CJK KR" w:eastAsia="Noto Sans CJK KR"/>
          <w:sz w:val="21"/>
        </w:rPr>
        <w:t>Analytics Engine의 역할</w:t>
      </w:r>
    </w:p>
    <w:p>
      <w:pPr>
        <w:pStyle w:val="ListBullet"/>
        <w:spacing w:after="40" w:line="300" w:lineRule="auto"/>
      </w:pPr>
      <w:r>
        <w:rPr>
          <w:rFonts w:ascii="Noto Sans CJK KR" w:hAnsi="Noto Sans CJK KR" w:eastAsia="Noto Sans CJK KR"/>
          <w:sz w:val="20"/>
        </w:rPr>
        <w:t>Structure: Scale × TVD를 이용하여 대규모·고괴리 / 대규모·저괴리 / 소규모·고괴리 / 소규모·저괴리 유형을 부여한다.</w:t>
      </w:r>
    </w:p>
    <w:p>
      <w:pPr>
        <w:pStyle w:val="ListBullet"/>
        <w:spacing w:after="40" w:line="300" w:lineRule="auto"/>
      </w:pPr>
      <w:r>
        <w:rPr>
          <w:rFonts w:ascii="Noto Sans CJK KR" w:hAnsi="Noto Sans CJK KR" w:eastAsia="Noto Sans CJK KR"/>
          <w:sz w:val="20"/>
        </w:rPr>
        <w:t>Momentum: H1/H2의 CNT(거래건수)와 ATV(건당금액) 변화를 이용해 최근 성장의 방향과 원인을 진단한다.</w:t>
      </w:r>
    </w:p>
    <w:p>
      <w:pPr>
        <w:pStyle w:val="ListBullet"/>
        <w:spacing w:after="40" w:line="300" w:lineRule="auto"/>
      </w:pPr>
      <w:r>
        <w:rPr>
          <w:rFonts w:ascii="Noto Sans CJK KR" w:hAnsi="Noto Sans CJK KR" w:eastAsia="Noto Sans CJK KR"/>
          <w:sz w:val="20"/>
        </w:rPr>
        <w:t>Confidence: 3개월 블록과 2개월 블록 등 기간창을 바꿨을 때 Momentum 신호가 유지되는지 확인해 High / Medium / Low를 부여한다.</w:t>
      </w:r>
    </w:p>
    <w:p>
      <w:pPr>
        <w:pStyle w:val="ListBullet"/>
        <w:spacing w:after="40" w:line="300" w:lineRule="auto"/>
      </w:pPr>
      <w:r>
        <w:rPr>
          <w:rFonts w:ascii="Noto Sans CJK KR" w:hAnsi="Noto Sans CJK KR" w:eastAsia="Noto Sans CJK KR"/>
          <w:sz w:val="20"/>
        </w:rPr>
        <w:t>External Context: 등록외국인, 관광·방문, 상권 공급 등 외부데이터를 이용해 정주형·방문형·산업형 등의 맥락을 보완한다.</w:t>
      </w:r>
    </w:p>
    <w:p>
      <w:pPr>
        <w:pStyle w:val="Heading1"/>
        <w:spacing w:after="80" w:line="324" w:lineRule="auto"/>
      </w:pPr>
      <w:r>
        <w:rPr>
          <w:rFonts w:ascii="Noto Sans CJK KR" w:hAnsi="Noto Sans CJK KR" w:eastAsia="Noto Sans CJK KR"/>
          <w:sz w:val="21"/>
        </w:rPr>
        <w:t>3. Action Knowledge Base 설계</w:t>
      </w:r>
    </w:p>
    <w:p>
      <w:pPr>
        <w:spacing w:after="80" w:line="324" w:lineRule="auto"/>
      </w:pPr>
      <w:r>
        <w:rPr>
          <w:rFonts w:ascii="Noto Sans CJK KR" w:hAnsi="Noto Sans CJK KR" w:eastAsia="Noto Sans CJK KR"/>
          <w:sz w:val="21"/>
        </w:rPr>
        <w:t>Action Knowledge Base는 단순 문서 모음이 아니라 “어떤 조건에서 어떤 Action을 고려할 수 있는지”를 저장하는 의사결정 규칙 DB로 구축한다. 각 액션은 적용 조건, 근거, 제외 조건, KPI, 유효기간을 함께 보유해야 한다.</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필드</w:t>
            </w:r>
          </w:p>
        </w:tc>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정의</w:t>
            </w:r>
          </w:p>
        </w:tc>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예시</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Stakeholder</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액션 대상</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BC / 소상공인·창업자 / 지자체</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Structure</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적용 가능한 상권 유형</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소규모·고괴리</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Momentum</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현재 성장 방향</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CNT↑ / ATV→</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Confidence</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추천 강도 조절</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High</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Context</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정주·관광·산업 등 외부 맥락</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정주형</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Trigger</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액션 활성 조건</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정주비율↑ + TVD↑ + 수요공급 Gap↑</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Action</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실제 실행안</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생활밀착 외국인 특화 가맹점 확대</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Why</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데이터상 이유</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반복 생활수요와 공급 부족 동시 존재</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Avoid When</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적용 금지/주의</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관광형·Low Confidence</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KPI</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성과 측정 지표</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외국인 CNT, 교차결제율, 신규고객 재방문</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Evidence</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근거 자료</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BC 사례 / 정부통계 / 공공정책</w:t>
            </w:r>
          </w:p>
        </w:tc>
      </w:tr>
    </w:tbl>
    <w:p>
      <w:pPr>
        <w:pStyle w:val="Heading2"/>
        <w:spacing w:after="80" w:line="324" w:lineRule="auto"/>
      </w:pPr>
      <w:r>
        <w:rPr>
          <w:rFonts w:ascii="Noto Sans CJK KR" w:hAnsi="Noto Sans CJK KR" w:eastAsia="Noto Sans CJK KR"/>
          <w:sz w:val="21"/>
        </w:rPr>
        <w:t>근거 등급(Evidence Grade)</w:t>
      </w:r>
    </w:p>
    <w:p>
      <w:pPr>
        <w:pStyle w:val="ListBullet"/>
        <w:spacing w:after="40" w:line="300" w:lineRule="auto"/>
      </w:pPr>
      <w:r>
        <w:rPr>
          <w:rFonts w:ascii="Noto Sans CJK KR" w:hAnsi="Noto Sans CJK KR" w:eastAsia="Noto Sans CJK KR"/>
          <w:sz w:val="20"/>
        </w:rPr>
        <w:t>A: BC카드 공식 사례, 정부 공식 통계·정책, 본 연구의 직접 실증 결과 등 직접성이 높은 근거</w:t>
      </w:r>
    </w:p>
    <w:p>
      <w:pPr>
        <w:pStyle w:val="ListBullet"/>
        <w:spacing w:after="40" w:line="300" w:lineRule="auto"/>
      </w:pPr>
      <w:r>
        <w:rPr>
          <w:rFonts w:ascii="Noto Sans CJK KR" w:hAnsi="Noto Sans CJK KR" w:eastAsia="Noto Sans CJK KR"/>
          <w:sz w:val="20"/>
        </w:rPr>
        <w:t>B: 학술논문, 공공기관 연구보고서, 신뢰 가능한 산업보고서 등 보조 근거</w:t>
      </w:r>
    </w:p>
    <w:p>
      <w:pPr>
        <w:pStyle w:val="ListBullet"/>
        <w:spacing w:after="40" w:line="300" w:lineRule="auto"/>
      </w:pPr>
      <w:r>
        <w:rPr>
          <w:rFonts w:ascii="Noto Sans CJK KR" w:hAnsi="Noto Sans CJK KR" w:eastAsia="Noto Sans CJK KR"/>
          <w:sz w:val="20"/>
        </w:rPr>
        <w:t>C: 논리적으로 타당하지만 직접 검증되지 않은 가설. 추천 시 “파일럿 검증 필요”를 표시</w:t>
      </w:r>
    </w:p>
    <w:p>
      <w:pPr>
        <w:pStyle w:val="ListBullet"/>
        <w:spacing w:after="40" w:line="300" w:lineRule="auto"/>
      </w:pPr>
      <w:r>
        <w:rPr>
          <w:rFonts w:ascii="Noto Sans CJK KR" w:hAnsi="Noto Sans CJK KR" w:eastAsia="Noto Sans CJK KR"/>
          <w:sz w:val="20"/>
        </w:rPr>
        <w:t>X: 출처나 적용 조건이 불명확한 아이디어. KB에 등록하지 않음</w:t>
      </w:r>
    </w:p>
    <w:p>
      <w:pPr>
        <w:pStyle w:val="Heading1"/>
        <w:spacing w:after="80" w:line="324" w:lineRule="auto"/>
      </w:pPr>
      <w:r>
        <w:rPr>
          <w:rFonts w:ascii="Noto Sans CJK KR" w:hAnsi="Noto Sans CJK KR" w:eastAsia="Noto Sans CJK KR"/>
          <w:sz w:val="21"/>
        </w:rPr>
        <w:t>4. Action KB 구축에 활용할 데이터와 출처</w:t>
      </w:r>
    </w:p>
    <w:p>
      <w:pPr>
        <w:spacing w:after="80" w:line="324" w:lineRule="auto"/>
      </w:pPr>
      <w:r>
        <w:rPr>
          <w:rFonts w:ascii="Noto Sans CJK KR" w:hAnsi="Noto Sans CJK KR" w:eastAsia="Noto Sans CJK KR"/>
          <w:sz w:val="21"/>
        </w:rPr>
        <w:t>초기 프로토타입은 아래 6개 데이터군만으로도 충분하다. 핵심은 “수요·정주·방문·공급·실행수단”을 동시에 확보해 액션이 단순 추측이 되지 않도록 만드는 것이다.</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데이터군</w:t>
            </w:r>
          </w:p>
        </w:tc>
        <w:tc>
          <w:tcPr>
            <w:tcW w:type="dxa" w:w="2033"/>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주요 출처</w:t>
            </w:r>
          </w:p>
        </w:tc>
        <w:tc>
          <w:tcPr>
            <w:tcW w:type="dxa" w:w="2033"/>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핵심 변수</w:t>
            </w:r>
          </w:p>
        </w:tc>
        <w:tc>
          <w:tcPr>
            <w:tcW w:type="dxa" w:w="2033"/>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KB 역할</w:t>
            </w:r>
          </w:p>
        </w:tc>
        <w:tc>
          <w:tcPr>
            <w:tcW w:type="dxa" w:w="2033"/>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우선순위</w:t>
            </w:r>
          </w:p>
        </w:tc>
      </w:tr>
      <w:tr>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① BC 분석결과</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공모전 BC 거래데이터</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TVD, Scale, CNT/ATV, Confidence, 업종별 Gap</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지역 진단 Ground Truth</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필수</w:t>
            </w:r>
          </w:p>
        </w:tc>
      </w:tr>
      <w:tr>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② 외국인 정주</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법무부·공공데이터포털</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등록외국인 수, 국적, 체류 관련 통계</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정주형 Context</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필수</w:t>
            </w:r>
          </w:p>
        </w:tc>
      </w:tr>
      <w:tr>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③ 관광·방문</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한국관광 데이터랩</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외국인 방문, 체류, 관광소비, 업종별 소비</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방문·관광형 Context</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필수</w:t>
            </w:r>
          </w:p>
        </w:tc>
      </w:tr>
      <w:tr>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④ 상권 공급</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소상공인365 + LOCALDATA</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업종별 점포, 영업상태, 인허가, 상권지표</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수요-공급 Gap 및 사업성</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필수</w:t>
            </w:r>
          </w:p>
        </w:tc>
      </w:tr>
      <w:tr>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⑤ 정책·지원</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중소벤처기업부·소진공</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지원사업, 대상, 조건, 기간</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실제로 사용 가능한 정책 Action</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필수</w:t>
            </w:r>
          </w:p>
        </w:tc>
      </w:tr>
      <w:tr>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⑥ BC 실행수단</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BC IDEA / 빅데이터 비즈니스</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상권분석, 타깃마케팅, 지역활성화 컨설팅</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BC가 실제 수행 가능한 Action</w:t>
            </w:r>
          </w:p>
        </w:tc>
        <w:tc>
          <w:tcPr>
            <w:tcW w:type="dxa" w:w="2033"/>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필수</w:t>
            </w:r>
          </w:p>
        </w:tc>
      </w:tr>
    </w:tbl>
    <w:p>
      <w:pPr>
        <w:pStyle w:val="Heading2"/>
        <w:spacing w:after="80" w:line="324" w:lineRule="auto"/>
      </w:pPr>
      <w:r>
        <w:rPr>
          <w:rFonts w:ascii="Noto Sans CJK KR" w:hAnsi="Noto Sans CJK KR" w:eastAsia="Noto Sans CJK KR"/>
          <w:sz w:val="21"/>
        </w:rPr>
        <w:t>데이터별 추천 파생지표</w:t>
      </w:r>
    </w:p>
    <w:p>
      <w:pPr>
        <w:pStyle w:val="ListBullet"/>
        <w:spacing w:after="40" w:line="300" w:lineRule="auto"/>
      </w:pPr>
      <w:r>
        <w:rPr>
          <w:rFonts w:ascii="Noto Sans CJK KR" w:hAnsi="Noto Sans CJK KR" w:eastAsia="Noto Sans CJK KR"/>
          <w:sz w:val="20"/>
        </w:rPr>
        <w:t>Resident Intensity = 등록외국인 / (주민등록인구 + 등록외국인): 정주 외국인의 지역 내 존재감</w:t>
      </w:r>
    </w:p>
    <w:p>
      <w:pPr>
        <w:pStyle w:val="ListBullet"/>
        <w:spacing w:after="40" w:line="300" w:lineRule="auto"/>
      </w:pPr>
      <w:r>
        <w:rPr>
          <w:rFonts w:ascii="Noto Sans CJK KR" w:hAnsi="Noto Sans CJK KR" w:eastAsia="Noto Sans CJK KR"/>
          <w:sz w:val="20"/>
        </w:rPr>
        <w:t>Visitor Intensity = 외국인 방문자 / 등록외국인: 정주규모 대비 외부 유입 강도</w:t>
      </w:r>
    </w:p>
    <w:p>
      <w:pPr>
        <w:pStyle w:val="ListBullet"/>
        <w:spacing w:after="40" w:line="300" w:lineRule="auto"/>
      </w:pPr>
      <w:r>
        <w:rPr>
          <w:rFonts w:ascii="Noto Sans CJK KR" w:hAnsi="Noto Sans CJK KR" w:eastAsia="Noto Sans CJK KR"/>
          <w:sz w:val="20"/>
        </w:rPr>
        <w:t>Supply Gap(k) = 외국인 업종 k 수요비중 − 지역 업종 k 공급비중: 외국인 수요 대비 공급 부족 정도</w:t>
      </w:r>
    </w:p>
    <w:p>
      <w:pPr>
        <w:pStyle w:val="ListBullet"/>
        <w:spacing w:after="40" w:line="300" w:lineRule="auto"/>
      </w:pPr>
      <w:r>
        <w:rPr>
          <w:rFonts w:ascii="Noto Sans CJK KR" w:hAnsi="Noto Sans CJK KR" w:eastAsia="Noto Sans CJK KR"/>
          <w:sz w:val="20"/>
        </w:rPr>
        <w:t>Closure Risk(k) = 폐업 업소 / 업종 k 전체 업소: 높은 수요에도 사업 지속성이 낮은 업종을 구분</w:t>
      </w:r>
    </w:p>
    <w:p>
      <w:pPr>
        <w:pStyle w:val="ListBullet"/>
        <w:spacing w:after="40" w:line="300" w:lineRule="auto"/>
      </w:pPr>
      <w:r>
        <w:rPr>
          <w:rFonts w:ascii="Noto Sans CJK KR" w:hAnsi="Noto Sans CJK KR" w:eastAsia="Noto Sans CJK KR"/>
          <w:sz w:val="20"/>
        </w:rPr>
        <w:t>Policy Match = 지역/사업자 특성과 현재 지원사업 자격조건의 일치 여부</w:t>
      </w:r>
    </w:p>
    <w:p>
      <w:pPr>
        <w:pStyle w:val="Heading1"/>
        <w:spacing w:after="80" w:line="324" w:lineRule="auto"/>
      </w:pPr>
      <w:r>
        <w:rPr>
          <w:rFonts w:ascii="Noto Sans CJK KR" w:hAnsi="Noto Sans CJK KR" w:eastAsia="Noto Sans CJK KR"/>
          <w:sz w:val="21"/>
        </w:rPr>
        <w:t>5. 공식 데이터 소스별 활용 방식</w:t>
      </w:r>
    </w:p>
    <w:p>
      <w:pPr>
        <w:pStyle w:val="Heading2"/>
        <w:spacing w:after="80" w:line="324" w:lineRule="auto"/>
      </w:pPr>
      <w:r>
        <w:rPr>
          <w:rFonts w:ascii="Noto Sans CJK KR" w:hAnsi="Noto Sans CJK KR" w:eastAsia="Noto Sans CJK KR"/>
          <w:sz w:val="21"/>
        </w:rPr>
        <w:t>5.1 법무부 등록외국인</w:t>
      </w:r>
    </w:p>
    <w:p>
      <w:pPr>
        <w:spacing w:after="80" w:line="324" w:lineRule="auto"/>
      </w:pPr>
      <w:r>
        <w:rPr>
          <w:rFonts w:ascii="Noto Sans CJK KR" w:hAnsi="Noto Sans CJK KR" w:eastAsia="Noto Sans CJK KR"/>
          <w:sz w:val="21"/>
        </w:rPr>
        <w:t>법무부의 월별 등록외국인 국적(지역)별 현황은 장기체류 외국인의 지역 분포를 월간 단위로 제공한다. 우리 분석의 외국인 정주 Context와 외부 타당성 검증의 핵심 데이터로 사용한다.</w:t>
      </w:r>
    </w:p>
    <w:p>
      <w:r>
        <w:rPr>
          <w:rFonts w:ascii="Noto Sans CJK KR" w:hAnsi="Noto Sans CJK KR" w:eastAsia="Noto Sans CJK KR"/>
          <w:b/>
          <w:sz w:val="19"/>
        </w:rPr>
        <w:t xml:space="preserve">공식 링크: </w:t>
      </w:r>
      <w:hyperlink r:id="rId11">
        <w:r>
          <w:rPr>
            <w:color w:val="0563C1"/>
            <w:u w:val="single"/>
            <w:rFonts w:eastAsia="Noto Sans CJK KR" w:ascii="Noto Sans CJK KR" w:hAnsi="Noto Sans CJK KR"/>
          </w:rPr>
          <w:t>공공데이터포털 - 법무부 등록외국인 국적(지역)별 현황</w:t>
        </w:r>
      </w:hyperlink>
    </w:p>
    <w:p>
      <w:pPr>
        <w:pStyle w:val="Heading2"/>
        <w:spacing w:after="80" w:line="324" w:lineRule="auto"/>
      </w:pPr>
      <w:r>
        <w:rPr>
          <w:rFonts w:ascii="Noto Sans CJK KR" w:hAnsi="Noto Sans CJK KR" w:eastAsia="Noto Sans CJK KR"/>
          <w:sz w:val="21"/>
        </w:rPr>
        <w:t>5.2 한국관광 데이터랩</w:t>
      </w:r>
    </w:p>
    <w:p>
      <w:pPr>
        <w:spacing w:after="80" w:line="324" w:lineRule="auto"/>
      </w:pPr>
      <w:r>
        <w:rPr>
          <w:rFonts w:ascii="Noto Sans CJK KR" w:hAnsi="Noto Sans CJK KR" w:eastAsia="Noto Sans CJK KR"/>
          <w:sz w:val="21"/>
        </w:rPr>
        <w:t>시군구 수준에서 관광소비, 방문객 특성, 체류·방문 관련 데이터를 제공한다. 정주 외국인 규모만으로 설명되지 않는 관광·방문형 수요를 식별하는 데 활용한다. 특히 업종별 관광소비와 방문자 데이터를 통해 제주와 같은 유입형 지역의 Context를 정량화할 수 있다.</w:t>
      </w:r>
    </w:p>
    <w:p>
      <w:r>
        <w:rPr>
          <w:rFonts w:ascii="Noto Sans CJK KR" w:hAnsi="Noto Sans CJK KR" w:eastAsia="Noto Sans CJK KR"/>
          <w:b/>
          <w:sz w:val="19"/>
        </w:rPr>
        <w:t xml:space="preserve">공식 링크: </w:t>
      </w:r>
      <w:hyperlink r:id="rId12">
        <w:r>
          <w:rPr>
            <w:color w:val="0563C1"/>
            <w:u w:val="single"/>
            <w:rFonts w:eastAsia="Noto Sans CJK KR" w:ascii="Noto Sans CJK KR" w:hAnsi="Noto Sans CJK KR"/>
          </w:rPr>
          <w:t>한국관광 데이터랩 지역별 관광 데이터</w:t>
        </w:r>
      </w:hyperlink>
    </w:p>
    <w:p>
      <w:pPr>
        <w:pStyle w:val="Heading2"/>
        <w:spacing w:after="80" w:line="324" w:lineRule="auto"/>
      </w:pPr>
      <w:r>
        <w:rPr>
          <w:rFonts w:ascii="Noto Sans CJK KR" w:hAnsi="Noto Sans CJK KR" w:eastAsia="Noto Sans CJK KR"/>
          <w:sz w:val="21"/>
        </w:rPr>
        <w:t>5.3 소상공인365 / LOCALDATA</w:t>
      </w:r>
    </w:p>
    <w:p>
      <w:pPr>
        <w:spacing w:after="80" w:line="324" w:lineRule="auto"/>
      </w:pPr>
      <w:r>
        <w:rPr>
          <w:rFonts w:ascii="Noto Sans CJK KR" w:hAnsi="Noto Sans CJK KR" w:eastAsia="Noto Sans CJK KR"/>
          <w:sz w:val="21"/>
        </w:rPr>
        <w:t>외국인의 업종별 소비수요만으로 창업·점포 확대를 권고하면 공급 과잉을 놓칠 수 있다. 따라서 상권 공급측 데이터가 필요하다. LOCALDATA는 지자체 인허가 데이터를 기반으로 업종별 업소, 주소, 영업상태, 인허가 이력 등을 제공하므로 공급 규모와 폐업 리스크 파악에 사용할 수 있다.</w:t>
      </w:r>
    </w:p>
    <w:p>
      <w:r>
        <w:rPr>
          <w:rFonts w:ascii="Noto Sans CJK KR" w:hAnsi="Noto Sans CJK KR" w:eastAsia="Noto Sans CJK KR"/>
          <w:b/>
          <w:sz w:val="19"/>
        </w:rPr>
        <w:t xml:space="preserve">공식 링크: </w:t>
      </w:r>
      <w:hyperlink r:id="rId13">
        <w:r>
          <w:rPr>
            <w:color w:val="0563C1"/>
            <w:u w:val="single"/>
            <w:rFonts w:eastAsia="Noto Sans CJK KR" w:ascii="Noto Sans CJK KR" w:hAnsi="Noto Sans CJK KR"/>
          </w:rPr>
          <w:t>LOCALDATA 지방행정인허가데이터개방</w:t>
        </w:r>
      </w:hyperlink>
    </w:p>
    <w:p>
      <w:pPr>
        <w:pStyle w:val="Heading2"/>
        <w:spacing w:after="80" w:line="324" w:lineRule="auto"/>
      </w:pPr>
      <w:r>
        <w:rPr>
          <w:rFonts w:ascii="Noto Sans CJK KR" w:hAnsi="Noto Sans CJK KR" w:eastAsia="Noto Sans CJK KR"/>
          <w:sz w:val="21"/>
        </w:rPr>
        <w:t>5.4 BC IDEA / BC 빅데이터 비즈니스</w:t>
      </w:r>
    </w:p>
    <w:p>
      <w:pPr>
        <w:spacing w:after="80" w:line="324" w:lineRule="auto"/>
      </w:pPr>
      <w:r>
        <w:rPr>
          <w:rFonts w:ascii="Noto Sans CJK KR" w:hAnsi="Noto Sans CJK KR" w:eastAsia="Noto Sans CJK KR"/>
          <w:sz w:val="21"/>
        </w:rPr>
        <w:t>BC IDEA는 BC카드의 소비 데이터를 기반으로 시장·채널·상권을 분석하고 기업의 현황 진단과 전략 수립을 지원한다. BC 빅데이터 비즈니스는 상권·마케팅·트렌드 컨설팅, 활용모델 구축, 지역 소비 분석 등을 수행한다. 따라서 LLM이 BC카드에게 추천할 Action은 해당 공식 수행역량 범위 안에서 우선 생성하도록 설계한다.</w:t>
      </w:r>
    </w:p>
    <w:p>
      <w:r>
        <w:rPr>
          <w:rFonts w:ascii="Noto Sans CJK KR" w:hAnsi="Noto Sans CJK KR" w:eastAsia="Noto Sans CJK KR"/>
          <w:b/>
          <w:sz w:val="19"/>
        </w:rPr>
        <w:t xml:space="preserve">공식 링크: </w:t>
      </w:r>
      <w:hyperlink r:id="rId14">
        <w:r>
          <w:rPr>
            <w:color w:val="0563C1"/>
            <w:u w:val="single"/>
            <w:rFonts w:eastAsia="Noto Sans CJK KR" w:ascii="Noto Sans CJK KR" w:hAnsi="Noto Sans CJK KR"/>
          </w:rPr>
          <w:t>BC IDEA</w:t>
        </w:r>
      </w:hyperlink>
      <w:r>
        <w:rPr>
          <w:rFonts w:ascii="Noto Sans CJK KR" w:hAnsi="Noto Sans CJK KR" w:eastAsia="Noto Sans CJK KR"/>
          <w:sz w:val="19"/>
        </w:rPr>
        <w:t xml:space="preserve"> / </w:t>
      </w:r>
      <w:hyperlink r:id="rId15">
        <w:r>
          <w:rPr>
            <w:color w:val="0563C1"/>
            <w:u w:val="single"/>
            <w:rFonts w:eastAsia="Noto Sans CJK KR" w:ascii="Noto Sans CJK KR" w:hAnsi="Noto Sans CJK KR"/>
          </w:rPr>
          <w:t>BC 빅데이터 비즈니스</w:t>
        </w:r>
      </w:hyperlink>
    </w:p>
    <w:p>
      <w:pPr>
        <w:pStyle w:val="Heading2"/>
        <w:spacing w:after="80" w:line="324" w:lineRule="auto"/>
      </w:pPr>
      <w:r>
        <w:rPr>
          <w:rFonts w:ascii="Noto Sans CJK KR" w:hAnsi="Noto Sans CJK KR" w:eastAsia="Noto Sans CJK KR"/>
          <w:sz w:val="21"/>
        </w:rPr>
        <w:t>5.5 중소벤처기업부 2026 소상공인 지원사업</w:t>
      </w:r>
    </w:p>
    <w:p>
      <w:pPr>
        <w:spacing w:after="80" w:line="324" w:lineRule="auto"/>
      </w:pPr>
      <w:r>
        <w:rPr>
          <w:rFonts w:ascii="Noto Sans CJK KR" w:hAnsi="Noto Sans CJK KR" w:eastAsia="Noto Sans CJK KR"/>
          <w:sz w:val="21"/>
        </w:rPr>
        <w:t>지원사업은 매년 바뀌므로 정책 문서에는 valid_from / valid_to를 저장해야 한다. 2026년 중소벤처기업부 통합 공고는 7개 분야 26개 사업을 제시하고 있어, LLM이 실제 존재하는 지원수단과 연결된 지자체·소상공인 Action을 생성하도록 활용할 수 있다.</w:t>
      </w:r>
    </w:p>
    <w:p>
      <w:r>
        <w:rPr>
          <w:rFonts w:ascii="Noto Sans CJK KR" w:hAnsi="Noto Sans CJK KR" w:eastAsia="Noto Sans CJK KR"/>
          <w:b/>
          <w:sz w:val="19"/>
        </w:rPr>
        <w:t xml:space="preserve">공식 링크: </w:t>
      </w:r>
      <w:hyperlink r:id="rId16">
        <w:r>
          <w:rPr>
            <w:color w:val="0563C1"/>
            <w:u w:val="single"/>
            <w:rFonts w:eastAsia="Noto Sans CJK KR" w:ascii="Noto Sans CJK KR" w:hAnsi="Noto Sans CJK KR"/>
          </w:rPr>
          <w:t>2026년 중소벤처기업부 소상공인 지원사업 통합 공고</w:t>
        </w:r>
      </w:hyperlink>
    </w:p>
    <w:p>
      <w:pPr>
        <w:pStyle w:val="Heading1"/>
        <w:spacing w:after="80" w:line="324" w:lineRule="auto"/>
      </w:pPr>
      <w:r>
        <w:rPr>
          <w:rFonts w:ascii="Noto Sans CJK KR" w:hAnsi="Noto Sans CJK KR" w:eastAsia="Noto Sans CJK KR"/>
          <w:sz w:val="21"/>
        </w:rPr>
        <w:t>6. Action 결정 규칙</w:t>
      </w:r>
    </w:p>
    <w:p>
      <w:pPr>
        <w:spacing w:after="80" w:line="324" w:lineRule="auto"/>
      </w:pPr>
      <w:r>
        <w:rPr>
          <w:rFonts w:ascii="Noto Sans CJK KR" w:hAnsi="Noto Sans CJK KR" w:eastAsia="Noto Sans CJK KR"/>
          <w:sz w:val="21"/>
        </w:rPr>
        <w:t>Action 종류는 Structure와 External Context가 결정하고, Momentum은 실행 시점을, Confidence는 권고 강도를 조절하도록 분리한다. 이 역할 분리가 있어야 LLM이 동일한 라벨을 자의적으로 다르게 해석하지 않는다.</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입력</w:t>
            </w:r>
          </w:p>
        </w:tc>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결정 역할</w:t>
            </w:r>
          </w:p>
        </w:tc>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예시</w:t>
            </w:r>
          </w:p>
        </w:tc>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출력에 미치는 효과</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Structure</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무슨 종류의 전략인가</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소규모·고괴리</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니치·특화 수요 탐색</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External Context</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누구의 수요인가</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정주형</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생활밀착 Action 우선</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Momentum</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지금 실행해야 하는가</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CNT↑</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선점·확장 우선순위 상승</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Confidence</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얼마나 강하게 권고할까</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Low</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즉시 투자 대신 파일럿/추가 관찰</w:t>
            </w:r>
          </w:p>
        </w:tc>
      </w:tr>
    </w:tbl>
    <w:p>
      <w:pPr>
        <w:pStyle w:val="Heading2"/>
        <w:spacing w:after="80" w:line="324" w:lineRule="auto"/>
      </w:pPr>
      <w:r>
        <w:rPr>
          <w:rFonts w:ascii="Noto Sans CJK KR" w:hAnsi="Noto Sans CJK KR" w:eastAsia="Noto Sans CJK KR"/>
          <w:sz w:val="21"/>
        </w:rPr>
        <w:t>예시 규칙</w:t>
      </w:r>
    </w:p>
    <w:tbl>
      <w:tblPr>
        <w:tblW w:type="auto" w:w="0"/>
        <w:tblLayout w:type="fixed"/>
        <w:tblLook w:firstColumn="1" w:firstRow="1" w:lastColumn="0" w:lastRow="0" w:noHBand="0" w:noVBand="1" w:val="04A0"/>
      </w:tblPr>
      <w:tblGrid>
        <w:gridCol w:w="2376"/>
        <w:gridCol w:w="7128"/>
      </w:tblGrid>
      <w:tr>
        <w:tc>
          <w:tcPr>
            <w:tcW w:type="dxa" w:w="10166"/>
            <w:gridSpan w:val="2"/>
            <w:shd w:fill="1F4E78"/>
            <w:tcMar>
              <w:top w:w="80" w:type="dxa"/>
              <w:start w:w="100" w:type="dxa"/>
              <w:bottom w:w="80" w:type="dxa"/>
              <w:end w:w="100" w:type="dxa"/>
            </w:tcMar>
          </w:tcPr>
          <w:p>
            <w:r>
              <w:rPr>
                <w:rFonts w:ascii="Noto Sans CJK KR" w:hAnsi="Noto Sans CJK KR" w:eastAsia="Noto Sans CJK KR"/>
                <w:b w:val="0"/>
                <w:color w:val="FFFFFF"/>
                <w:sz w:val="18"/>
              </w:rPr>
              <w:t>RULE: 정주형 특화상권 확대</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IF</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Structure = 소규모·고괴리 AND Context = 정주형</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AND</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Momentum.CNT = 상승 또는 안정</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AND</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Confidence = Medium 이상</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AND</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특정 업종 Supply Gap &gt; 기준값</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THEN</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생활밀착 업종 공급 확대 / 외국인 특화 가맹점 또는 창업 후보 탐색</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ELSE</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Confidence가 Low이면 소규모 실증·추가 관찰로 강도 하향</w:t>
            </w:r>
          </w:p>
        </w:tc>
      </w:tr>
    </w:tbl>
    <w:p>
      <w:pPr>
        <w:spacing w:after="40"/>
      </w:pPr>
    </w:p>
    <w:p>
      <w:pPr>
        <w:pStyle w:val="Heading1"/>
        <w:spacing w:after="80" w:line="324" w:lineRule="auto"/>
      </w:pPr>
      <w:r>
        <w:rPr>
          <w:rFonts w:ascii="Noto Sans CJK KR" w:hAnsi="Noto Sans CJK KR" w:eastAsia="Noto Sans CJK KR"/>
          <w:sz w:val="21"/>
        </w:rPr>
        <w:t>7. 이해관계자별 Action 생성</w:t>
      </w:r>
    </w:p>
    <w:p>
      <w:pPr>
        <w:spacing w:after="80" w:line="324" w:lineRule="auto"/>
      </w:pPr>
      <w:r>
        <w:rPr>
          <w:rFonts w:ascii="Noto Sans CJK KR" w:hAnsi="Noto Sans CJK KR" w:eastAsia="Noto Sans CJK KR"/>
          <w:sz w:val="21"/>
        </w:rPr>
        <w:t>동일한 지역 진단값이라도 사용자의 권한과 목표가 다르므로 출력은 세 갈래로 분기한다.</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이해관계자</w:t>
            </w:r>
          </w:p>
        </w:tc>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주요 목표</w:t>
            </w:r>
          </w:p>
        </w:tc>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추천 가능한 Action</w:t>
            </w:r>
          </w:p>
        </w:tc>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주요 KPI</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BC카드</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가맹점 활성화·타깃 마케팅·데이터 사업</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지역별 프로모션, 가맹점 공동 마케팅, 교차소비 유도, 분석서비스 제안</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외국인 CNT, ATV, 교차결제율, 캠페인 반응</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소상공인/창업자</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입지·업종·상품 의사결정</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Supply Gap 업종 진입, 외국인 수요 대응 메뉴/서비스, 파일럿 운영</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매출, 재방문, 외국인 고객비중, 생존율</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지자체</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상권정책·정주/관광 지원</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정주형 생활상권 지원, 방문형 소비확산, 지원사업 연계</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지역 소비확산, 상권활력, 참여사업자 성과</w:t>
            </w:r>
          </w:p>
        </w:tc>
      </w:tr>
    </w:tbl>
    <w:p>
      <w:r>
        <w:br w:type="page"/>
      </w:r>
    </w:p>
    <w:p>
      <w:pPr>
        <w:pStyle w:val="Heading1"/>
        <w:spacing w:after="80" w:line="324" w:lineRule="auto"/>
      </w:pPr>
      <w:r>
        <w:rPr>
          <w:rFonts w:ascii="Noto Sans CJK KR" w:hAnsi="Noto Sans CJK KR" w:eastAsia="Noto Sans CJK KR"/>
          <w:sz w:val="21"/>
        </w:rPr>
        <w:t>8. 예시 출력: 영암형 지역</w:t>
      </w:r>
    </w:p>
    <w:p>
      <w:pPr>
        <w:spacing w:after="80" w:line="324" w:lineRule="auto"/>
      </w:pPr>
      <w:r>
        <w:rPr>
          <w:rFonts w:ascii="Noto Sans CJK KR" w:hAnsi="Noto Sans CJK KR" w:eastAsia="Noto Sans CJK KR"/>
          <w:sz w:val="21"/>
        </w:rPr>
        <w:t>아래는 실제 시스템 화면이 아니라 프로토타입의 출력 형식을 보여주는 예시다. 수치와 업종별 Gap은 실제 구현 시 최신 분석 결과로 자동 삽입한다.</w:t>
      </w:r>
    </w:p>
    <w:tbl>
      <w:tblPr>
        <w:tblW w:type="auto" w:w="0"/>
        <w:tblLayout w:type="fixed"/>
        <w:tblLook w:firstColumn="1" w:firstRow="1" w:lastColumn="0" w:lastRow="0" w:noHBand="0" w:noVBand="1" w:val="04A0"/>
      </w:tblPr>
      <w:tblGrid>
        <w:gridCol w:w="2376"/>
        <w:gridCol w:w="7128"/>
      </w:tblGrid>
      <w:tr>
        <w:tc>
          <w:tcPr>
            <w:tcW w:type="dxa" w:w="10166"/>
            <w:gridSpan w:val="2"/>
            <w:shd w:fill="1F4E78"/>
            <w:tcMar>
              <w:top w:w="80" w:type="dxa"/>
              <w:start w:w="100" w:type="dxa"/>
              <w:bottom w:w="80" w:type="dxa"/>
              <w:end w:w="100" w:type="dxa"/>
            </w:tcMar>
          </w:tcPr>
          <w:p>
            <w:r>
              <w:rPr>
                <w:rFonts w:ascii="Noto Sans CJK KR" w:hAnsi="Noto Sans CJK KR" w:eastAsia="Noto Sans CJK KR"/>
                <w:b w:val="0"/>
                <w:color w:val="FFFFFF"/>
                <w:sz w:val="18"/>
              </w:rPr>
              <w:t>Input Packet</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Region</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전남 영암군</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Structure</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소규모·고괴리</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Momentum</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CNT 상승 / ATV 안정</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Confidence</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High</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Context</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정주·산업형 가능성</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Evidence</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높은 등록외국인 비중 + BC 소비구조 괴리 + 공급 데이터</w:t>
            </w:r>
          </w:p>
        </w:tc>
      </w:tr>
    </w:tbl>
    <w:p>
      <w:pPr>
        <w:spacing w:after="4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대상</w:t>
            </w:r>
          </w:p>
        </w:tc>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LLM Action 예시</w:t>
            </w:r>
          </w:p>
        </w:tc>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추천 강도</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BC카드</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외국인 생활밀착 업종 가맹점을 중심으로 공동 프로모션 및 반복결제 CRM을 우선 검토한다. Supply Gap이 큰 업종부터 파일럿을 설계한다.</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적극</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소상공인/창업자</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외국인 수요가 높고 지역 공급이 상대적으로 부족한 생활업종을 우선 후보로 검토한다. 단, 폐업률이 높은 업종은 소규모 테스트 후 확대한다.</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적극/선별</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지자체</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외국인 근로자·정주민의 생활권 접근성을 높이는 상권 지원과 다국어 정보 제공을 우선하고, 현행 소상공인 지원사업과 연계한다.</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적극</w:t>
            </w:r>
          </w:p>
        </w:tc>
      </w:tr>
    </w:tbl>
    <w:p>
      <w:r>
        <w:br w:type="page"/>
      </w:r>
    </w:p>
    <w:p>
      <w:pPr>
        <w:pStyle w:val="Heading1"/>
        <w:spacing w:after="80" w:line="324" w:lineRule="auto"/>
      </w:pPr>
      <w:r>
        <w:rPr>
          <w:rFonts w:ascii="Noto Sans CJK KR" w:hAnsi="Noto Sans CJK KR" w:eastAsia="Noto Sans CJK KR"/>
          <w:sz w:val="21"/>
        </w:rPr>
        <w:t>9. 예시 출력: 제주형 지역</w:t>
      </w:r>
    </w:p>
    <w:tbl>
      <w:tblPr>
        <w:tblW w:type="auto" w:w="0"/>
        <w:tblLayout w:type="fixed"/>
        <w:tblLook w:firstColumn="1" w:firstRow="1" w:lastColumn="0" w:lastRow="0" w:noHBand="0" w:noVBand="1" w:val="04A0"/>
      </w:tblPr>
      <w:tblGrid>
        <w:gridCol w:w="2376"/>
        <w:gridCol w:w="7128"/>
      </w:tblGrid>
      <w:tr>
        <w:tc>
          <w:tcPr>
            <w:tcW w:type="dxa" w:w="10166"/>
            <w:gridSpan w:val="2"/>
            <w:shd w:fill="1F4E78"/>
            <w:tcMar>
              <w:top w:w="80" w:type="dxa"/>
              <w:start w:w="100" w:type="dxa"/>
              <w:bottom w:w="80" w:type="dxa"/>
              <w:end w:w="100" w:type="dxa"/>
            </w:tcMar>
          </w:tcPr>
          <w:p>
            <w:r>
              <w:rPr>
                <w:rFonts w:ascii="Noto Sans CJK KR" w:hAnsi="Noto Sans CJK KR" w:eastAsia="Noto Sans CJK KR"/>
                <w:b w:val="0"/>
                <w:color w:val="FFFFFF"/>
                <w:sz w:val="18"/>
              </w:rPr>
              <w:t>Input Packet</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Region</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제주 제주시</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Structure</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대규모·저괴리</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Momentum</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CNT 성장</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Confidence</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Medium</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Context</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관광·방문형 가능성</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Evidence</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등록외국인 대비 큰 외국인 소비 + 관광 유입 데이터</w:t>
            </w:r>
          </w:p>
        </w:tc>
      </w:tr>
    </w:tbl>
    <w:p>
      <w:pPr>
        <w:spacing w:after="40"/>
      </w:pP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대상</w:t>
            </w:r>
          </w:p>
        </w:tc>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LLM Action 예시</w:t>
            </w:r>
          </w:p>
        </w:tc>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6"/>
              </w:rPr>
              <w:t>추천 강도</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BC카드</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외국인 전용 업종을 새로 만드는 것보다 숙박·음식·쇼핑 등 기존 주요 가맹점 간 교차소비 프로모션을 우선 검토한다.</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파일럿→확대</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소상공인/창업자</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관광객 동선과 기존 인기 업종의 연결성을 활용하되, 정주형 특화업종 확대보다 체류시간·객단가를 높이는 상품 구성을 검토한다.</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선별</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지자체</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핵심 관광지의 소비를 인근 상권으로 확산시키는 다국어 동선·정보 제공과 지역상권 연계 프로그램을 검토한다.</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6"/>
              </w:rPr>
              <w:t>중간</w:t>
            </w:r>
          </w:p>
        </w:tc>
      </w:tr>
    </w:tbl>
    <w:p>
      <w:pPr>
        <w:pStyle w:val="Heading1"/>
        <w:spacing w:after="80" w:line="324" w:lineRule="auto"/>
      </w:pPr>
      <w:r>
        <w:rPr>
          <w:rFonts w:ascii="Noto Sans CJK KR" w:hAnsi="Noto Sans CJK KR" w:eastAsia="Noto Sans CJK KR"/>
          <w:sz w:val="21"/>
        </w:rPr>
        <w:t>10. LLM / RAG 구현 원칙</w:t>
      </w:r>
    </w:p>
    <w:p>
      <w:pPr>
        <w:spacing w:after="80" w:line="324" w:lineRule="auto"/>
      </w:pPr>
      <w:r>
        <w:rPr>
          <w:rFonts w:ascii="Noto Sans CJK KR" w:hAnsi="Noto Sans CJK KR" w:eastAsia="Noto Sans CJK KR"/>
          <w:sz w:val="21"/>
        </w:rPr>
        <w:t>LLM은 Action KB의 문서를 그대로 검색하는 단순 챗봇이 아니라, 분석 라벨로 먼저 후보 Action을 필터링한 뒤 관련 Evidence를 검색하고 최종 문장을 생성하는 역할을 맡는다.</w:t>
      </w:r>
    </w:p>
    <w:p>
      <w:pPr>
        <w:pStyle w:val="ListNumber"/>
        <w:spacing w:after="40" w:line="300" w:lineRule="auto"/>
      </w:pPr>
      <w:r>
        <w:rPr>
          <w:rFonts w:ascii="Noto Sans CJK KR" w:hAnsi="Noto Sans CJK KR" w:eastAsia="Noto Sans CJK KR"/>
          <w:sz w:val="20"/>
        </w:rPr>
        <w:t>Analytics Engine이 지역별 진단 패킷을 JSON 형태로 생성한다.</w:t>
      </w:r>
    </w:p>
    <w:p>
      <w:pPr>
        <w:pStyle w:val="ListNumber"/>
        <w:spacing w:after="40" w:line="300" w:lineRule="auto"/>
      </w:pPr>
      <w:r>
        <w:rPr>
          <w:rFonts w:ascii="Noto Sans CJK KR" w:hAnsi="Noto Sans CJK KR" w:eastAsia="Noto Sans CJK KR"/>
          <w:sz w:val="20"/>
        </w:rPr>
        <w:t>Rule Engine이 Stakeholder, Structure, Context, Momentum, Confidence 조건으로 Action 후보를 필터링한다.</w:t>
      </w:r>
    </w:p>
    <w:p>
      <w:pPr>
        <w:pStyle w:val="ListNumber"/>
        <w:spacing w:after="40" w:line="300" w:lineRule="auto"/>
      </w:pPr>
      <w:r>
        <w:rPr>
          <w:rFonts w:ascii="Noto Sans CJK KR" w:hAnsi="Noto Sans CJK KR" w:eastAsia="Noto Sans CJK KR"/>
          <w:sz w:val="20"/>
        </w:rPr>
        <w:t>RAG가 후보 Action과 연결된 BC 사례·정책·공공자료를 검색한다.</w:t>
      </w:r>
    </w:p>
    <w:p>
      <w:pPr>
        <w:pStyle w:val="ListNumber"/>
        <w:spacing w:after="40" w:line="300" w:lineRule="auto"/>
      </w:pPr>
      <w:r>
        <w:rPr>
          <w:rFonts w:ascii="Noto Sans CJK KR" w:hAnsi="Noto Sans CJK KR" w:eastAsia="Noto Sans CJK KR"/>
          <w:sz w:val="20"/>
        </w:rPr>
        <w:t>LLM은 검색된 근거 범위 안에서 Action을 설명·우선순위화한다.</w:t>
      </w:r>
    </w:p>
    <w:p>
      <w:pPr>
        <w:pStyle w:val="ListNumber"/>
        <w:spacing w:after="40" w:line="300" w:lineRule="auto"/>
      </w:pPr>
      <w:r>
        <w:rPr>
          <w:rFonts w:ascii="Noto Sans CJK KR" w:hAnsi="Noto Sans CJK KR" w:eastAsia="Noto Sans CJK KR"/>
          <w:sz w:val="20"/>
        </w:rPr>
        <w:t>근거가 부족하면 “추가 검증 필요” 또는 “파일럿 권고”를 출력하며 새로운 정책·서비스를 임의로 생성하지 않는다.</w:t>
      </w:r>
    </w:p>
    <w:p>
      <w:pPr>
        <w:pStyle w:val="Heading2"/>
        <w:spacing w:after="80" w:line="324" w:lineRule="auto"/>
      </w:pPr>
      <w:r>
        <w:rPr>
          <w:rFonts w:ascii="Noto Sans CJK KR" w:hAnsi="Noto Sans CJK KR" w:eastAsia="Noto Sans CJK KR"/>
          <w:sz w:val="21"/>
        </w:rPr>
        <w:t>권장 System Guardrail</w:t>
      </w:r>
    </w:p>
    <w:tbl>
      <w:tblPr>
        <w:tblW w:type="auto" w:w="0"/>
        <w:tblLayout w:type="fixed"/>
        <w:tblLook w:firstColumn="1" w:firstRow="1" w:lastColumn="0" w:lastRow="0" w:noHBand="0" w:noVBand="1" w:val="04A0"/>
      </w:tblPr>
      <w:tblGrid>
        <w:gridCol w:w="2376"/>
        <w:gridCol w:w="7128"/>
      </w:tblGrid>
      <w:tr>
        <w:tc>
          <w:tcPr>
            <w:tcW w:type="dxa" w:w="10166"/>
            <w:gridSpan w:val="2"/>
            <w:shd w:fill="1F4E78"/>
            <w:tcMar>
              <w:top w:w="80" w:type="dxa"/>
              <w:start w:w="100" w:type="dxa"/>
              <w:bottom w:w="80" w:type="dxa"/>
              <w:end w:w="100" w:type="dxa"/>
            </w:tcMar>
          </w:tcPr>
          <w:p>
            <w:r>
              <w:rPr>
                <w:rFonts w:ascii="Noto Sans CJK KR" w:hAnsi="Noto Sans CJK KR" w:eastAsia="Noto Sans CJK KR"/>
                <w:b w:val="0"/>
                <w:color w:val="FFFFFF"/>
                <w:sz w:val="18"/>
              </w:rPr>
              <w:t>LLM 출력 제약</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근거 제한</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Retrieved Action KB와 제공된 지역 진단값에 없는 사실을 생성하지 않는다.</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정책 유효성</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valid_to가 지난 정책은 추천하지 않는다.</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Confidence 반영</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Low Confidence에서는 적극적 투자·확대 표현을 금지하고 파일럿/관찰을 우선한다.</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출처 표시</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각 핵심 추천에 Evidence ID 또는 출처명을 함께 표시한다.</w:t>
            </w:r>
          </w:p>
        </w:tc>
      </w:tr>
      <w:tr>
        <w:tc>
          <w:tcPr>
            <w:tcW w:type="dxa" w:w="5083"/>
            <w:shd w:fill="D9EAF7"/>
            <w:tcMar>
              <w:top w:w="80" w:type="dxa"/>
              <w:start w:w="100" w:type="dxa"/>
              <w:bottom w:w="80" w:type="dxa"/>
              <w:end w:w="100" w:type="dxa"/>
            </w:tcMar>
          </w:tcPr>
          <w:p>
            <w:r>
              <w:rPr>
                <w:rFonts w:ascii="Noto Sans CJK KR" w:hAnsi="Noto Sans CJK KR" w:eastAsia="Noto Sans CJK KR"/>
                <w:b w:val="0"/>
                <w:sz w:val="18"/>
              </w:rPr>
              <w:t>KPI 의무</w:t>
            </w:r>
          </w:p>
        </w:tc>
        <w:tc>
          <w:tcPr>
            <w:tcW w:type="dxa" w:w="5083"/>
            <w:shd w:fill="EAF2F8"/>
            <w:tcMar>
              <w:top w:w="80" w:type="dxa"/>
              <w:start w:w="100" w:type="dxa"/>
              <w:bottom w:w="80" w:type="dxa"/>
              <w:end w:w="100" w:type="dxa"/>
            </w:tcMar>
          </w:tcPr>
          <w:p>
            <w:r>
              <w:rPr>
                <w:rFonts w:ascii="Noto Sans CJK KR" w:hAnsi="Noto Sans CJK KR" w:eastAsia="Noto Sans CJK KR"/>
                <w:b w:val="0"/>
                <w:sz w:val="18"/>
              </w:rPr>
              <w:t>모든 Action에 최소 1개의 측정 가능한 KPI를 붙인다.</w:t>
            </w:r>
          </w:p>
        </w:tc>
      </w:tr>
    </w:tbl>
    <w:p>
      <w:pPr>
        <w:spacing w:after="40"/>
      </w:pPr>
    </w:p>
    <w:p>
      <w:pPr>
        <w:pStyle w:val="Heading1"/>
        <w:spacing w:after="80" w:line="324" w:lineRule="auto"/>
      </w:pPr>
      <w:r>
        <w:rPr>
          <w:rFonts w:ascii="Noto Sans CJK KR" w:hAnsi="Noto Sans CJK KR" w:eastAsia="Noto Sans CJK KR"/>
          <w:sz w:val="21"/>
        </w:rPr>
        <w:t>11. 프로토타입 평가 방법</w:t>
      </w:r>
    </w:p>
    <w:p>
      <w:pPr>
        <w:spacing w:after="80" w:line="324" w:lineRule="auto"/>
      </w:pPr>
      <w:r>
        <w:rPr>
          <w:rFonts w:ascii="Noto Sans CJK KR" w:hAnsi="Noto Sans CJK KR" w:eastAsia="Noto Sans CJK KR"/>
          <w:sz w:val="21"/>
        </w:rPr>
        <w:t>공모전에서는 LLM의 문장 품질보다 “근거를 벗어나지 않는가”와 “동일한 입력에서 일관된 액션이 생성되는가”를 평가하는 편이 설득력이 높다.</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평가항목</w:t>
            </w:r>
          </w:p>
        </w:tc>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측정 방식</w:t>
            </w:r>
          </w:p>
        </w:tc>
        <w:tc>
          <w:tcPr>
            <w:tcW w:type="dxa" w:w="3389"/>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목표</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Groundedness</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추천 문장 중 KB/검색근거로 뒷받침되는 비율</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높을수록 우수</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Rule Consistency</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동일 라벨/조건에서 Action 유형이 유지되는 비율</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90%+ 목표</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Citation Validity</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표시된 출처가 실제 Action을 뒷받침하는지 수동 검증</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100%</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Stakeholder Fit</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BC/상인/지자체별 권한에 맞는 Action인지 전문가 평가</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높을수록 우수</w:t>
            </w:r>
          </w:p>
        </w:tc>
      </w:tr>
      <w:tr>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Actionability</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Action이 Target·Expected Effect·KPI까지 포함하는 비율</w:t>
            </w:r>
          </w:p>
        </w:tc>
        <w:tc>
          <w:tcPr>
            <w:tcW w:type="dxa" w:w="3389"/>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100%</w:t>
            </w:r>
          </w:p>
        </w:tc>
      </w:tr>
    </w:tbl>
    <w:p>
      <w:pPr>
        <w:pStyle w:val="Heading1"/>
        <w:spacing w:after="80" w:line="324" w:lineRule="auto"/>
      </w:pPr>
      <w:r>
        <w:rPr>
          <w:rFonts w:ascii="Noto Sans CJK KR" w:hAnsi="Noto Sans CJK KR" w:eastAsia="Noto Sans CJK KR"/>
          <w:sz w:val="21"/>
        </w:rPr>
        <w:t>12. 구현 로드맵</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단계</w:t>
            </w:r>
          </w:p>
        </w:tc>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구현 내용</w:t>
            </w:r>
          </w:p>
        </w:tc>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산출물</w:t>
            </w:r>
          </w:p>
        </w:tc>
        <w:tc>
          <w:tcPr>
            <w:tcW w:type="dxa" w:w="2541"/>
            <w:tcMar>
              <w:top w:w="90" w:type="dxa"/>
              <w:start w:w="100" w:type="dxa"/>
              <w:bottom w:w="90" w:type="dxa"/>
              <w:end w:w="100" w:type="dxa"/>
            </w:tcMar>
            <w:vAlign w:val="center"/>
            <w:shd w:fill="1F4E78"/>
          </w:tcPr>
          <w:p>
            <w:pPr>
              <w:spacing w:after="0" w:line="264" w:lineRule="auto"/>
            </w:pPr>
            <w:r>
              <w:rPr>
                <w:rFonts w:ascii="Noto Sans CJK KR" w:hAnsi="Noto Sans CJK KR" w:eastAsia="Noto Sans CJK KR"/>
                <w:b/>
                <w:color w:val="FFFFFF"/>
                <w:sz w:val="17"/>
              </w:rPr>
              <w:t>범위</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Step 1</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현재 BC 분석 결과 정형화</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255개 지역 진단 패킷</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완료 데이터 활용</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Step 2</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법무부·관광·상권공급 데이터 결합</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External Context + Supply Gap</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핵심 외부데이터</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Step 3</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24개 기본 Action Cell 작성</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4 Structure × 2 Context × 3 Stakeholder</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수작업+근거 등록</w:t>
            </w:r>
          </w:p>
        </w:tc>
      </w:tr>
      <w:tr>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Step 4</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Rule + RAG + LLM 연결</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지역 입력 → 3종 Action Card</w:t>
            </w:r>
          </w:p>
        </w:tc>
        <w:tc>
          <w:tcPr>
            <w:tcW w:type="dxa" w:w="2541"/>
            <w:tcMar>
              <w:top w:w="90" w:type="dxa"/>
              <w:start w:w="100" w:type="dxa"/>
              <w:bottom w:w="90" w:type="dxa"/>
              <w:end w:w="100" w:type="dxa"/>
            </w:tcMar>
            <w:vAlign w:val="center"/>
          </w:tcPr>
          <w:p>
            <w:pPr>
              <w:spacing w:after="0" w:line="264" w:lineRule="auto"/>
            </w:pPr>
            <w:r>
              <w:rPr>
                <w:rFonts w:ascii="Noto Sans CJK KR" w:hAnsi="Noto Sans CJK KR" w:eastAsia="Noto Sans CJK KR"/>
                <w:b w:val="0"/>
                <w:sz w:val="17"/>
              </w:rPr>
              <w:t>프로토타입 데모</w:t>
            </w:r>
          </w:p>
        </w:tc>
      </w:tr>
    </w:tbl>
    <w:p>
      <w:pPr>
        <w:pStyle w:val="Heading2"/>
        <w:spacing w:after="80" w:line="324" w:lineRule="auto"/>
      </w:pPr>
      <w:r>
        <w:rPr>
          <w:rFonts w:ascii="Noto Sans CJK KR" w:hAnsi="Noto Sans CJK KR" w:eastAsia="Noto Sans CJK KR"/>
          <w:sz w:val="21"/>
        </w:rPr>
        <w:t>프로토타입 MVP 범위</w:t>
      </w:r>
    </w:p>
    <w:p>
      <w:pPr>
        <w:spacing w:after="80" w:line="324" w:lineRule="auto"/>
      </w:pPr>
      <w:r>
        <w:rPr>
          <w:rFonts w:ascii="Noto Sans CJK KR" w:hAnsi="Noto Sans CJK KR" w:eastAsia="Noto Sans CJK KR"/>
          <w:sz w:val="21"/>
        </w:rPr>
        <w:t>MVP에서는 모든 정책과 모든 업종을 다루지 않는다. 대표 지역 4~6개와 24개 기본 Action Cell을 먼저 구축하고, 제주(방문형)와 영암(정주·산업형)처럼 성격이 뚜렷하게 다른 지역에서 출력이 실질적으로 달라지는 것을 시연하는 것이 효율적이다.</w:t>
      </w:r>
    </w:p>
    <w:p>
      <w:pPr>
        <w:pStyle w:val="Heading1"/>
        <w:spacing w:after="80" w:line="324" w:lineRule="auto"/>
      </w:pPr>
      <w:r>
        <w:rPr>
          <w:rFonts w:ascii="Noto Sans CJK KR" w:hAnsi="Noto Sans CJK KR" w:eastAsia="Noto Sans CJK KR"/>
          <w:sz w:val="21"/>
        </w:rPr>
        <w:t>13. 공모전에서의 핵심 메시지</w:t>
      </w:r>
    </w:p>
    <w:p>
      <w:pPr>
        <w:spacing w:before="240" w:after="240"/>
        <w:jc w:val="center"/>
      </w:pPr>
      <w:r>
        <w:rPr>
          <w:rFonts w:ascii="Noto Sans CJK KR" w:hAnsi="Noto Sans CJK KR" w:eastAsia="Noto Sans CJK KR"/>
          <w:b/>
          <w:color w:val="1F4E79"/>
          <w:sz w:val="28"/>
        </w:rPr>
        <w:t>“LLM이 지역을 판단하지 않는다.</w:t>
        <w:br/>
        <w:t>데이터가 지역을 진단하고, LLM은 검증된 진단과 실제 Action 근거를 이해관계자별 실행전략으로 변환한다.”</w:t>
      </w:r>
    </w:p>
    <w:p>
      <w:pPr>
        <w:spacing w:after="80" w:line="324" w:lineRule="auto"/>
      </w:pPr>
      <w:r>
        <w:rPr>
          <w:rFonts w:ascii="Noto Sans CJK KR" w:hAnsi="Noto Sans CJK KR" w:eastAsia="Noto Sans CJK KR"/>
          <w:sz w:val="21"/>
        </w:rPr>
        <w:t>이 구조를 통해 기존의 “외국인 소비가 많은 지역 찾기”에서 끝나는 분석을 “지역의 소비구조를 진단하고, 왜 다른지 검증하고, 누구에게 어떤 행동이 필요한지 생성하는 의사결정 시스템”으로 확장한다. 따라서 LLM은 유행을 위한 부가요소가 아니라 255개 지역의 분석 결과를 확장 가능한 Action으로 변환하는 마지막 실행 계층으로 기능한다.</w:t>
      </w:r>
    </w:p>
    <w:p>
      <w:pPr>
        <w:pStyle w:val="Heading1"/>
        <w:spacing w:after="80" w:line="324" w:lineRule="auto"/>
      </w:pPr>
      <w:r>
        <w:rPr>
          <w:rFonts w:ascii="Noto Sans CJK KR" w:hAnsi="Noto Sans CJK KR" w:eastAsia="Noto Sans CJK KR"/>
          <w:sz w:val="21"/>
        </w:rPr>
        <w:t>14. 주요 참고 출처</w:t>
      </w:r>
    </w:p>
    <w:p>
      <w:pPr>
        <w:pStyle w:val="ListBullet"/>
        <w:spacing w:after="60"/>
      </w:pPr>
      <w:r>
        <w:rPr>
          <w:rFonts w:ascii="Noto Sans CJK KR" w:hAnsi="Noto Sans CJK KR" w:eastAsia="Noto Sans CJK KR"/>
          <w:b/>
          <w:sz w:val="18"/>
        </w:rPr>
        <w:t xml:space="preserve">BC카드 BC IDEA — </w:t>
      </w:r>
      <w:hyperlink r:id="rId14">
        <w:r>
          <w:rPr>
            <w:color w:val="0563C1"/>
            <w:u w:val="single"/>
            <w:rFonts w:eastAsia="Noto Sans CJK KR" w:ascii="Noto Sans CJK KR" w:hAnsi="Noto Sans CJK KR"/>
          </w:rPr>
          <w:t>https://www.bccard.com/app/card/html/company/kr/bigdata/bcidea/index.jsp</w:t>
        </w:r>
      </w:hyperlink>
      <w:r>
        <w:rPr>
          <w:rFonts w:ascii="Noto Sans CJK KR" w:hAnsi="Noto Sans CJK KR" w:eastAsia="Noto Sans CJK KR"/>
          <w:color w:val="505050"/>
          <w:sz w:val="17"/>
        </w:rPr>
        <w:br/>
        <w:t>BC 소비데이터 기반 시장·채널·상권 분석 및 전략 수립 지원 서비스.</w:t>
      </w:r>
    </w:p>
    <w:p>
      <w:pPr>
        <w:pStyle w:val="ListBullet"/>
        <w:spacing w:after="60"/>
      </w:pPr>
      <w:r>
        <w:rPr>
          <w:rFonts w:ascii="Noto Sans CJK KR" w:hAnsi="Noto Sans CJK KR" w:eastAsia="Noto Sans CJK KR"/>
          <w:b/>
          <w:sz w:val="18"/>
        </w:rPr>
        <w:t xml:space="preserve">BC카드 빅데이터 비즈니스 — </w:t>
      </w:r>
      <w:hyperlink r:id="rId15">
        <w:r>
          <w:rPr>
            <w:color w:val="0563C1"/>
            <w:u w:val="single"/>
            <w:rFonts w:eastAsia="Noto Sans CJK KR" w:ascii="Noto Sans CJK KR" w:hAnsi="Noto Sans CJK KR"/>
          </w:rPr>
          <w:t>https://www.bccard.com/app/card/html/company/kr/bigdata/business/index.jsp</w:t>
        </w:r>
      </w:hyperlink>
      <w:r>
        <w:rPr>
          <w:rFonts w:ascii="Noto Sans CJK KR" w:hAnsi="Noto Sans CJK KR" w:eastAsia="Noto Sans CJK KR"/>
          <w:color w:val="505050"/>
          <w:sz w:val="17"/>
        </w:rPr>
        <w:br/>
        <w:t>상권·마케팅·트렌드 컨설팅, 데이터 분석·시각화, 모델 구축 등.</w:t>
      </w:r>
    </w:p>
    <w:p>
      <w:pPr>
        <w:pStyle w:val="ListBullet"/>
        <w:spacing w:after="60"/>
      </w:pPr>
      <w:r>
        <w:rPr>
          <w:rFonts w:ascii="Noto Sans CJK KR" w:hAnsi="Noto Sans CJK KR" w:eastAsia="Noto Sans CJK KR"/>
          <w:b/>
          <w:sz w:val="18"/>
        </w:rPr>
        <w:t xml:space="preserve">법무부 등록외국인 국적(지역)별 현황 — </w:t>
      </w:r>
      <w:hyperlink r:id="rId11">
        <w:r>
          <w:rPr>
            <w:color w:val="0563C1"/>
            <w:u w:val="single"/>
            <w:rFonts w:eastAsia="Noto Sans CJK KR" w:ascii="Noto Sans CJK KR" w:hAnsi="Noto Sans CJK KR"/>
          </w:rPr>
          <w:t>https://www.data.go.kr/data/15100020/fileData.do?recommendDataYn=Y</w:t>
        </w:r>
      </w:hyperlink>
      <w:r>
        <w:rPr>
          <w:rFonts w:ascii="Noto Sans CJK KR" w:hAnsi="Noto Sans CJK KR" w:eastAsia="Noto Sans CJK KR"/>
          <w:color w:val="505050"/>
          <w:sz w:val="17"/>
        </w:rPr>
        <w:br/>
        <w:t>월간 등록외국인 지역·국적 현황.</w:t>
      </w:r>
    </w:p>
    <w:p>
      <w:pPr>
        <w:pStyle w:val="ListBullet"/>
        <w:spacing w:after="60"/>
      </w:pPr>
      <w:r>
        <w:rPr>
          <w:rFonts w:ascii="Noto Sans CJK KR" w:hAnsi="Noto Sans CJK KR" w:eastAsia="Noto Sans CJK KR"/>
          <w:b/>
          <w:sz w:val="18"/>
        </w:rPr>
        <w:t xml:space="preserve">한국관광 데이터랩 — </w:t>
      </w:r>
      <w:hyperlink r:id="rId12">
        <w:r>
          <w:rPr>
            <w:color w:val="0563C1"/>
            <w:u w:val="single"/>
            <w:rFonts w:eastAsia="Noto Sans CJK KR" w:ascii="Noto Sans CJK KR" w:hAnsi="Noto Sans CJK KR"/>
          </w:rPr>
          <w:t>https://datalab.visitkorea.or.kr/datalab/portal/loc/getAreaDataForm.do?SGG_CD=27</w:t>
        </w:r>
      </w:hyperlink>
      <w:r>
        <w:rPr>
          <w:rFonts w:ascii="Noto Sans CJK KR" w:hAnsi="Noto Sans CJK KR" w:eastAsia="Noto Sans CJK KR"/>
          <w:color w:val="505050"/>
          <w:sz w:val="17"/>
        </w:rPr>
        <w:br/>
        <w:t>지역별 관광소비, 방문객, 체류·관광 관련 데이터.</w:t>
      </w:r>
    </w:p>
    <w:p>
      <w:pPr>
        <w:pStyle w:val="ListBullet"/>
        <w:spacing w:after="60"/>
      </w:pPr>
      <w:r>
        <w:rPr>
          <w:rFonts w:ascii="Noto Sans CJK KR" w:hAnsi="Noto Sans CJK KR" w:eastAsia="Noto Sans CJK KR"/>
          <w:b/>
          <w:sz w:val="18"/>
        </w:rPr>
        <w:t xml:space="preserve">LOCALDATA 지방행정인허가데이터개방 — </w:t>
      </w:r>
      <w:hyperlink r:id="rId13">
        <w:r>
          <w:rPr>
            <w:color w:val="0563C1"/>
            <w:u w:val="single"/>
            <w:rFonts w:eastAsia="Noto Sans CJK KR" w:ascii="Noto Sans CJK KR" w:hAnsi="Noto Sans CJK KR"/>
          </w:rPr>
          <w:t>https://www.localdata.go.kr/</w:t>
        </w:r>
      </w:hyperlink>
      <w:r>
        <w:rPr>
          <w:rFonts w:ascii="Noto Sans CJK KR" w:hAnsi="Noto Sans CJK KR" w:eastAsia="Noto Sans CJK KR"/>
          <w:color w:val="505050"/>
          <w:sz w:val="17"/>
        </w:rPr>
        <w:br/>
        <w:t>지자체 인허가 기반 업종·업소·영업상태 등 공급측 데이터.</w:t>
      </w:r>
    </w:p>
    <w:p>
      <w:pPr>
        <w:pStyle w:val="ListBullet"/>
        <w:spacing w:after="60"/>
      </w:pPr>
      <w:r>
        <w:rPr>
          <w:rFonts w:ascii="Noto Sans CJK KR" w:hAnsi="Noto Sans CJK KR" w:eastAsia="Noto Sans CJK KR"/>
          <w:b/>
          <w:sz w:val="18"/>
        </w:rPr>
        <w:t xml:space="preserve">2026년 중소벤처기업부 소상공인 지원사업 통합 공고 — </w:t>
      </w:r>
      <w:hyperlink r:id="rId16">
        <w:r>
          <w:rPr>
            <w:color w:val="0563C1"/>
            <w:u w:val="single"/>
            <w:rFonts w:eastAsia="Noto Sans CJK KR" w:ascii="Noto Sans CJK KR" w:hAnsi="Noto Sans CJK KR"/>
          </w:rPr>
          <w:t>https://www.mss.go.kr/site/smba/ex/bbs/View.do?bcIdx=1064353&amp;cbIdx=310</w:t>
        </w:r>
      </w:hyperlink>
      <w:r>
        <w:rPr>
          <w:rFonts w:ascii="Noto Sans CJK KR" w:hAnsi="Noto Sans CJK KR" w:eastAsia="Noto Sans CJK KR"/>
          <w:color w:val="505050"/>
          <w:sz w:val="17"/>
        </w:rPr>
        <w:br/>
        <w:t>2026년 7개 분야 26개 소상공인 지원사업 통합 공고.</w:t>
      </w:r>
    </w:p>
    <w:p>
      <w:pPr>
        <w:spacing w:after="0" w:line="324" w:lineRule="auto"/>
      </w:pPr>
      <w:r>
        <w:rPr>
          <w:rFonts w:ascii="Noto Sans CJK KR" w:hAnsi="Noto Sans CJK KR" w:eastAsia="Noto Sans CJK KR"/>
          <w:color w:val="646464"/>
          <w:sz w:val="17"/>
        </w:rPr>
        <w:t>※ 본 문서는 공모전 아이디어 설계를 위한 프로토타입 제안서이다. 외부 정책·지원사업은 공고 시점과 유효기간이 있으므로 실제 서비스 구현 시 최신성 검증 절차가 필요하다.</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787878"/>
        <w:sz w:val="16"/>
      </w:rPr>
      <w:t>Prototype Concept Note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7"/>
      </w:rPr>
      <w:t>BC 외국인 상권 진단 × LLM Action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ans CJK KR" w:hAnsi="Noto Sans CJK KR" w:eastAsia="Noto Sans CJK KR"/>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KR" w:hAnsi="Noto Sans CJK KR" w:eastAsia="Noto Sans CJK KR"/>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KR" w:hAnsi="Noto Sans CJK KR" w:eastAsia="Noto Sans CJK KR"/>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KR" w:hAnsi="Noto Sans CJK KR" w:eastAsia="Noto Sans CJK KR"/>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ata.go.kr/data/15100020/fileData.do?recommendDataYn=Y" TargetMode="External"/><Relationship Id="rId12" Type="http://schemas.openxmlformats.org/officeDocument/2006/relationships/hyperlink" Target="https://datalab.visitkorea.or.kr/datalab/portal/loc/getAreaDataForm.do?SGG_CD=27" TargetMode="External"/><Relationship Id="rId13" Type="http://schemas.openxmlformats.org/officeDocument/2006/relationships/hyperlink" Target="https://www.localdata.go.kr/" TargetMode="External"/><Relationship Id="rId14" Type="http://schemas.openxmlformats.org/officeDocument/2006/relationships/hyperlink" Target="https://www.bccard.com/app/card/html/company/kr/bigdata/bcidea/index.jsp" TargetMode="External"/><Relationship Id="rId15" Type="http://schemas.openxmlformats.org/officeDocument/2006/relationships/hyperlink" Target="https://www.bccard.com/app/card/html/company/kr/bigdata/business/index.jsp" TargetMode="External"/><Relationship Id="rId16" Type="http://schemas.openxmlformats.org/officeDocument/2006/relationships/hyperlink" Target="https://www.mss.go.kr/site/smba/ex/bbs/View.do?bcIdx=1064353&amp;cbIdx=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