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01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02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a competência política para centralizar o poder, reservada ao rei, advinha da origem divina da monarquia.</w:t>
      </w:r>
    </w:p>
    <w:p>
      <w:pPr>
        <w:pStyle w:val="NoSpacing"/>
        <w:jc w:val="both"/>
        <w:rPr/>
      </w:pPr>
      <w:r>
        <w:rPr/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03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rPr>
          <w:rFonts w:cs="Segoe UI" w:ascii="Verdana" w:hAnsi="Verdana"/>
          <w:color w:val="212529"/>
          <w:sz w:val="20"/>
          <w:szCs w:val="20"/>
        </w:rP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Comércio internacional intenso.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04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A.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B.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C. ter valorizado o misticismo, o geocentrismo e as realizações culturais medievais.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D. centrar se no homem, em oposição ao teocentrismo, encarando-o como "medida comum de todas as coisas".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E.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rPr>
          <w:rFonts w:eastAsia="Verdana" w:cs="Verdana" w:ascii="Verdana" w:hAnsi="Verdana"/>
          <w:b/>
          <w:color w:val="000000"/>
          <w:sz w:val="12"/>
          <w:szCs w:val="12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05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06  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PERRY, Marvin. Tradução de Waltensir Dutra e Silvana Vieira. </w:t>
      </w:r>
      <w:r>
        <w:rPr>
          <w:rFonts w:eastAsia="Verdana" w:cs="Verdana" w:ascii="Verdana" w:hAnsi="Verdana"/>
          <w:i/>
          <w:iCs/>
          <w:sz w:val="16"/>
          <w:szCs w:val="16"/>
        </w:rPr>
        <w:t>Civilização ocidental</w:t>
      </w:r>
      <w:r>
        <w:rPr>
          <w:rFonts w:eastAsia="Verdana" w:cs="Verdana" w:ascii="Verdana" w:hAnsi="Verdana"/>
          <w:sz w:val="16"/>
          <w:szCs w:val="16"/>
        </w:rPr>
        <w:t>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07 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Dentre os fatores que contribuíram para a difusão do Movimento Reformista Protestante, no início do século XVI, destaca-se: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 o cerceamento da liberdade de crítica provocado pelo Renascimento Cultural.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 o declínio do particularismo urbano que veio a favorecer o aparecimento das Universidades.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 o abuso político cometido pela Companhia de Jesus.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D. o conflito político observado tanto na Alemanha como na França.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 08 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rPr/>
      </w:pPr>
      <w:r>
        <w:rPr/>
        <w:t>Sobre a Contra-Reforma é </w:t>
      </w:r>
      <w:r>
        <w:rPr>
          <w:b/>
          <w:bCs/>
        </w:rPr>
        <w:t>CORRETO</w:t>
      </w:r>
      <w:r>
        <w:rPr/>
        <w:t> afirmar: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A. Todas estão corretas.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B. Apenas I, II.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C. Apenas I, III.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D. Apenas II, IV.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rPr>
          <w:rFonts w:eastAsia="Verdana" w:cs="Verdana" w:ascii="Verdana" w:hAnsi="Verdana"/>
          <w:color w:val="FF6600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 09 _________________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"É preciso ensinar aos cristãos que aquele que dá aos pobres, ou empresta a quem está necessitado, faz melhor do que se comprasse indulgências".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</w:t>
      </w:r>
      <w:r>
        <w:rPr>
          <w:rFonts w:ascii="Verdana" w:hAnsi="Verdana"/>
          <w:color w:val="000000"/>
          <w:sz w:val="20"/>
          <w:szCs w:val="20"/>
        </w:rPr>
        <w:t>(Martinho Lutero)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Indulgências eram: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 dispensas, isenções de algumas regras da Igreja Católica ou de votos feitos anteriormente pelos fiéis.</w:t>
      </w:r>
    </w:p>
    <w:p>
      <w:pPr>
        <w:pStyle w:val="Normal"/>
        <w:jc w:val="both"/>
        <w:rPr/>
      </w:pPr>
      <w:r>
        <w:rPr>
          <w:rFonts w:ascii="Verdana" w:hAnsi="Verdana"/>
          <w:color w:val="000000"/>
          <w:sz w:val="20"/>
          <w:szCs w:val="20"/>
        </w:rPr>
        <w:t>D. proibições de receber o dízimo oferecido pelos fiéis e incentivo à prática da usura pelo alto clero.</w:t>
      </w:r>
    </w:p>
    <w:p>
      <w:pPr>
        <w:pStyle w:val="Normal"/>
        <w:jc w:val="both"/>
        <w:rPr/>
      </w:pPr>
      <w:r>
        <w:rPr>
          <w:rFonts w:ascii="Verdana" w:hAnsi="Verdana"/>
          <w:color w:val="000000"/>
          <w:sz w:val="20"/>
          <w:szCs w:val="20"/>
        </w:rP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10 _________________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rPr>
          <w:rFonts w:eastAsia="Verdana" w:cs="Verdana" w:ascii="Verdana" w:hAnsi="Verdana"/>
          <w:color w:val="000000"/>
          <w:sz w:val="16"/>
          <w:szCs w:val="16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A. A expansão da fé cristã.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 A moralização do clero.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 A reafirmação dos dogmas.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rPr>
          <w:rFonts w:eastAsia="Verdana" w:cs="Verdana" w:ascii="Verdana" w:hAnsi="Verdana"/>
          <w:b/>
          <w:color w:val="222222"/>
          <w:highlight w:val="white"/>
        </w:rPr>
        <w:t>RECUPERAÇÃO PARALELA (RP)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rPr>
          <w:rFonts w:eastAsia="Verdana" w:cs="Verdana" w:ascii="Verdana" w:hAnsi="Verdana"/>
          <w:b/>
          <w:color w:val="222222"/>
          <w:highlight w:val="white"/>
        </w:rPr>
        <w:t>DE HISTÓRIA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rPr>
          <w:rFonts w:eastAsia="Verdana" w:cs="Verdana" w:ascii="Verdana" w:hAnsi="Verdana"/>
          <w:b/>
          <w:color w:val="222222"/>
          <w:sz w:val="14"/>
          <w:szCs w:val="14"/>
          <w:highlight w:val="white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“</w:t>
      </w:r>
      <w:r>
        <w:rPr>
          <w:rFonts w:eastAsia="Verdana" w:cs="Verdana" w:ascii="Verdana" w:hAnsi="Verdana"/>
          <w:sz w:val="20"/>
          <w:szCs w:val="20"/>
        </w:rPr>
        <w:t>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 texto descreve uma das causas, na Europa, da: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A. formação do modo de produção asiático.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B. consolidação do despotismo esclarecido.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C. decadência do comércio que produziu a ruralização.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D. crise que levou à desintegração do feudalismo.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bookmarkStart w:id="0" w:name="_GoBack"/>
      <w:bookmarkEnd w:id="0"/>
      <w:r>
        <w:rPr>
          <w:rFonts w:eastAsia="Verdana" w:cs="Verdana" w:ascii="Verdana" w:hAnsi="Verdana"/>
          <w:b/>
          <w:sz w:val="20"/>
          <w:szCs w:val="20"/>
        </w:rP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/>
      </w:pPr>
      <w:r>
        <w:rPr>
          <w:rFonts w:eastAsia="Verdana" w:cs="Verdana" w:ascii="Verdana" w:hAnsi="Verdana"/>
          <w:bCs/>
          <w:sz w:val="20"/>
          <w:szCs w:val="20"/>
        </w:rPr>
        <w:t>1</w:t>
      </w:r>
      <w:r>
        <w:rPr>
          <w:rFonts w:eastAsia="Verdana" w:cs="Verdana" w:ascii="Verdana" w:hAnsi="Verdana"/>
          <w:bCs/>
          <w:sz w:val="20"/>
          <w:szCs w:val="20"/>
        </w:rPr>
        <w:t xml:space="preserve">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/>
      </w:pPr>
      <w:r>
        <w:rPr>
          <w:rFonts w:eastAsia="Verdana" w:ascii="Verdana" w:hAnsi="Verdana"/>
          <w:sz w:val="20"/>
          <w:szCs w:val="20"/>
        </w:rPr>
        <w:t>2</w:t>
      </w:r>
      <w:r>
        <w:rPr>
          <w:rFonts w:eastAsia="Verdana" w:ascii="Verdana" w:hAnsi="Verdana"/>
          <w:sz w:val="20"/>
          <w:szCs w:val="20"/>
        </w:rPr>
        <w:t xml:space="preserve">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/>
      </w:pPr>
      <w:r>
        <w:rPr>
          <w:rFonts w:eastAsia="Verdana" w:ascii="Verdana" w:hAnsi="Verdana"/>
          <w:sz w:val="20"/>
          <w:szCs w:val="20"/>
        </w:rPr>
        <w:t>3</w:t>
      </w:r>
      <w:r>
        <w:rPr>
          <w:rFonts w:eastAsia="Verdana" w:ascii="Verdana" w:hAnsi="Verdana"/>
          <w:sz w:val="20"/>
          <w:szCs w:val="20"/>
        </w:rPr>
        <w:t xml:space="preserve">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O Renascimento é identificado em: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A. somente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B. somente I 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C. somente 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D.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E. I, II e III.</w:t>
      </w:r>
    </w:p>
    <w:p>
      <w:pPr>
        <w:pStyle w:val="Normal"/>
        <w:rPr>
          <w:rFonts w:eastAsia="Verdana"/>
        </w:rPr>
      </w:pPr>
      <w:r>
        <w:rPr>
          <w:rFonts w:eastAsia="Verdana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A. a educação ministrada pelos leigos nos conventos e nas abadias.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B. o processo de ruralização das vilas e dos centros urbanos.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C. o comércio e o renascimento das cidades.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D. o poder político altamente descentralizado.</w:t>
      </w:r>
    </w:p>
    <w:p>
      <w:pPr>
        <w:pStyle w:val="Normal"/>
        <w:rPr/>
      </w:pPr>
      <w:r>
        <w:rPr>
          <w:rFonts w:eastAsia="Calibri" w:ascii="Verdana" w:hAnsi="Verdana"/>
          <w:sz w:val="20"/>
          <w:szCs w:val="20"/>
          <w:lang w:eastAsia="en-US"/>
        </w:rP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222222"/>
          <w:sz w:val="20"/>
          <w:szCs w:val="20"/>
          <w:highlight w:val="white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bookmarkStart w:id="1" w:name="_1fob9te"/>
      <w:bookmarkEnd w:id="1"/>
      <w:r>
        <w:rPr>
          <w:rFonts w:eastAsia="Verdana" w:cs="Verdana" w:ascii="Verdana" w:hAnsi="Verdana"/>
          <w:b/>
          <w:sz w:val="20"/>
          <w:szCs w:val="20"/>
        </w:rP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color w:val="000000"/>
          <w:sz w:val="20"/>
          <w:szCs w:val="20"/>
        </w:rP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color w:val="000000"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>“</w:t>
      </w: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16"/>
          <w:szCs w:val="16"/>
        </w:rPr>
        <w:t>(GUREVICH, Aron. As categorias da cultura medieval. Lisboa: Editorial Caminho, p. 15).</w:t>
      </w: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A.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/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>E. V – F – F – V.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