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06 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ao fortalecimento das tradições, que afirmavam a identidade entre as raças e a igualdade da capacidade intelectual entre elas.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 08 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Spacing"/>
        <w:jc w:val="both"/>
        <w:rPr/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A. Todas estão corretas.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Apenas III, IV.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Apenas II, IV.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Apenas I, III.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Apenas I, II.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QUESTÃO 14 _________________ (0,4)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>
          <w:rFonts w:eastAsia="Calibri"/>
          <w:lang w:eastAsia="en-US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 justificação pela fé, ou seja, a fé como meio de obtenção da graça e da salvação.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12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somente II.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C.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dispensas, isenções de algumas regras da Igreja Católica ou de votos feitos anteriormente pelos fiéis.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absolvições dos pecados de vivos e mortos, concedidas através de cartas vendidas aos fiéis.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cartas que permitiam a negociação de relíquias sagradas, usadas por Cristo, Maria ou Santos.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 </w:t>
      </w:r>
    </w:p>
    <w:p>
      <w:pPr>
        <w:pStyle w:val="Normal"/>
        <w:rPr/>
      </w:pPr>
      <w:r>
        <w:t>QUESTÃO 15 _________________ (0,4)</w:t>
      </w:r>
    </w:p>
    <w:p>
      <w:pPr>
        <w:pStyle w:val="Normal"/>
        <w:rPr/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ind w:hanging="0"/>
        <w:jc w:val="both"/>
        <w:rPr/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ind w:hanging="0"/>
        <w:jc w:val="both"/>
        <w:rPr/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ind w:hanging="0"/>
        <w:jc w:val="both"/>
        <w:rPr/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ind w:hanging="0"/>
        <w:jc w:val="both"/>
        <w:rPr/>
      </w:pPr>
      <w:r>
        <w:t xml:space="preserve">A. F – F – V – V. </w:t>
      </w:r>
    </w:p>
    <w:p>
      <w:pPr>
        <w:pStyle w:val="Normal"/>
        <w:ind w:hanging="0"/>
        <w:jc w:val="both"/>
        <w:rPr/>
      </w:pPr>
      <w:r>
        <w:t xml:space="preserve">B.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C.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V – F – F – 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V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10 _________________ (0,4)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A expansão da fé cristã.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A reafirmação dos dogmas.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A perseguição às heresias. </w:t>
      </w:r>
    </w:p>
    <w:p>
      <w:pPr>
        <w:pStyle w:val="Normal"/>
        <w:jc w:val="both"/>
        <w:rPr/>
      </w:pPr>
      <w:r>
        <w:t>D. O relaxamento do celibato.</w:t>
      </w:r>
    </w:p>
    <w:p>
      <w:pPr>
        <w:pStyle w:val="Normal"/>
        <w:jc w:val="both"/>
        <w:rPr/>
      </w:pPr>
      <w:r>
        <w:t xml:space="preserve">E. A moralização do clero.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QUESTÃO 05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O racionalismo renascentista reforçou o princípio da autoridade da ciência teológica e da tradição medieval.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Os estudiosos do período buscaram apoio na observação, no método experimental e na reflexão racional, valorizando a natureza e o ser humano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QUESTÃO 03 ________________ (0,4)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Os acontecimentos abaixo constituem as características principais do feudalismo, exceto: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A.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Ausência de poder centralizado.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Instauração da relação vassalagem / suserania.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QUESTÃO 13 _________________ (0,4)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A.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o poder político altamente descentralizado.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E. a educação ministrada pelos leigos nos conventos e nas abadias. 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 xml:space="preserve">QUESTÃO 04 ________________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ter uma visão do mundo que recupera a herança grecoromana, utilizando-a como tema de inspiração.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B. ter valorizado o misticismo, o geocentrismo e as realizações culturais medievais.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centrar se no homem, em oposição ao teocentrismo, encarando-o como "medida comum de todas as coisas".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 romper os limites religiosos impostos pela Igreja às manifestações culturais.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ser um movimento diretamente ligado ao Renascimento, por suas características antropocentristas e individuais. </w:t>
      </w:r>
    </w:p>
    <w:p>
      <w:pPr>
        <w:pStyle w:val="Normal"/>
        <w:rPr>
          <w:rFonts w:eastAsia="Verdana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11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O texto descreve uma das causas, na Europa, da: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crise que levou à desintegração do feudalismo.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prosperidade que provocou o processo de industrialização.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consolidação do despotismo esclarecido.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decadência do comércio que produziu a ruralização.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formação do modo de produção asiático.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07 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o abuso político cometido pela Companhia de Jesus.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o declínio do particularismo urbano que veio a favorecer o aparecimento das Universidades.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o conflito político observado tanto na Alemanha como na França.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02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 proteção pessoal dada pelo senhor feudal a seus súditos onerava-lhe as rendas;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 competência política para centralizar o poder, reservada ao rei, advinha da origem divina da monarquia.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 prática do enfeudamento acabou por ampliar os feudos, enfraquecendo o poder político dos senhores;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empobrecimento da nobreza;</w:t>
      </w:r>
    </w:p>
    <w:p>
      <w:pPr>
        <w:pStyle w:val="Normal"/>
        <w:spacing w:lineRule="auto" w:line="276"/>
        <w:ind w:right="-45" w:hanging="0"/>
        <w:jc w:val="both"/>
        <w:rPr/>
      </w:pPr>
      <w:r>
        <w:t>E. a soberania estava vinculada a laços de ordem pessoal, tais como a fidelidade e a lealdade ao suserano;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