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>
        <w:t>QUESTÃO 12 _________________ (0,4)</w:t>
      </w:r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 soberania estava vinculada a laços de ordem pessoal, tais como a fidelidade e a lealdade ao suserano;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Spacing"/>
        <w:jc w:val="both"/>
        <w:rPr/>
      </w:pPr>
      <w:r>
        <w:t>A.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04 ________________ (0,4) 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ter uma visão do mundo que recupera a herança grecoromana, utilizando-a como tema de inspiração.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romper os limites religiosos impostos pela Igreja às manifestações culturais.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07 ______________ (0,4) 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C. o abuso político cometido pela Companhia de Jesus.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a inadequação das teorias religiosas católicas para com o progresso do capitalismo comercial.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D. o conflito político observado tanto na Alemanha como na França.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o declínio do particularismo urbano que veio a favorecer o aparecimento das Universidades.</w:t>
      </w:r>
    </w:p>
    <w:p>
      <w:pPr>
        <w:pStyle w:val="Normal"/>
        <w:rPr>
          <w:rFonts w:eastAsia="Calibri"/>
          <w:lang w:eastAsia="en-US"/>
        </w:rPr>
      </w:pPr>
      <w:r>
        <w:t>A.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14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F – V – V – F.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F – F – V – V.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V – V – V – F.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rPr/>
      </w:pPr>
      <w:r>
        <w:t xml:space="preserve">QUESTÃO  08 ______________ (0,4)  </w:t>
      </w:r>
    </w:p>
    <w:p>
      <w:pPr>
        <w:pStyle w:val="Normal"/>
        <w:rPr/>
      </w:pPr>
      <w:r>
        <w:t>Sobre a Contra-Reforma é CORRETO afirmar: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ind w:hanging="0"/>
        <w:jc w:val="both"/>
        <w:rPr/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ind w:hanging="0"/>
        <w:jc w:val="both"/>
        <w:rPr/>
      </w:pPr>
      <w:r>
        <w:t>A. Todas estão corretas.</w:t>
      </w:r>
    </w:p>
    <w:p>
      <w:pPr>
        <w:pStyle w:val="Normal"/>
        <w:ind w:hanging="0"/>
        <w:jc w:val="both"/>
        <w:rPr/>
      </w:pPr>
      <w:r>
        <w:t>B. Apenas I, II.</w:t>
      </w:r>
    </w:p>
    <w:p>
      <w:pPr>
        <w:pStyle w:val="Normal"/>
        <w:ind w:hanging="0"/>
        <w:jc w:val="both"/>
        <w:rPr/>
      </w:pPr>
      <w:r>
        <w:t>E. Apenas III, IV.</w:t>
      </w:r>
    </w:p>
    <w:p>
      <w:pPr>
        <w:pStyle w:val="Normal"/>
        <w:ind w:hanging="0"/>
        <w:jc w:val="both"/>
        <w:rPr/>
      </w:pPr>
      <w:r>
        <w:t>C.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D. Apenas 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10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B. A moralização do clero.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O relaxamento do celibato.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A reafirmação dos dogmas.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A expansão da fé cristã.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A perseguição às heresias. 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>QUESTÃO 13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o poder político altamente descentralizado.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A. a educação ministrada pelos leigos nos conventos e nas abadias.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 Igreja, que acatava o lucro e a usura.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QUESTÃO 11 _________________ (0,4)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crise que levou à desintegração do feudalismo.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decadência do comércio que produziu a ruralização.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formação do modo de produção asiático.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06  _______________ (0,4)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/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jc w:val="both"/>
        <w:rPr/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05 ________________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rPr>
          <w:rFonts w:eastAsia="Verdana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03 ________________ (0,4) </w:t>
      </w:r>
    </w:p>
    <w:p>
      <w:pPr>
        <w:pStyle w:val="Normal"/>
        <w:rPr/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A.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B.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C.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Comércio internacional intenso.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Organização do trabalho com base na servidão.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HISTÓRIA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01 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cartas que permitiam a negociação de relíquias sagradas, usadas por Cristo, Maria ou Santos.</w:t>
      </w:r>
    </w:p>
    <w:p>
      <w:pPr>
        <w:pStyle w:val="Normal"/>
        <w:spacing w:lineRule="auto" w:line="276"/>
        <w:ind w:right="-45" w:hanging="0"/>
        <w:jc w:val="both"/>
        <w:rPr/>
      </w:pPr>
      <w:r>
        <w:t>C. dispensas, isenções de algumas regras da Igreja Católica ou de votos feitos anteriormente pelos fiéis.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