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C05D" w14:textId="3C3500B1" w:rsidR="006D7D76" w:rsidRPr="000749E7" w:rsidRDefault="006D7D76" w:rsidP="006D7D76">
      <w:pPr>
        <w:adjustRightInd w:val="0"/>
        <w:snapToGrid w:val="0"/>
        <w:spacing w:line="480" w:lineRule="auto"/>
        <w:rPr>
          <w:lang w:val="en-US"/>
        </w:rPr>
      </w:pPr>
      <w:r w:rsidRPr="000749E7">
        <w:rPr>
          <w:b/>
          <w:bCs/>
          <w:lang w:val="en-US"/>
        </w:rPr>
        <w:t xml:space="preserve">Table </w:t>
      </w:r>
      <w:r>
        <w:rPr>
          <w:b/>
          <w:bCs/>
          <w:lang w:val="en-US"/>
        </w:rPr>
        <w:t>S</w:t>
      </w:r>
      <w:r w:rsidRPr="000749E7">
        <w:rPr>
          <w:b/>
          <w:bCs/>
          <w:lang w:val="en-US"/>
        </w:rPr>
        <w:t>1.</w:t>
      </w:r>
      <w:r w:rsidRPr="000749E7">
        <w:rPr>
          <w:lang w:val="en-US"/>
        </w:rPr>
        <w:t xml:space="preserve"> Variables used to predict fire occurrence </w:t>
      </w:r>
      <w:r w:rsidR="008F2E64">
        <w:rPr>
          <w:lang w:val="en-US"/>
        </w:rPr>
        <w:t xml:space="preserve">(frequency) </w:t>
      </w:r>
      <w:r w:rsidRPr="000749E7">
        <w:rPr>
          <w:lang w:val="en-US"/>
        </w:rPr>
        <w:t xml:space="preserve">and </w:t>
      </w:r>
      <w:r w:rsidR="008F2E64">
        <w:rPr>
          <w:lang w:val="en-US"/>
        </w:rPr>
        <w:t>burned area (as a proxy to fire extent)</w:t>
      </w:r>
      <w:r w:rsidRPr="000749E7">
        <w:rPr>
          <w:lang w:val="en-US"/>
        </w:rPr>
        <w:t xml:space="preserve"> in the Brazilian </w:t>
      </w:r>
      <w:proofErr w:type="spellStart"/>
      <w:r w:rsidRPr="000749E7">
        <w:rPr>
          <w:lang w:val="en-US"/>
        </w:rPr>
        <w:t>Cerrado</w:t>
      </w:r>
      <w:proofErr w:type="spellEnd"/>
      <w:r w:rsidRPr="000749E7">
        <w:rPr>
          <w:lang w:val="en-US"/>
        </w:rPr>
        <w:t xml:space="preserve"> savannas.</w:t>
      </w:r>
    </w:p>
    <w:tbl>
      <w:tblPr>
        <w:tblW w:w="13222" w:type="dxa"/>
        <w:jc w:val="center"/>
        <w:tblBorders>
          <w:top w:val="single" w:sz="4" w:space="0" w:color="auto"/>
          <w:bottom w:val="single" w:sz="4" w:space="0" w:color="auto"/>
        </w:tblBorders>
        <w:tblLayout w:type="fixed"/>
        <w:tblLook w:val="04A0" w:firstRow="1" w:lastRow="0" w:firstColumn="1" w:lastColumn="0" w:noHBand="0" w:noVBand="1"/>
      </w:tblPr>
      <w:tblGrid>
        <w:gridCol w:w="1701"/>
        <w:gridCol w:w="1560"/>
        <w:gridCol w:w="4394"/>
        <w:gridCol w:w="929"/>
        <w:gridCol w:w="1560"/>
        <w:gridCol w:w="1262"/>
        <w:gridCol w:w="1816"/>
      </w:tblGrid>
      <w:tr w:rsidR="006D7D76" w:rsidRPr="000749E7" w14:paraId="71890511" w14:textId="77777777" w:rsidTr="00D6689C">
        <w:trPr>
          <w:trHeight w:val="300"/>
          <w:jc w:val="center"/>
        </w:trPr>
        <w:tc>
          <w:tcPr>
            <w:tcW w:w="1701" w:type="dxa"/>
            <w:tcBorders>
              <w:top w:val="single" w:sz="4" w:space="0" w:color="auto"/>
              <w:bottom w:val="single" w:sz="4" w:space="0" w:color="auto"/>
            </w:tcBorders>
            <w:noWrap/>
            <w:vAlign w:val="center"/>
            <w:hideMark/>
          </w:tcPr>
          <w:p w14:paraId="2F688DF9"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Category</w:t>
            </w:r>
          </w:p>
        </w:tc>
        <w:tc>
          <w:tcPr>
            <w:tcW w:w="1560" w:type="dxa"/>
            <w:tcBorders>
              <w:top w:val="single" w:sz="4" w:space="0" w:color="auto"/>
              <w:bottom w:val="single" w:sz="4" w:space="0" w:color="auto"/>
            </w:tcBorders>
            <w:noWrap/>
            <w:vAlign w:val="center"/>
            <w:hideMark/>
          </w:tcPr>
          <w:p w14:paraId="591B494B"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Data layer</w:t>
            </w:r>
          </w:p>
        </w:tc>
        <w:tc>
          <w:tcPr>
            <w:tcW w:w="4394" w:type="dxa"/>
            <w:tcBorders>
              <w:top w:val="single" w:sz="4" w:space="0" w:color="auto"/>
              <w:bottom w:val="single" w:sz="4" w:space="0" w:color="auto"/>
            </w:tcBorders>
            <w:noWrap/>
            <w:vAlign w:val="center"/>
            <w:hideMark/>
          </w:tcPr>
          <w:p w14:paraId="06D7B929"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Description</w:t>
            </w:r>
          </w:p>
        </w:tc>
        <w:tc>
          <w:tcPr>
            <w:tcW w:w="929" w:type="dxa"/>
            <w:tcBorders>
              <w:top w:val="single" w:sz="4" w:space="0" w:color="auto"/>
              <w:bottom w:val="single" w:sz="4" w:space="0" w:color="auto"/>
            </w:tcBorders>
            <w:noWrap/>
            <w:vAlign w:val="center"/>
            <w:hideMark/>
          </w:tcPr>
          <w:p w14:paraId="1CE7177D"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Units</w:t>
            </w:r>
          </w:p>
        </w:tc>
        <w:tc>
          <w:tcPr>
            <w:tcW w:w="1560" w:type="dxa"/>
            <w:tcBorders>
              <w:top w:val="single" w:sz="4" w:space="0" w:color="auto"/>
              <w:bottom w:val="single" w:sz="4" w:space="0" w:color="auto"/>
            </w:tcBorders>
            <w:noWrap/>
            <w:vAlign w:val="center"/>
            <w:hideMark/>
          </w:tcPr>
          <w:p w14:paraId="687CD5B9"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Temporal resolution</w:t>
            </w:r>
          </w:p>
        </w:tc>
        <w:tc>
          <w:tcPr>
            <w:tcW w:w="1262" w:type="dxa"/>
            <w:tcBorders>
              <w:top w:val="single" w:sz="4" w:space="0" w:color="auto"/>
              <w:bottom w:val="single" w:sz="4" w:space="0" w:color="auto"/>
            </w:tcBorders>
            <w:noWrap/>
            <w:vAlign w:val="center"/>
            <w:hideMark/>
          </w:tcPr>
          <w:p w14:paraId="182006B5"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Spatial resolution</w:t>
            </w:r>
          </w:p>
        </w:tc>
        <w:tc>
          <w:tcPr>
            <w:tcW w:w="1816" w:type="dxa"/>
            <w:tcBorders>
              <w:top w:val="single" w:sz="4" w:space="0" w:color="auto"/>
              <w:bottom w:val="single" w:sz="4" w:space="0" w:color="auto"/>
            </w:tcBorders>
            <w:noWrap/>
            <w:vAlign w:val="center"/>
            <w:hideMark/>
          </w:tcPr>
          <w:p w14:paraId="1FAE01D5"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Source</w:t>
            </w:r>
          </w:p>
        </w:tc>
      </w:tr>
      <w:tr w:rsidR="006D7D76" w:rsidRPr="000749E7" w14:paraId="5A4380C4" w14:textId="77777777" w:rsidTr="00D6689C">
        <w:trPr>
          <w:trHeight w:val="300"/>
          <w:jc w:val="center"/>
        </w:trPr>
        <w:tc>
          <w:tcPr>
            <w:tcW w:w="1701" w:type="dxa"/>
            <w:vMerge w:val="restart"/>
            <w:tcBorders>
              <w:top w:val="single" w:sz="4" w:space="0" w:color="auto"/>
            </w:tcBorders>
            <w:noWrap/>
            <w:vAlign w:val="center"/>
            <w:hideMark/>
          </w:tcPr>
          <w:p w14:paraId="30946253" w14:textId="77777777" w:rsidR="006D7D76" w:rsidRPr="000749E7" w:rsidRDefault="006D7D76" w:rsidP="00D6689C">
            <w:pPr>
              <w:adjustRightInd w:val="0"/>
              <w:snapToGrid w:val="0"/>
              <w:spacing w:line="480" w:lineRule="auto"/>
              <w:rPr>
                <w:color w:val="000000"/>
                <w:lang w:val="en-US"/>
              </w:rPr>
            </w:pPr>
            <w:r w:rsidRPr="000749E7">
              <w:rPr>
                <w:color w:val="000000"/>
                <w:lang w:val="en-US"/>
              </w:rPr>
              <w:t>Fire</w:t>
            </w:r>
          </w:p>
        </w:tc>
        <w:tc>
          <w:tcPr>
            <w:tcW w:w="1560" w:type="dxa"/>
            <w:tcBorders>
              <w:top w:val="single" w:sz="4" w:space="0" w:color="auto"/>
            </w:tcBorders>
            <w:noWrap/>
            <w:vAlign w:val="center"/>
            <w:hideMark/>
          </w:tcPr>
          <w:p w14:paraId="478CDB73" w14:textId="77777777" w:rsidR="006D7D76" w:rsidRPr="000749E7" w:rsidRDefault="006D7D76" w:rsidP="00D6689C">
            <w:pPr>
              <w:adjustRightInd w:val="0"/>
              <w:snapToGrid w:val="0"/>
              <w:spacing w:line="480" w:lineRule="auto"/>
              <w:rPr>
                <w:color w:val="000000"/>
                <w:lang w:val="en-US"/>
              </w:rPr>
            </w:pPr>
            <w:r w:rsidRPr="000749E7">
              <w:rPr>
                <w:color w:val="000000"/>
                <w:lang w:val="en-US"/>
              </w:rPr>
              <w:t>Fire occurrence</w:t>
            </w:r>
          </w:p>
        </w:tc>
        <w:tc>
          <w:tcPr>
            <w:tcW w:w="4394" w:type="dxa"/>
            <w:tcBorders>
              <w:top w:val="single" w:sz="4" w:space="0" w:color="auto"/>
            </w:tcBorders>
            <w:noWrap/>
            <w:vAlign w:val="center"/>
            <w:hideMark/>
          </w:tcPr>
          <w:p w14:paraId="01CBA7B1"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fire occurrence in pixel</w:t>
            </w:r>
          </w:p>
        </w:tc>
        <w:tc>
          <w:tcPr>
            <w:tcW w:w="929" w:type="dxa"/>
            <w:tcBorders>
              <w:top w:val="single" w:sz="4" w:space="0" w:color="auto"/>
            </w:tcBorders>
            <w:noWrap/>
            <w:vAlign w:val="center"/>
            <w:hideMark/>
          </w:tcPr>
          <w:p w14:paraId="7CECEDC4" w14:textId="77777777" w:rsidR="006D7D76" w:rsidRPr="000749E7" w:rsidRDefault="006D7D76" w:rsidP="00D6689C">
            <w:pPr>
              <w:adjustRightInd w:val="0"/>
              <w:snapToGrid w:val="0"/>
              <w:spacing w:line="480" w:lineRule="auto"/>
              <w:rPr>
                <w:color w:val="000000"/>
                <w:lang w:val="en-US"/>
              </w:rPr>
            </w:pPr>
            <w:r w:rsidRPr="000749E7">
              <w:rPr>
                <w:color w:val="000000"/>
                <w:lang w:val="en-US"/>
              </w:rPr>
              <w:t>fire /no fire</w:t>
            </w:r>
          </w:p>
        </w:tc>
        <w:tc>
          <w:tcPr>
            <w:tcW w:w="1560" w:type="dxa"/>
            <w:tcBorders>
              <w:top w:val="single" w:sz="4" w:space="0" w:color="auto"/>
            </w:tcBorders>
            <w:noWrap/>
            <w:vAlign w:val="center"/>
            <w:hideMark/>
          </w:tcPr>
          <w:p w14:paraId="286A6873"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1981-2018</w:t>
            </w:r>
          </w:p>
        </w:tc>
        <w:tc>
          <w:tcPr>
            <w:tcW w:w="1262" w:type="dxa"/>
            <w:tcBorders>
              <w:top w:val="single" w:sz="4" w:space="0" w:color="auto"/>
            </w:tcBorders>
            <w:noWrap/>
            <w:vAlign w:val="center"/>
            <w:hideMark/>
          </w:tcPr>
          <w:p w14:paraId="1535D215" w14:textId="77777777" w:rsidR="006D7D76" w:rsidRPr="000749E7" w:rsidRDefault="006D7D76" w:rsidP="00D6689C">
            <w:pPr>
              <w:adjustRightInd w:val="0"/>
              <w:snapToGrid w:val="0"/>
              <w:spacing w:line="480" w:lineRule="auto"/>
              <w:rPr>
                <w:color w:val="000000"/>
                <w:lang w:val="en-US"/>
              </w:rPr>
            </w:pPr>
            <w:r w:rsidRPr="000749E7">
              <w:rPr>
                <w:color w:val="000000"/>
                <w:lang w:val="en-US"/>
              </w:rPr>
              <w:t>5 km</w:t>
            </w:r>
          </w:p>
        </w:tc>
        <w:tc>
          <w:tcPr>
            <w:tcW w:w="1816" w:type="dxa"/>
            <w:tcBorders>
              <w:top w:val="single" w:sz="4" w:space="0" w:color="auto"/>
            </w:tcBorders>
            <w:noWrap/>
            <w:vAlign w:val="center"/>
            <w:hideMark/>
          </w:tcPr>
          <w:p w14:paraId="4CC91BFC"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AuthorYear="1"&gt;&lt;Author&gt;Otón&lt;/Author&gt;&lt;Year&gt;2020&lt;/Year&gt;&lt;RecNum&gt;111&lt;/RecNum&gt;&lt;DisplayText&gt;Otón et al. (2020); Otón et al. (2019)&lt;/DisplayText&gt;&lt;record&gt;&lt;rec-number&gt;111&lt;/rec-number&gt;&lt;foreign-keys&gt;&lt;key app="EN" db-id="pax0zszv0eftrje505jpp0wjswtawaawwzrp" timestamp="1660621965"&gt;111&lt;/key&gt;&lt;/foreign-keys&gt;&lt;ref-type name="Report"&gt;27&lt;/ref-type&gt;&lt;contributors&gt;&lt;authors&gt;&lt;author&gt;Otón, G.&lt;/author&gt;&lt;author&gt;Pettinari, M. L.&lt;/author&gt;&lt;author&gt;Chuvieco, E.&lt;/author&gt;&lt;/authors&gt;&lt;/contributors&gt;&lt;titles&gt;&lt;title&gt;ESA CCI ECV Fire Disturbance: D3.3.4 Product User Guide - LTDR, version 1.1&lt;/title&gt;&lt;/titles&gt;&lt;dates&gt;&lt;year&gt;2020&lt;/year&gt;&lt;/dates&gt;&lt;urls&gt;&lt;related-urls&gt;&lt;url&gt;http://www.esa-firecci.org/documents&lt;/url&gt;&lt;/related-urls&gt;&lt;/urls&gt;&lt;/record&gt;&lt;/Cite&gt;&lt;Cite AuthorYear="1"&gt;&lt;Author&gt;Otón&lt;/Author&gt;&lt;Year&gt;2019&lt;/Year&gt;&lt;RecNum&gt;80&lt;/RecNum&gt;&lt;record&gt;&lt;rec-number&gt;80&lt;/rec-number&gt;&lt;foreign-keys&gt;&lt;key app="EN" db-id="pax0zszv0eftrje505jpp0wjswtawaawwzrp" timestamp="1660621965"&gt;80&lt;/key&gt;&lt;/foreign-keys&gt;&lt;ref-type name="Journal Article"&gt;17&lt;/ref-type&gt;&lt;contributors&gt;&lt;authors&gt;&lt;author&gt;Otón, Gonzalo&lt;/author&gt;&lt;author&gt;Ramo, Rubén&lt;/author&gt;&lt;author&gt;Lizundia-Loiola, Joshua&lt;/author&gt;&lt;author&gt;Chuvieco, Emilio&lt;/author&gt;&lt;/authors&gt;&lt;/contributors&gt;&lt;titles&gt;&lt;title&gt;Global detection of long-term (1982-2017) burned area with AVHRR-LTDR data&lt;/title&gt;&lt;secondary-title&gt;Remote Sensing&lt;/secondary-title&gt;&lt;/titles&gt;&lt;periodical&gt;&lt;full-title&gt;Remote Sensing&lt;/full-title&gt;&lt;/periodical&gt;&lt;volume&gt;11&lt;/volume&gt;&lt;number&gt;18&lt;/number&gt;&lt;keywords&gt;&lt;keyword&gt;AVHRR-LTDR&lt;/keyword&gt;&lt;keyword&gt;Algorithm&lt;/keyword&gt;&lt;keyword&gt;Burned area&lt;/keyword&gt;&lt;keyword&gt;FireCCILT10&lt;/keyword&gt;&lt;keyword&gt;Multitemporal&lt;/keyword&gt;&lt;keyword&gt;Random Forest&lt;/keyword&gt;&lt;keyword&gt;Remote sensing&lt;/keyword&gt;&lt;/keywords&gt;&lt;dates&gt;&lt;year&gt;2019&lt;/year&gt;&lt;/dates&gt;&lt;urls&gt;&lt;/urls&gt;&lt;electronic-resource-num&gt;10.3390/rs11182079&lt;/electronic-resource-num&gt;&lt;/record&gt;&lt;/Cite&gt;&lt;/EndNote&gt;</w:instrText>
            </w:r>
            <w:r>
              <w:rPr>
                <w:color w:val="000000"/>
                <w:lang w:val="en-US"/>
              </w:rPr>
              <w:fldChar w:fldCharType="separate"/>
            </w:r>
            <w:r>
              <w:rPr>
                <w:noProof/>
                <w:color w:val="000000"/>
                <w:lang w:val="en-US"/>
              </w:rPr>
              <w:t>Otón et al. (2020); Otón et al. (2019)</w:t>
            </w:r>
            <w:r>
              <w:rPr>
                <w:color w:val="000000"/>
                <w:lang w:val="en-US"/>
              </w:rPr>
              <w:fldChar w:fldCharType="end"/>
            </w:r>
          </w:p>
        </w:tc>
      </w:tr>
      <w:tr w:rsidR="006D7D76" w:rsidRPr="000749E7" w14:paraId="277717FF" w14:textId="77777777" w:rsidTr="00D6689C">
        <w:trPr>
          <w:trHeight w:val="300"/>
          <w:jc w:val="center"/>
        </w:trPr>
        <w:tc>
          <w:tcPr>
            <w:tcW w:w="1701" w:type="dxa"/>
            <w:vMerge/>
            <w:vAlign w:val="center"/>
            <w:hideMark/>
          </w:tcPr>
          <w:p w14:paraId="6AAFC075"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73773FDD" w14:textId="61054471" w:rsidR="006D7D76" w:rsidRPr="000749E7" w:rsidRDefault="008F2E64" w:rsidP="00D6689C">
            <w:pPr>
              <w:adjustRightInd w:val="0"/>
              <w:snapToGrid w:val="0"/>
              <w:spacing w:line="480" w:lineRule="auto"/>
              <w:rPr>
                <w:color w:val="000000"/>
                <w:lang w:val="en-US"/>
              </w:rPr>
            </w:pPr>
            <w:r>
              <w:rPr>
                <w:color w:val="000000"/>
                <w:lang w:val="en-US"/>
              </w:rPr>
              <w:t>Burned area</w:t>
            </w:r>
          </w:p>
        </w:tc>
        <w:tc>
          <w:tcPr>
            <w:tcW w:w="4394" w:type="dxa"/>
            <w:noWrap/>
            <w:vAlign w:val="center"/>
            <w:hideMark/>
          </w:tcPr>
          <w:p w14:paraId="40D9E8B0" w14:textId="2AD36B83" w:rsidR="006D7D76" w:rsidRPr="000749E7" w:rsidRDefault="006D7D76" w:rsidP="00D6689C">
            <w:pPr>
              <w:adjustRightInd w:val="0"/>
              <w:snapToGrid w:val="0"/>
              <w:spacing w:line="480" w:lineRule="auto"/>
              <w:rPr>
                <w:color w:val="000000"/>
                <w:lang w:val="en-US"/>
              </w:rPr>
            </w:pPr>
            <w:r w:rsidRPr="000749E7">
              <w:rPr>
                <w:color w:val="000000"/>
                <w:lang w:val="en-US"/>
              </w:rPr>
              <w:t xml:space="preserve">Monthly </w:t>
            </w:r>
            <w:r w:rsidR="008F2E64">
              <w:rPr>
                <w:color w:val="000000"/>
                <w:lang w:val="en-US"/>
              </w:rPr>
              <w:t>burned area</w:t>
            </w:r>
            <w:r w:rsidRPr="000749E7">
              <w:rPr>
                <w:color w:val="000000"/>
                <w:lang w:val="en-US"/>
              </w:rPr>
              <w:t xml:space="preserve"> in pixel</w:t>
            </w:r>
          </w:p>
        </w:tc>
        <w:tc>
          <w:tcPr>
            <w:tcW w:w="929" w:type="dxa"/>
            <w:noWrap/>
            <w:vAlign w:val="center"/>
            <w:hideMark/>
          </w:tcPr>
          <w:p w14:paraId="02C074E5" w14:textId="77777777" w:rsidR="006D7D76" w:rsidRPr="000749E7" w:rsidRDefault="006D7D76" w:rsidP="00D6689C">
            <w:pPr>
              <w:adjustRightInd w:val="0"/>
              <w:snapToGrid w:val="0"/>
              <w:spacing w:line="480" w:lineRule="auto"/>
              <w:rPr>
                <w:color w:val="000000"/>
                <w:lang w:val="en-US"/>
              </w:rPr>
            </w:pPr>
            <w:r w:rsidRPr="000749E7">
              <w:rPr>
                <w:color w:val="000000"/>
                <w:lang w:val="en-US"/>
              </w:rPr>
              <w:t>m²</w:t>
            </w:r>
          </w:p>
        </w:tc>
        <w:tc>
          <w:tcPr>
            <w:tcW w:w="1560" w:type="dxa"/>
            <w:noWrap/>
            <w:vAlign w:val="center"/>
            <w:hideMark/>
          </w:tcPr>
          <w:p w14:paraId="2C511736"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1981-2018</w:t>
            </w:r>
          </w:p>
        </w:tc>
        <w:tc>
          <w:tcPr>
            <w:tcW w:w="1262" w:type="dxa"/>
            <w:noWrap/>
            <w:vAlign w:val="center"/>
            <w:hideMark/>
          </w:tcPr>
          <w:p w14:paraId="3DF437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5 km</w:t>
            </w:r>
          </w:p>
        </w:tc>
        <w:tc>
          <w:tcPr>
            <w:tcW w:w="1816" w:type="dxa"/>
            <w:noWrap/>
            <w:vAlign w:val="center"/>
            <w:hideMark/>
          </w:tcPr>
          <w:p w14:paraId="5D12709D"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AuthorYear="1"&gt;&lt;Author&gt;Otón&lt;/Author&gt;&lt;Year&gt;2020&lt;/Year&gt;&lt;RecNum&gt;111&lt;/RecNum&gt;&lt;DisplayText&gt;Otón et al. (2020); Otón et al. (2019)&lt;/DisplayText&gt;&lt;record&gt;&lt;rec-number&gt;111&lt;/rec-number&gt;&lt;foreign-keys&gt;&lt;key app="EN" db-id="pax0zszv0eftrje505jpp0wjswtawaawwzrp" timestamp="1660621965"&gt;111&lt;/key&gt;&lt;/foreign-keys&gt;&lt;ref-type name="Report"&gt;27&lt;/ref-type&gt;&lt;contributors&gt;&lt;authors&gt;&lt;author&gt;Otón, G.&lt;/author&gt;&lt;author&gt;Pettinari, M. L.&lt;/author&gt;&lt;author&gt;Chuvieco, E.&lt;/author&gt;&lt;/authors&gt;&lt;/contributors&gt;&lt;titles&gt;&lt;title&gt;ESA CCI ECV Fire Disturbance: D3.3.4 Product User Guide - LTDR, version 1.1&lt;/title&gt;&lt;/titles&gt;&lt;dates&gt;&lt;year&gt;2020&lt;/year&gt;&lt;/dates&gt;&lt;urls&gt;&lt;related-urls&gt;&lt;url&gt;http://www.esa-firecci.org/documents&lt;/url&gt;&lt;/related-urls&gt;&lt;/urls&gt;&lt;/record&gt;&lt;/Cite&gt;&lt;Cite AuthorYear="1"&gt;&lt;Author&gt;Otón&lt;/Author&gt;&lt;Year&gt;2019&lt;/Year&gt;&lt;RecNum&gt;80&lt;/RecNum&gt;&lt;record&gt;&lt;rec-number&gt;80&lt;/rec-number&gt;&lt;foreign-keys&gt;&lt;key app="EN" db-id="pax0zszv0eftrje505jpp0wjswtawaawwzrp" timestamp="1660621965"&gt;80&lt;/key&gt;&lt;/foreign-keys&gt;&lt;ref-type name="Journal Article"&gt;17&lt;/ref-type&gt;&lt;contributors&gt;&lt;authors&gt;&lt;author&gt;Otón, Gonzalo&lt;/author&gt;&lt;author&gt;Ramo, Rubén&lt;/author&gt;&lt;author&gt;Lizundia-Loiola, Joshua&lt;/author&gt;&lt;author&gt;Chuvieco, Emilio&lt;/author&gt;&lt;/authors&gt;&lt;/contributors&gt;&lt;titles&gt;&lt;title&gt;Global detection of long-term (1982-2017) burned area with AVHRR-LTDR data&lt;/title&gt;&lt;secondary-title&gt;Remote Sensing&lt;/secondary-title&gt;&lt;/titles&gt;&lt;periodical&gt;&lt;full-title&gt;Remote Sensing&lt;/full-title&gt;&lt;/periodical&gt;&lt;volume&gt;11&lt;/volume&gt;&lt;number&gt;18&lt;/number&gt;&lt;keywords&gt;&lt;keyword&gt;AVHRR-LTDR&lt;/keyword&gt;&lt;keyword&gt;Algorithm&lt;/keyword&gt;&lt;keyword&gt;Burned area&lt;/keyword&gt;&lt;keyword&gt;FireCCILT10&lt;/keyword&gt;&lt;keyword&gt;Multitemporal&lt;/keyword&gt;&lt;keyword&gt;Random Forest&lt;/keyword&gt;&lt;keyword&gt;Remote sensing&lt;/keyword&gt;&lt;/keywords&gt;&lt;dates&gt;&lt;year&gt;2019&lt;/year&gt;&lt;/dates&gt;&lt;urls&gt;&lt;/urls&gt;&lt;electronic-resource-num&gt;10.3390/rs11182079&lt;/electronic-resource-num&gt;&lt;/record&gt;&lt;/Cite&gt;&lt;/EndNote&gt;</w:instrText>
            </w:r>
            <w:r>
              <w:rPr>
                <w:color w:val="000000"/>
                <w:lang w:val="en-US"/>
              </w:rPr>
              <w:fldChar w:fldCharType="separate"/>
            </w:r>
            <w:r>
              <w:rPr>
                <w:noProof/>
                <w:color w:val="000000"/>
                <w:lang w:val="en-US"/>
              </w:rPr>
              <w:t>Otón et al. (2020); Otón et al. (2019)</w:t>
            </w:r>
            <w:r>
              <w:rPr>
                <w:color w:val="000000"/>
                <w:lang w:val="en-US"/>
              </w:rPr>
              <w:fldChar w:fldCharType="end"/>
            </w:r>
          </w:p>
        </w:tc>
      </w:tr>
      <w:tr w:rsidR="006D7D76" w:rsidRPr="000749E7" w14:paraId="3E82A818" w14:textId="77777777" w:rsidTr="00D6689C">
        <w:trPr>
          <w:trHeight w:val="300"/>
          <w:jc w:val="center"/>
        </w:trPr>
        <w:tc>
          <w:tcPr>
            <w:tcW w:w="1701" w:type="dxa"/>
            <w:vMerge w:val="restart"/>
            <w:noWrap/>
            <w:vAlign w:val="center"/>
            <w:hideMark/>
          </w:tcPr>
          <w:p w14:paraId="1EE046C3" w14:textId="77777777" w:rsidR="006D7D76" w:rsidRPr="000749E7" w:rsidRDefault="006D7D76" w:rsidP="00D6689C">
            <w:pPr>
              <w:adjustRightInd w:val="0"/>
              <w:snapToGrid w:val="0"/>
              <w:spacing w:line="480" w:lineRule="auto"/>
              <w:rPr>
                <w:color w:val="000000"/>
                <w:lang w:val="en-US"/>
              </w:rPr>
            </w:pPr>
            <w:r w:rsidRPr="000749E7">
              <w:rPr>
                <w:color w:val="000000"/>
                <w:lang w:val="en-US"/>
              </w:rPr>
              <w:t>Weather</w:t>
            </w:r>
          </w:p>
        </w:tc>
        <w:tc>
          <w:tcPr>
            <w:tcW w:w="1560" w:type="dxa"/>
            <w:noWrap/>
            <w:vAlign w:val="center"/>
            <w:hideMark/>
          </w:tcPr>
          <w:p w14:paraId="1D07785D" w14:textId="77777777" w:rsidR="006D7D76" w:rsidRPr="000749E7" w:rsidRDefault="006D7D76" w:rsidP="00D6689C">
            <w:pPr>
              <w:adjustRightInd w:val="0"/>
              <w:snapToGrid w:val="0"/>
              <w:spacing w:line="480" w:lineRule="auto"/>
              <w:rPr>
                <w:color w:val="000000"/>
                <w:lang w:val="en-US"/>
              </w:rPr>
            </w:pPr>
            <w:r w:rsidRPr="000749E7">
              <w:rPr>
                <w:color w:val="000000"/>
                <w:lang w:val="en-US"/>
              </w:rPr>
              <w:t>Air temperature</w:t>
            </w:r>
          </w:p>
        </w:tc>
        <w:tc>
          <w:tcPr>
            <w:tcW w:w="4394" w:type="dxa"/>
            <w:noWrap/>
            <w:vAlign w:val="center"/>
            <w:hideMark/>
          </w:tcPr>
          <w:p w14:paraId="42A1533D"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mean of air temperature at 2 m above the soil</w:t>
            </w:r>
          </w:p>
        </w:tc>
        <w:tc>
          <w:tcPr>
            <w:tcW w:w="929" w:type="dxa"/>
            <w:noWrap/>
            <w:vAlign w:val="center"/>
            <w:hideMark/>
          </w:tcPr>
          <w:p w14:paraId="420321A1" w14:textId="77777777" w:rsidR="006D7D76" w:rsidRPr="000749E7" w:rsidRDefault="006D7D76" w:rsidP="00D6689C">
            <w:pPr>
              <w:adjustRightInd w:val="0"/>
              <w:snapToGrid w:val="0"/>
              <w:spacing w:line="480" w:lineRule="auto"/>
              <w:rPr>
                <w:color w:val="000000"/>
                <w:lang w:val="en-US"/>
              </w:rPr>
            </w:pPr>
            <w:r w:rsidRPr="000749E7">
              <w:rPr>
                <w:color w:val="000000"/>
                <w:lang w:val="en-US"/>
              </w:rPr>
              <w:t>°C</w:t>
            </w:r>
          </w:p>
        </w:tc>
        <w:tc>
          <w:tcPr>
            <w:tcW w:w="1560" w:type="dxa"/>
            <w:noWrap/>
            <w:vAlign w:val="center"/>
            <w:hideMark/>
          </w:tcPr>
          <w:p w14:paraId="0D2DE87F"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353CFCCC"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vAlign w:val="center"/>
            <w:hideMark/>
          </w:tcPr>
          <w:p w14:paraId="7FBADB79"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Pr>
                <w:color w:val="000000"/>
                <w:lang w:val="en-US"/>
              </w:rPr>
              <w:fldChar w:fldCharType="separate"/>
            </w:r>
            <w:r>
              <w:rPr>
                <w:noProof/>
                <w:color w:val="000000"/>
                <w:lang w:val="en-US"/>
              </w:rPr>
              <w:t>Hersbach et al. (2019)</w:t>
            </w:r>
            <w:r>
              <w:rPr>
                <w:color w:val="000000"/>
                <w:lang w:val="en-US"/>
              </w:rPr>
              <w:fldChar w:fldCharType="end"/>
            </w:r>
          </w:p>
        </w:tc>
      </w:tr>
      <w:tr w:rsidR="006D7D76" w:rsidRPr="000749E7" w14:paraId="242E8385" w14:textId="77777777" w:rsidTr="00D6689C">
        <w:trPr>
          <w:trHeight w:val="300"/>
          <w:jc w:val="center"/>
        </w:trPr>
        <w:tc>
          <w:tcPr>
            <w:tcW w:w="1701" w:type="dxa"/>
            <w:vMerge/>
            <w:vAlign w:val="center"/>
            <w:hideMark/>
          </w:tcPr>
          <w:p w14:paraId="3577735E"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2919E09" w14:textId="77777777" w:rsidR="006D7D76" w:rsidRPr="000749E7" w:rsidRDefault="006D7D76" w:rsidP="00D6689C">
            <w:pPr>
              <w:adjustRightInd w:val="0"/>
              <w:snapToGrid w:val="0"/>
              <w:spacing w:line="480" w:lineRule="auto"/>
              <w:rPr>
                <w:color w:val="000000"/>
                <w:lang w:val="en-US"/>
              </w:rPr>
            </w:pPr>
            <w:r w:rsidRPr="000749E7">
              <w:rPr>
                <w:color w:val="000000"/>
                <w:lang w:val="en-US"/>
              </w:rPr>
              <w:t>Precipitation</w:t>
            </w:r>
          </w:p>
        </w:tc>
        <w:tc>
          <w:tcPr>
            <w:tcW w:w="4394" w:type="dxa"/>
            <w:noWrap/>
            <w:vAlign w:val="center"/>
            <w:hideMark/>
          </w:tcPr>
          <w:p w14:paraId="6768A4A5"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accumulated precipitation</w:t>
            </w:r>
          </w:p>
        </w:tc>
        <w:tc>
          <w:tcPr>
            <w:tcW w:w="929" w:type="dxa"/>
            <w:noWrap/>
            <w:vAlign w:val="center"/>
            <w:hideMark/>
          </w:tcPr>
          <w:p w14:paraId="348144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5E3E2305"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10D25860"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70952161"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15251145" w14:textId="77777777" w:rsidTr="00D6689C">
        <w:trPr>
          <w:trHeight w:val="960"/>
          <w:jc w:val="center"/>
        </w:trPr>
        <w:tc>
          <w:tcPr>
            <w:tcW w:w="1701" w:type="dxa"/>
            <w:vMerge/>
            <w:vAlign w:val="center"/>
            <w:hideMark/>
          </w:tcPr>
          <w:p w14:paraId="277853C5"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E3266DC" w14:textId="77777777" w:rsidR="006D7D76" w:rsidRPr="000749E7" w:rsidRDefault="006D7D76" w:rsidP="00D6689C">
            <w:pPr>
              <w:adjustRightInd w:val="0"/>
              <w:snapToGrid w:val="0"/>
              <w:spacing w:line="480" w:lineRule="auto"/>
              <w:rPr>
                <w:color w:val="000000"/>
                <w:lang w:val="en-US"/>
              </w:rPr>
            </w:pPr>
            <w:r w:rsidRPr="000749E7">
              <w:rPr>
                <w:color w:val="000000"/>
                <w:lang w:val="en-US"/>
              </w:rPr>
              <w:t>Insolation</w:t>
            </w:r>
          </w:p>
        </w:tc>
        <w:tc>
          <w:tcPr>
            <w:tcW w:w="4394" w:type="dxa"/>
            <w:vAlign w:val="center"/>
            <w:hideMark/>
          </w:tcPr>
          <w:p w14:paraId="7EA0EBE5" w14:textId="77777777" w:rsidR="006D7D76" w:rsidRPr="000749E7" w:rsidRDefault="006D7D76" w:rsidP="00D6689C">
            <w:pPr>
              <w:adjustRightInd w:val="0"/>
              <w:snapToGrid w:val="0"/>
              <w:spacing w:line="480" w:lineRule="auto"/>
              <w:rPr>
                <w:color w:val="000000"/>
                <w:lang w:val="en-US"/>
              </w:rPr>
            </w:pPr>
            <w:r w:rsidRPr="000749E7">
              <w:rPr>
                <w:color w:val="000000"/>
                <w:lang w:val="en-US"/>
              </w:rPr>
              <w:t xml:space="preserve">Monthly accumulated surface solar radiation downwards. It is the amount of </w:t>
            </w:r>
            <w:r w:rsidRPr="000749E7">
              <w:rPr>
                <w:color w:val="000000"/>
                <w:lang w:val="en-US"/>
              </w:rPr>
              <w:lastRenderedPageBreak/>
              <w:t>solar radiation reaching the surface of the Earth</w:t>
            </w:r>
          </w:p>
        </w:tc>
        <w:tc>
          <w:tcPr>
            <w:tcW w:w="929" w:type="dxa"/>
            <w:noWrap/>
            <w:vAlign w:val="center"/>
            <w:hideMark/>
          </w:tcPr>
          <w:p w14:paraId="7E86B88F" w14:textId="77777777" w:rsidR="006D7D76" w:rsidRPr="000749E7" w:rsidRDefault="006D7D76" w:rsidP="00D6689C">
            <w:pPr>
              <w:adjustRightInd w:val="0"/>
              <w:snapToGrid w:val="0"/>
              <w:spacing w:line="480" w:lineRule="auto"/>
              <w:rPr>
                <w:color w:val="000000"/>
                <w:lang w:val="en-US"/>
              </w:rPr>
            </w:pPr>
            <w:r w:rsidRPr="000749E7">
              <w:rPr>
                <w:color w:val="000000"/>
                <w:lang w:val="en-US"/>
              </w:rPr>
              <w:lastRenderedPageBreak/>
              <w:t>J/m²</w:t>
            </w:r>
          </w:p>
        </w:tc>
        <w:tc>
          <w:tcPr>
            <w:tcW w:w="1560" w:type="dxa"/>
            <w:noWrap/>
            <w:vAlign w:val="center"/>
            <w:hideMark/>
          </w:tcPr>
          <w:p w14:paraId="11633645"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2625B355"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0F5D9B8C"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3D7B6DBC" w14:textId="77777777" w:rsidTr="00D6689C">
        <w:trPr>
          <w:trHeight w:val="1280"/>
          <w:jc w:val="center"/>
        </w:trPr>
        <w:tc>
          <w:tcPr>
            <w:tcW w:w="1701" w:type="dxa"/>
            <w:vMerge/>
            <w:vAlign w:val="center"/>
            <w:hideMark/>
          </w:tcPr>
          <w:p w14:paraId="4A143B83"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053BFA51" w14:textId="77777777" w:rsidR="006D7D76" w:rsidRPr="000749E7" w:rsidRDefault="006D7D76" w:rsidP="00D6689C">
            <w:pPr>
              <w:adjustRightInd w:val="0"/>
              <w:snapToGrid w:val="0"/>
              <w:spacing w:line="480" w:lineRule="auto"/>
              <w:rPr>
                <w:color w:val="000000"/>
                <w:lang w:val="en-US"/>
              </w:rPr>
            </w:pPr>
            <w:r w:rsidRPr="000749E7">
              <w:rPr>
                <w:color w:val="000000"/>
                <w:lang w:val="en-US"/>
              </w:rPr>
              <w:t>Volumetric soil water</w:t>
            </w:r>
          </w:p>
        </w:tc>
        <w:tc>
          <w:tcPr>
            <w:tcW w:w="4394" w:type="dxa"/>
            <w:vAlign w:val="center"/>
            <w:hideMark/>
          </w:tcPr>
          <w:p w14:paraId="68FEB437"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volume of water in soil layer between 0 and 7 cm. The volumetric soil water is associated with the soil texture (or classification), soil depth, and the underlying groundwater level</w:t>
            </w:r>
          </w:p>
        </w:tc>
        <w:tc>
          <w:tcPr>
            <w:tcW w:w="929" w:type="dxa"/>
            <w:noWrap/>
            <w:vAlign w:val="center"/>
            <w:hideMark/>
          </w:tcPr>
          <w:p w14:paraId="0E548411" w14:textId="77777777" w:rsidR="006D7D76" w:rsidRPr="000749E7" w:rsidRDefault="006D7D76" w:rsidP="00D6689C">
            <w:pPr>
              <w:adjustRightInd w:val="0"/>
              <w:snapToGrid w:val="0"/>
              <w:spacing w:line="480" w:lineRule="auto"/>
              <w:rPr>
                <w:color w:val="000000"/>
                <w:lang w:val="en-US"/>
              </w:rPr>
            </w:pPr>
            <w:r w:rsidRPr="000749E7">
              <w:rPr>
                <w:color w:val="000000"/>
                <w:lang w:val="en-US"/>
              </w:rPr>
              <w:t>m³/m³</w:t>
            </w:r>
          </w:p>
        </w:tc>
        <w:tc>
          <w:tcPr>
            <w:tcW w:w="1560" w:type="dxa"/>
            <w:noWrap/>
            <w:vAlign w:val="center"/>
            <w:hideMark/>
          </w:tcPr>
          <w:p w14:paraId="5B5B2ABC"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53834EBB"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6F702D01"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59735FA8" w14:textId="77777777" w:rsidTr="00D6689C">
        <w:trPr>
          <w:trHeight w:val="640"/>
          <w:jc w:val="center"/>
        </w:trPr>
        <w:tc>
          <w:tcPr>
            <w:tcW w:w="1701" w:type="dxa"/>
            <w:vMerge/>
            <w:vAlign w:val="center"/>
            <w:hideMark/>
          </w:tcPr>
          <w:p w14:paraId="432D8E34"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5B5309D" w14:textId="77777777" w:rsidR="006D7D76" w:rsidRPr="000749E7" w:rsidRDefault="006D7D76" w:rsidP="00D6689C">
            <w:pPr>
              <w:adjustRightInd w:val="0"/>
              <w:snapToGrid w:val="0"/>
              <w:spacing w:line="480" w:lineRule="auto"/>
              <w:rPr>
                <w:color w:val="000000"/>
                <w:lang w:val="en-US"/>
              </w:rPr>
            </w:pPr>
            <w:r w:rsidRPr="000749E7">
              <w:rPr>
                <w:color w:val="000000"/>
                <w:lang w:val="en-US"/>
              </w:rPr>
              <w:t>Relative humidity</w:t>
            </w:r>
          </w:p>
        </w:tc>
        <w:tc>
          <w:tcPr>
            <w:tcW w:w="4394" w:type="dxa"/>
            <w:vAlign w:val="center"/>
            <w:hideMark/>
          </w:tcPr>
          <w:p w14:paraId="5316DB10"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mean of water vapor pressure as a percentage of the value at which the air becomes saturated</w:t>
            </w:r>
          </w:p>
        </w:tc>
        <w:tc>
          <w:tcPr>
            <w:tcW w:w="929" w:type="dxa"/>
            <w:noWrap/>
            <w:vAlign w:val="center"/>
            <w:hideMark/>
          </w:tcPr>
          <w:p w14:paraId="2EDEE176"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560" w:type="dxa"/>
            <w:noWrap/>
            <w:vAlign w:val="center"/>
            <w:hideMark/>
          </w:tcPr>
          <w:p w14:paraId="377C2DE1"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31F8EB8D"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35715FC2"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33E1829F" w14:textId="77777777" w:rsidTr="00D6689C">
        <w:trPr>
          <w:trHeight w:val="1600"/>
          <w:jc w:val="center"/>
        </w:trPr>
        <w:tc>
          <w:tcPr>
            <w:tcW w:w="1701" w:type="dxa"/>
            <w:vMerge/>
            <w:vAlign w:val="center"/>
            <w:hideMark/>
          </w:tcPr>
          <w:p w14:paraId="3A298321"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65984D52" w14:textId="77777777" w:rsidR="006D7D76" w:rsidRPr="000749E7" w:rsidRDefault="006D7D76" w:rsidP="00D6689C">
            <w:pPr>
              <w:adjustRightInd w:val="0"/>
              <w:snapToGrid w:val="0"/>
              <w:spacing w:line="480" w:lineRule="auto"/>
              <w:rPr>
                <w:color w:val="000000"/>
                <w:lang w:val="en-US"/>
              </w:rPr>
            </w:pPr>
            <w:r w:rsidRPr="000749E7">
              <w:rPr>
                <w:color w:val="000000"/>
                <w:lang w:val="en-US"/>
              </w:rPr>
              <w:t>Total evaporation</w:t>
            </w:r>
          </w:p>
        </w:tc>
        <w:tc>
          <w:tcPr>
            <w:tcW w:w="4394" w:type="dxa"/>
            <w:vAlign w:val="center"/>
            <w:hideMark/>
          </w:tcPr>
          <w:p w14:paraId="1EDB35CE" w14:textId="77777777" w:rsidR="006D7D76" w:rsidRPr="000749E7" w:rsidRDefault="006D7D76" w:rsidP="00D6689C">
            <w:pPr>
              <w:adjustRightInd w:val="0"/>
              <w:snapToGrid w:val="0"/>
              <w:spacing w:line="480" w:lineRule="auto"/>
              <w:rPr>
                <w:color w:val="000000"/>
                <w:lang w:val="en-US"/>
              </w:rPr>
            </w:pPr>
            <w:r w:rsidRPr="000749E7">
              <w:rPr>
                <w:color w:val="000000"/>
                <w:lang w:val="en-US"/>
              </w:rPr>
              <w:t xml:space="preserve">Monthly accumulated amount of water evaporated from the Earth’s surface, including a simplified representation of transpiration (from vegetation), into vapor in the air. Negative values indicate </w:t>
            </w:r>
            <w:r w:rsidRPr="000749E7">
              <w:rPr>
                <w:color w:val="000000"/>
                <w:lang w:val="en-US"/>
              </w:rPr>
              <w:lastRenderedPageBreak/>
              <w:t>evaporation, and positive values indicate condensation</w:t>
            </w:r>
          </w:p>
        </w:tc>
        <w:tc>
          <w:tcPr>
            <w:tcW w:w="929" w:type="dxa"/>
            <w:noWrap/>
            <w:vAlign w:val="center"/>
            <w:hideMark/>
          </w:tcPr>
          <w:p w14:paraId="5AABF2B5" w14:textId="77777777" w:rsidR="006D7D76" w:rsidRPr="000749E7" w:rsidRDefault="006D7D76" w:rsidP="00D6689C">
            <w:pPr>
              <w:adjustRightInd w:val="0"/>
              <w:snapToGrid w:val="0"/>
              <w:spacing w:line="480" w:lineRule="auto"/>
              <w:rPr>
                <w:color w:val="000000"/>
                <w:lang w:val="en-US"/>
              </w:rPr>
            </w:pPr>
            <w:r w:rsidRPr="000749E7">
              <w:rPr>
                <w:color w:val="000000"/>
                <w:lang w:val="en-US"/>
              </w:rPr>
              <w:lastRenderedPageBreak/>
              <w:t>m</w:t>
            </w:r>
          </w:p>
        </w:tc>
        <w:tc>
          <w:tcPr>
            <w:tcW w:w="1560" w:type="dxa"/>
            <w:noWrap/>
            <w:vAlign w:val="center"/>
            <w:hideMark/>
          </w:tcPr>
          <w:p w14:paraId="118ADF8D"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17AED6E1"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29762120"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50724314" w14:textId="77777777" w:rsidTr="00D6689C">
        <w:trPr>
          <w:trHeight w:val="1600"/>
          <w:jc w:val="center"/>
        </w:trPr>
        <w:tc>
          <w:tcPr>
            <w:tcW w:w="1701" w:type="dxa"/>
            <w:vMerge/>
            <w:vAlign w:val="center"/>
            <w:hideMark/>
          </w:tcPr>
          <w:p w14:paraId="6D5CD7DD"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1DD22BC7" w14:textId="77777777" w:rsidR="006D7D76" w:rsidRPr="000749E7" w:rsidRDefault="006D7D76" w:rsidP="00D6689C">
            <w:pPr>
              <w:adjustRightInd w:val="0"/>
              <w:snapToGrid w:val="0"/>
              <w:spacing w:line="480" w:lineRule="auto"/>
              <w:rPr>
                <w:color w:val="000000"/>
                <w:lang w:val="en-US"/>
              </w:rPr>
            </w:pPr>
            <w:r w:rsidRPr="000749E7">
              <w:rPr>
                <w:color w:val="000000"/>
                <w:lang w:val="en-US"/>
              </w:rPr>
              <w:t>Potential evaporation</w:t>
            </w:r>
          </w:p>
        </w:tc>
        <w:tc>
          <w:tcPr>
            <w:tcW w:w="4394" w:type="dxa"/>
            <w:vAlign w:val="center"/>
            <w:hideMark/>
          </w:tcPr>
          <w:p w14:paraId="22E639C0"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accumulated amount of water computed for agricultural land as if it is well watered and assuming that the atmosphere is not affected by this artificial surface condition. Negative values indicate evaporation, and positive values indicate condensation</w:t>
            </w:r>
          </w:p>
        </w:tc>
        <w:tc>
          <w:tcPr>
            <w:tcW w:w="929" w:type="dxa"/>
            <w:noWrap/>
            <w:vAlign w:val="center"/>
            <w:hideMark/>
          </w:tcPr>
          <w:p w14:paraId="75424706"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0AABADF0"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773C944B"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6A1205B8"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66E9B8DF" w14:textId="77777777" w:rsidTr="00D6689C">
        <w:trPr>
          <w:trHeight w:val="300"/>
          <w:jc w:val="center"/>
        </w:trPr>
        <w:tc>
          <w:tcPr>
            <w:tcW w:w="1701" w:type="dxa"/>
            <w:vMerge/>
            <w:vAlign w:val="center"/>
            <w:hideMark/>
          </w:tcPr>
          <w:p w14:paraId="4A842AEF"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B6FF667" w14:textId="77777777" w:rsidR="006D7D76" w:rsidRPr="000749E7" w:rsidRDefault="006D7D76" w:rsidP="00D6689C">
            <w:pPr>
              <w:adjustRightInd w:val="0"/>
              <w:snapToGrid w:val="0"/>
              <w:spacing w:line="480" w:lineRule="auto"/>
              <w:rPr>
                <w:color w:val="000000"/>
                <w:lang w:val="en-US"/>
              </w:rPr>
            </w:pPr>
            <w:r w:rsidRPr="000749E7">
              <w:rPr>
                <w:color w:val="000000"/>
                <w:lang w:val="en-US"/>
              </w:rPr>
              <w:t>Wind speed</w:t>
            </w:r>
          </w:p>
        </w:tc>
        <w:tc>
          <w:tcPr>
            <w:tcW w:w="4394" w:type="dxa"/>
            <w:noWrap/>
            <w:vAlign w:val="center"/>
            <w:hideMark/>
          </w:tcPr>
          <w:p w14:paraId="214CB69F"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mean of 10 m wind speed</w:t>
            </w:r>
          </w:p>
        </w:tc>
        <w:tc>
          <w:tcPr>
            <w:tcW w:w="929" w:type="dxa"/>
            <w:noWrap/>
            <w:vAlign w:val="center"/>
            <w:hideMark/>
          </w:tcPr>
          <w:p w14:paraId="1706A624" w14:textId="77777777" w:rsidR="006D7D76" w:rsidRPr="000749E7" w:rsidRDefault="006D7D76" w:rsidP="00D6689C">
            <w:pPr>
              <w:adjustRightInd w:val="0"/>
              <w:snapToGrid w:val="0"/>
              <w:spacing w:line="480" w:lineRule="auto"/>
              <w:rPr>
                <w:color w:val="000000"/>
                <w:lang w:val="en-US"/>
              </w:rPr>
            </w:pPr>
            <w:r w:rsidRPr="000749E7">
              <w:rPr>
                <w:color w:val="000000"/>
                <w:lang w:val="en-US"/>
              </w:rPr>
              <w:t>m/s</w:t>
            </w:r>
          </w:p>
        </w:tc>
        <w:tc>
          <w:tcPr>
            <w:tcW w:w="1560" w:type="dxa"/>
            <w:noWrap/>
            <w:vAlign w:val="center"/>
            <w:hideMark/>
          </w:tcPr>
          <w:p w14:paraId="75206547"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76DA4974"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2F40E04D"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4FDFEA5D" w14:textId="77777777" w:rsidTr="00D6689C">
        <w:trPr>
          <w:trHeight w:val="320"/>
          <w:jc w:val="center"/>
        </w:trPr>
        <w:tc>
          <w:tcPr>
            <w:tcW w:w="1701" w:type="dxa"/>
            <w:vMerge w:val="restart"/>
            <w:noWrap/>
            <w:vAlign w:val="center"/>
            <w:hideMark/>
          </w:tcPr>
          <w:p w14:paraId="2F66271E" w14:textId="77777777" w:rsidR="006D7D76" w:rsidRPr="000749E7" w:rsidRDefault="006D7D76" w:rsidP="00D6689C">
            <w:pPr>
              <w:adjustRightInd w:val="0"/>
              <w:snapToGrid w:val="0"/>
              <w:spacing w:line="480" w:lineRule="auto"/>
              <w:rPr>
                <w:color w:val="000000"/>
                <w:lang w:val="en-US"/>
              </w:rPr>
            </w:pPr>
            <w:r w:rsidRPr="000749E7">
              <w:rPr>
                <w:color w:val="000000"/>
                <w:lang w:val="en-US"/>
              </w:rPr>
              <w:t>Vegetation</w:t>
            </w:r>
          </w:p>
        </w:tc>
        <w:tc>
          <w:tcPr>
            <w:tcW w:w="1560" w:type="dxa"/>
            <w:noWrap/>
            <w:vAlign w:val="center"/>
            <w:hideMark/>
          </w:tcPr>
          <w:p w14:paraId="7CF77725" w14:textId="77777777" w:rsidR="006D7D76" w:rsidRPr="000749E7" w:rsidRDefault="006D7D76" w:rsidP="00D6689C">
            <w:pPr>
              <w:adjustRightInd w:val="0"/>
              <w:snapToGrid w:val="0"/>
              <w:spacing w:line="480" w:lineRule="auto"/>
              <w:rPr>
                <w:color w:val="000000"/>
                <w:lang w:val="en-US"/>
              </w:rPr>
            </w:pPr>
            <w:r w:rsidRPr="000749E7">
              <w:rPr>
                <w:color w:val="000000"/>
                <w:lang w:val="en-US"/>
              </w:rPr>
              <w:t>Canopy height</w:t>
            </w:r>
          </w:p>
        </w:tc>
        <w:tc>
          <w:tcPr>
            <w:tcW w:w="4394" w:type="dxa"/>
            <w:vAlign w:val="center"/>
            <w:hideMark/>
          </w:tcPr>
          <w:p w14:paraId="3CA2D10F" w14:textId="77777777" w:rsidR="006D7D76" w:rsidRPr="000749E7" w:rsidRDefault="006D7D76" w:rsidP="00D6689C">
            <w:pPr>
              <w:adjustRightInd w:val="0"/>
              <w:snapToGrid w:val="0"/>
              <w:spacing w:line="480" w:lineRule="auto"/>
              <w:rPr>
                <w:color w:val="000000"/>
                <w:lang w:val="en-US"/>
              </w:rPr>
            </w:pPr>
            <w:r w:rsidRPr="000749E7">
              <w:rPr>
                <w:color w:val="000000"/>
                <w:lang w:val="en-US"/>
              </w:rPr>
              <w:t>Canopy height estimated by LiDAR data</w:t>
            </w:r>
          </w:p>
        </w:tc>
        <w:tc>
          <w:tcPr>
            <w:tcW w:w="929" w:type="dxa"/>
            <w:noWrap/>
            <w:vAlign w:val="center"/>
            <w:hideMark/>
          </w:tcPr>
          <w:p w14:paraId="4D3B07C9"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6CA693F7"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2005</w:t>
            </w:r>
          </w:p>
        </w:tc>
        <w:tc>
          <w:tcPr>
            <w:tcW w:w="1262" w:type="dxa"/>
            <w:noWrap/>
            <w:vAlign w:val="center"/>
            <w:hideMark/>
          </w:tcPr>
          <w:p w14:paraId="4D8764CA" w14:textId="77777777" w:rsidR="006D7D76" w:rsidRPr="000749E7" w:rsidRDefault="006D7D76" w:rsidP="00D6689C">
            <w:pPr>
              <w:adjustRightInd w:val="0"/>
              <w:snapToGrid w:val="0"/>
              <w:spacing w:line="480" w:lineRule="auto"/>
              <w:rPr>
                <w:color w:val="000000"/>
                <w:lang w:val="en-US"/>
              </w:rPr>
            </w:pPr>
            <w:r w:rsidRPr="000749E7">
              <w:rPr>
                <w:color w:val="000000"/>
                <w:lang w:val="en-US"/>
              </w:rPr>
              <w:t>1 km</w:t>
            </w:r>
          </w:p>
        </w:tc>
        <w:tc>
          <w:tcPr>
            <w:tcW w:w="1816" w:type="dxa"/>
            <w:noWrap/>
            <w:vAlign w:val="center"/>
            <w:hideMark/>
          </w:tcPr>
          <w:p w14:paraId="5E326F2D"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AuthorYear="1"&gt;&lt;Author&gt;Simard&lt;/Author&gt;&lt;Year&gt;2011&lt;/Year&gt;&lt;RecNum&gt;118&lt;/RecNum&gt;&lt;DisplayText&gt;Simard et al. (2011)&lt;/DisplayText&gt;&lt;record&gt;&lt;rec-number&gt;118&lt;/rec-number&gt;&lt;foreign-keys&gt;&lt;key app="EN" db-id="pax0zszv0eftrje505jpp0wjswtawaawwzrp" timestamp="1670952225"&gt;118&lt;/key&gt;&lt;/foreign-keys&gt;&lt;ref-type name="Journal Article"&gt;17&lt;/ref-type&gt;&lt;contributors&gt;&lt;authors&gt;&lt;author&gt;Simard, Marc&lt;/author&gt;&lt;author&gt;Pinto, Naiara&lt;/author&gt;&lt;author&gt;Fisher, Joshua B.&lt;/author&gt;&lt;author&gt;Baccini, Alessandro&lt;/author&gt;&lt;/authors&gt;&lt;/contributors&gt;&lt;titles&gt;&lt;title&gt;Mapping forest canopy height globally with spaceborne lidar&lt;/title&gt;&lt;secondary-title&gt;Journal of Geophysical Research: Biogeosciences&lt;/secondary-title&gt;&lt;/titles&gt;&lt;periodical&gt;&lt;full-title&gt;Journal of Geophysical Research: Biogeosciences&lt;/full-title&gt;&lt;/periodical&gt;&lt;pages&gt;1-12&lt;/pages&gt;&lt;volume&gt;116&lt;/volume&gt;&lt;number&gt;4&lt;/number&gt;&lt;keywords&gt;&lt;keyword&gt;http://dx.doi.org/10.1029/2011JG001708, doi:10.102&lt;/keyword&gt;&lt;/keywords&gt;&lt;dates&gt;&lt;year&gt;2011&lt;/year&gt;&lt;/dates&gt;&lt;urls&gt;&lt;/urls&gt;&lt;electronic-resource-num&gt;10.1029/2011JG001708&lt;/electronic-resource-num&gt;&lt;/record&gt;&lt;/Cite&gt;&lt;/EndNote&gt;</w:instrText>
            </w:r>
            <w:r>
              <w:rPr>
                <w:color w:val="000000"/>
                <w:lang w:val="en-US"/>
              </w:rPr>
              <w:fldChar w:fldCharType="separate"/>
            </w:r>
            <w:r>
              <w:rPr>
                <w:noProof/>
                <w:color w:val="000000"/>
                <w:lang w:val="en-US"/>
              </w:rPr>
              <w:t>Simard et al. (2011)</w:t>
            </w:r>
            <w:r>
              <w:rPr>
                <w:color w:val="000000"/>
                <w:lang w:val="en-US"/>
              </w:rPr>
              <w:fldChar w:fldCharType="end"/>
            </w:r>
          </w:p>
        </w:tc>
      </w:tr>
      <w:tr w:rsidR="006D7D76" w:rsidRPr="000749E7" w14:paraId="20004DD7" w14:textId="77777777" w:rsidTr="00D6689C">
        <w:trPr>
          <w:trHeight w:val="960"/>
          <w:jc w:val="center"/>
        </w:trPr>
        <w:tc>
          <w:tcPr>
            <w:tcW w:w="1701" w:type="dxa"/>
            <w:vMerge/>
            <w:vAlign w:val="center"/>
            <w:hideMark/>
          </w:tcPr>
          <w:p w14:paraId="5C2EC388"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091018C5" w14:textId="77777777" w:rsidR="006D7D76" w:rsidRPr="000749E7" w:rsidRDefault="006D7D76" w:rsidP="00D6689C">
            <w:pPr>
              <w:adjustRightInd w:val="0"/>
              <w:snapToGrid w:val="0"/>
              <w:spacing w:line="480" w:lineRule="auto"/>
              <w:rPr>
                <w:color w:val="000000"/>
                <w:lang w:val="en-US"/>
              </w:rPr>
            </w:pPr>
            <w:r w:rsidRPr="000749E7">
              <w:rPr>
                <w:color w:val="000000"/>
                <w:lang w:val="en-US"/>
              </w:rPr>
              <w:t>Aboveground biomass</w:t>
            </w:r>
          </w:p>
        </w:tc>
        <w:tc>
          <w:tcPr>
            <w:tcW w:w="4394" w:type="dxa"/>
            <w:vAlign w:val="center"/>
            <w:hideMark/>
          </w:tcPr>
          <w:p w14:paraId="4992E14F" w14:textId="77777777" w:rsidR="006D7D76" w:rsidRPr="000749E7" w:rsidRDefault="006D7D76" w:rsidP="00D6689C">
            <w:pPr>
              <w:adjustRightInd w:val="0"/>
              <w:snapToGrid w:val="0"/>
              <w:spacing w:line="480" w:lineRule="auto"/>
              <w:rPr>
                <w:color w:val="000000"/>
                <w:lang w:val="en-US"/>
              </w:rPr>
            </w:pPr>
            <w:r w:rsidRPr="000749E7">
              <w:rPr>
                <w:color w:val="000000"/>
                <w:lang w:val="en-US"/>
              </w:rPr>
              <w:t xml:space="preserve">Mass of all living trees, excluding stump and roots, expressed as oven-dry weight of </w:t>
            </w:r>
            <w:r w:rsidRPr="000749E7">
              <w:rPr>
                <w:color w:val="000000"/>
                <w:lang w:val="en-US"/>
              </w:rPr>
              <w:lastRenderedPageBreak/>
              <w:t>the woody parts (stem, bark, branches, and twigs)</w:t>
            </w:r>
          </w:p>
        </w:tc>
        <w:tc>
          <w:tcPr>
            <w:tcW w:w="929" w:type="dxa"/>
            <w:noWrap/>
            <w:vAlign w:val="center"/>
            <w:hideMark/>
          </w:tcPr>
          <w:p w14:paraId="22DA5FD4" w14:textId="77777777" w:rsidR="006D7D76" w:rsidRPr="000749E7" w:rsidRDefault="006D7D76" w:rsidP="00D6689C">
            <w:pPr>
              <w:adjustRightInd w:val="0"/>
              <w:snapToGrid w:val="0"/>
              <w:spacing w:line="480" w:lineRule="auto"/>
              <w:rPr>
                <w:color w:val="000000"/>
                <w:lang w:val="en-US"/>
              </w:rPr>
            </w:pPr>
            <w:r w:rsidRPr="000749E7">
              <w:rPr>
                <w:color w:val="000000"/>
                <w:lang w:val="en-US"/>
              </w:rPr>
              <w:lastRenderedPageBreak/>
              <w:t>Mg/ha</w:t>
            </w:r>
          </w:p>
        </w:tc>
        <w:tc>
          <w:tcPr>
            <w:tcW w:w="1560" w:type="dxa"/>
            <w:noWrap/>
            <w:vAlign w:val="center"/>
            <w:hideMark/>
          </w:tcPr>
          <w:p w14:paraId="2E9B1079"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2010</w:t>
            </w:r>
          </w:p>
        </w:tc>
        <w:tc>
          <w:tcPr>
            <w:tcW w:w="1262" w:type="dxa"/>
            <w:noWrap/>
            <w:vAlign w:val="center"/>
            <w:hideMark/>
          </w:tcPr>
          <w:p w14:paraId="0DD3BE3D" w14:textId="77777777" w:rsidR="006D7D76" w:rsidRPr="000749E7" w:rsidRDefault="006D7D76" w:rsidP="00D6689C">
            <w:pPr>
              <w:adjustRightInd w:val="0"/>
              <w:snapToGrid w:val="0"/>
              <w:spacing w:line="480" w:lineRule="auto"/>
              <w:rPr>
                <w:color w:val="000000"/>
                <w:lang w:val="en-US"/>
              </w:rPr>
            </w:pPr>
            <w:r w:rsidRPr="000749E7">
              <w:rPr>
                <w:color w:val="000000"/>
                <w:lang w:val="en-US"/>
              </w:rPr>
              <w:t>100 m</w:t>
            </w:r>
          </w:p>
        </w:tc>
        <w:tc>
          <w:tcPr>
            <w:tcW w:w="1816" w:type="dxa"/>
            <w:noWrap/>
            <w:vAlign w:val="center"/>
            <w:hideMark/>
          </w:tcPr>
          <w:p w14:paraId="0F35DA31" w14:textId="77777777" w:rsidR="006D7D76" w:rsidRPr="006B3950" w:rsidRDefault="006D7D76" w:rsidP="00D6689C">
            <w:pPr>
              <w:adjustRightInd w:val="0"/>
              <w:snapToGrid w:val="0"/>
              <w:spacing w:line="480" w:lineRule="auto"/>
              <w:rPr>
                <w:lang w:val="en-US"/>
              </w:rPr>
            </w:pPr>
            <w:r w:rsidRPr="006B3950">
              <w:rPr>
                <w:lang w:val="en-US"/>
              </w:rPr>
              <w:fldChar w:fldCharType="begin"/>
            </w:r>
            <w:r w:rsidRPr="006B3950">
              <w:rPr>
                <w:lang w:val="en-US"/>
              </w:rPr>
              <w:instrText xml:space="preserve"> ADDIN EN.CITE &lt;EndNote&gt;&lt;Cite AuthorYear="1"&gt;&lt;Author&gt;Santoro&lt;/Author&gt;&lt;Year&gt;2020&lt;/Year&gt;&lt;RecNum&gt;119&lt;/RecNum&gt;&lt;DisplayText&gt;Santoro et al. (2020)&lt;/DisplayText&gt;&lt;record&gt;&lt;rec-number&gt;119&lt;/rec-number&gt;&lt;foreign-keys&gt;&lt;key app="EN" db-id="pax0zszv0eftrje505jpp0wjswtawaawwzrp" timestamp="1670952250"&gt;119&lt;/key&gt;&lt;/foreign-keys&gt;&lt;ref-type name="Journal Article"&gt;17&lt;/ref-type&gt;&lt;contributors&gt;&lt;authors&gt;&lt;author&gt;Santoro, Maurizio&lt;/author&gt;&lt;author&gt;Cartus, Oliver&lt;/author&gt;&lt;author&gt;Carvalhais, Nuno&lt;/author&gt;&lt;author&gt;Rozendaal, Danaë&lt;/author&gt;&lt;author&gt;Avitabile, Valerio&lt;/author&gt;&lt;author&gt;Bruin, Sytze De&lt;/author&gt;&lt;author&gt;Herold, Martin&lt;/author&gt;&lt;author&gt;Quegan, Shaun&lt;/author&gt;&lt;author&gt;Veiga, Pedro Rodríguez&lt;/author&gt;&lt;author&gt;Balzter, Heiko&lt;/author&gt;&lt;/authors&gt;&lt;/contributors&gt;&lt;titles&gt;&lt;title&gt;The global forest above-ground biomass pool for 2010 estimated from high-resolution satellite observations&lt;/title&gt;&lt;secondary-title&gt;Earth System Science Data&lt;/secondary-title&gt;&lt;/titles&gt;&lt;periodical&gt;&lt;full-title&gt;Earth System Science Data&lt;/full-title&gt;&lt;/periodical&gt;&lt;pages&gt;1-38&lt;/pages&gt;&lt;volume&gt;5174&lt;/volume&gt;&lt;number&gt;July&lt;/number&gt;&lt;dates&gt;&lt;year&gt;2020&lt;/year&gt;&lt;/dates&gt;&lt;urls&gt;&lt;/urls&gt;&lt;electronic-resource-num&gt;10.5194/essd-2020-148&lt;/electronic-resource-num&gt;&lt;/record&gt;&lt;/Cite&gt;&lt;/EndNote&gt;</w:instrText>
            </w:r>
            <w:r w:rsidRPr="006B3950">
              <w:rPr>
                <w:lang w:val="en-US"/>
              </w:rPr>
              <w:fldChar w:fldCharType="separate"/>
            </w:r>
            <w:r w:rsidRPr="006B3950">
              <w:rPr>
                <w:noProof/>
                <w:lang w:val="en-US"/>
              </w:rPr>
              <w:t>Santoro et al. (2020)</w:t>
            </w:r>
            <w:r w:rsidRPr="006B3950">
              <w:rPr>
                <w:lang w:val="en-US"/>
              </w:rPr>
              <w:fldChar w:fldCharType="end"/>
            </w:r>
          </w:p>
        </w:tc>
      </w:tr>
      <w:tr w:rsidR="006D7D76" w:rsidRPr="000749E7" w14:paraId="37676EC4" w14:textId="77777777" w:rsidTr="00D6689C">
        <w:trPr>
          <w:trHeight w:val="1280"/>
          <w:jc w:val="center"/>
        </w:trPr>
        <w:tc>
          <w:tcPr>
            <w:tcW w:w="1701" w:type="dxa"/>
            <w:vMerge/>
            <w:vAlign w:val="center"/>
            <w:hideMark/>
          </w:tcPr>
          <w:p w14:paraId="46B6E1E2"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71047E74" w14:textId="77777777" w:rsidR="006D7D76" w:rsidRPr="000749E7" w:rsidRDefault="006D7D76" w:rsidP="00D6689C">
            <w:pPr>
              <w:adjustRightInd w:val="0"/>
              <w:snapToGrid w:val="0"/>
              <w:spacing w:line="480" w:lineRule="auto"/>
              <w:rPr>
                <w:color w:val="000000"/>
                <w:lang w:val="en-US"/>
              </w:rPr>
            </w:pPr>
            <w:r w:rsidRPr="000749E7">
              <w:rPr>
                <w:color w:val="000000"/>
                <w:lang w:val="en-US"/>
              </w:rPr>
              <w:t>Vegetation physiognomy</w:t>
            </w:r>
          </w:p>
        </w:tc>
        <w:tc>
          <w:tcPr>
            <w:tcW w:w="4394" w:type="dxa"/>
            <w:vAlign w:val="center"/>
            <w:hideMark/>
          </w:tcPr>
          <w:p w14:paraId="547422CC" w14:textId="492B211F" w:rsidR="006D7D76" w:rsidRPr="000749E7" w:rsidRDefault="006D7D76" w:rsidP="00D6689C">
            <w:pPr>
              <w:adjustRightInd w:val="0"/>
              <w:snapToGrid w:val="0"/>
              <w:spacing w:line="480" w:lineRule="auto"/>
              <w:rPr>
                <w:color w:val="000000"/>
                <w:lang w:val="en-US"/>
              </w:rPr>
            </w:pPr>
            <w:r w:rsidRPr="000749E7">
              <w:rPr>
                <w:color w:val="000000"/>
                <w:lang w:val="en-US"/>
              </w:rPr>
              <w:t>Forty-six vegetation types, including combinations of open rainforests, seasonal forests, pioneer formations, savannas, steppe savannas, ecotones, and others.</w:t>
            </w:r>
          </w:p>
        </w:tc>
        <w:tc>
          <w:tcPr>
            <w:tcW w:w="929" w:type="dxa"/>
            <w:noWrap/>
            <w:vAlign w:val="center"/>
            <w:hideMark/>
          </w:tcPr>
          <w:p w14:paraId="0667D34A"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560" w:type="dxa"/>
            <w:noWrap/>
            <w:vAlign w:val="center"/>
            <w:hideMark/>
          </w:tcPr>
          <w:p w14:paraId="582175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2019</w:t>
            </w:r>
          </w:p>
        </w:tc>
        <w:tc>
          <w:tcPr>
            <w:tcW w:w="1262" w:type="dxa"/>
            <w:noWrap/>
            <w:vAlign w:val="center"/>
            <w:hideMark/>
          </w:tcPr>
          <w:p w14:paraId="16B60035" w14:textId="77777777" w:rsidR="006D7D76" w:rsidRPr="000749E7" w:rsidRDefault="006D7D76" w:rsidP="00D6689C">
            <w:pPr>
              <w:adjustRightInd w:val="0"/>
              <w:snapToGrid w:val="0"/>
              <w:spacing w:line="480" w:lineRule="auto"/>
              <w:rPr>
                <w:color w:val="000000"/>
                <w:lang w:val="en-US"/>
              </w:rPr>
            </w:pPr>
            <w:r w:rsidRPr="000749E7">
              <w:rPr>
                <w:color w:val="000000"/>
                <w:lang w:val="en-US"/>
              </w:rPr>
              <w:t>100 m</w:t>
            </w:r>
          </w:p>
        </w:tc>
        <w:tc>
          <w:tcPr>
            <w:tcW w:w="1816" w:type="dxa"/>
            <w:noWrap/>
            <w:vAlign w:val="center"/>
            <w:hideMark/>
          </w:tcPr>
          <w:p w14:paraId="5F32B570"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AuthorYear="1"&gt;&lt;Author&gt;IBGE&lt;/Author&gt;&lt;Year&gt;2018&lt;/Year&gt;&lt;RecNum&gt;121&lt;/RecNum&gt;&lt;DisplayText&gt;IBGE (2018)&lt;/DisplayText&gt;&lt;record&gt;&lt;rec-number&gt;121&lt;/rec-number&gt;&lt;foreign-keys&gt;&lt;key app="EN" db-id="pax0zszv0eftrje505jpp0wjswtawaawwzrp" timestamp="1670952476"&gt;121&lt;/key&gt;&lt;/foreign-keys&gt;&lt;ref-type name="Report"&gt;27&lt;/ref-type&gt;&lt;contributors&gt;&lt;authors&gt;&lt;author&gt;IBGE, Instituto Brasileiro de Geografia e Estatística&lt;/author&gt;&lt;/authors&gt;&lt;/contributors&gt;&lt;titles&gt;&lt;title&gt;Mapeamento de recursos naturais do Brasil: Escala 1:250.000&lt;/title&gt;&lt;/titles&gt;&lt;pages&gt;8-8&lt;/pages&gt;&lt;dates&gt;&lt;year&gt;2018&lt;/year&gt;&lt;/dates&gt;&lt;pub-location&gt;Rio de Janeiro&lt;/pub-location&gt;&lt;urls&gt;&lt;/urls&gt;&lt;/record&gt;&lt;/Cite&gt;&lt;/EndNote&gt;</w:instrText>
            </w:r>
            <w:r>
              <w:rPr>
                <w:color w:val="000000"/>
                <w:lang w:val="en-US"/>
              </w:rPr>
              <w:fldChar w:fldCharType="separate"/>
            </w:r>
            <w:r>
              <w:rPr>
                <w:noProof/>
                <w:color w:val="000000"/>
                <w:lang w:val="en-US"/>
              </w:rPr>
              <w:t>IBGE (2018)</w:t>
            </w:r>
            <w:r>
              <w:rPr>
                <w:color w:val="000000"/>
                <w:lang w:val="en-US"/>
              </w:rPr>
              <w:fldChar w:fldCharType="end"/>
            </w:r>
          </w:p>
        </w:tc>
      </w:tr>
      <w:tr w:rsidR="006D7D76" w:rsidRPr="006B3950" w14:paraId="3EB43A47" w14:textId="77777777" w:rsidTr="00D6689C">
        <w:trPr>
          <w:trHeight w:val="320"/>
          <w:jc w:val="center"/>
        </w:trPr>
        <w:tc>
          <w:tcPr>
            <w:tcW w:w="1701" w:type="dxa"/>
            <w:vMerge w:val="restart"/>
            <w:noWrap/>
            <w:vAlign w:val="center"/>
            <w:hideMark/>
          </w:tcPr>
          <w:p w14:paraId="16113052" w14:textId="77777777" w:rsidR="006D7D76" w:rsidRPr="000749E7" w:rsidRDefault="006D7D76" w:rsidP="00D6689C">
            <w:pPr>
              <w:adjustRightInd w:val="0"/>
              <w:snapToGrid w:val="0"/>
              <w:spacing w:line="480" w:lineRule="auto"/>
              <w:rPr>
                <w:color w:val="000000"/>
                <w:lang w:val="en-US"/>
              </w:rPr>
            </w:pPr>
            <w:r w:rsidRPr="000749E7">
              <w:rPr>
                <w:color w:val="000000"/>
                <w:lang w:val="en-US"/>
              </w:rPr>
              <w:t>Terrain</w:t>
            </w:r>
          </w:p>
        </w:tc>
        <w:tc>
          <w:tcPr>
            <w:tcW w:w="1560" w:type="dxa"/>
            <w:noWrap/>
            <w:vAlign w:val="center"/>
            <w:hideMark/>
          </w:tcPr>
          <w:p w14:paraId="2C776879" w14:textId="77777777" w:rsidR="006D7D76" w:rsidRPr="000749E7" w:rsidRDefault="006D7D76" w:rsidP="00D6689C">
            <w:pPr>
              <w:adjustRightInd w:val="0"/>
              <w:snapToGrid w:val="0"/>
              <w:spacing w:line="480" w:lineRule="auto"/>
              <w:rPr>
                <w:color w:val="000000"/>
                <w:lang w:val="en-US"/>
              </w:rPr>
            </w:pPr>
            <w:r w:rsidRPr="000749E7">
              <w:rPr>
                <w:color w:val="000000"/>
                <w:lang w:val="en-US"/>
              </w:rPr>
              <w:t>Elevation</w:t>
            </w:r>
          </w:p>
        </w:tc>
        <w:tc>
          <w:tcPr>
            <w:tcW w:w="4394" w:type="dxa"/>
            <w:vAlign w:val="center"/>
            <w:hideMark/>
          </w:tcPr>
          <w:p w14:paraId="7BEFA3A6" w14:textId="77777777" w:rsidR="006D7D76" w:rsidRPr="000749E7" w:rsidRDefault="006D7D76" w:rsidP="00D6689C">
            <w:pPr>
              <w:adjustRightInd w:val="0"/>
              <w:snapToGrid w:val="0"/>
              <w:spacing w:line="480" w:lineRule="auto"/>
              <w:rPr>
                <w:color w:val="000000"/>
                <w:lang w:val="en-US"/>
              </w:rPr>
            </w:pPr>
            <w:r w:rsidRPr="000749E7">
              <w:rPr>
                <w:color w:val="000000"/>
                <w:lang w:val="en-US"/>
              </w:rPr>
              <w:t>ASTER global digital elevation model</w:t>
            </w:r>
          </w:p>
        </w:tc>
        <w:tc>
          <w:tcPr>
            <w:tcW w:w="929" w:type="dxa"/>
            <w:noWrap/>
            <w:vAlign w:val="center"/>
            <w:hideMark/>
          </w:tcPr>
          <w:p w14:paraId="33661243"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6DD77106"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2011</w:t>
            </w:r>
          </w:p>
        </w:tc>
        <w:tc>
          <w:tcPr>
            <w:tcW w:w="1262" w:type="dxa"/>
            <w:noWrap/>
            <w:vAlign w:val="center"/>
            <w:hideMark/>
          </w:tcPr>
          <w:p w14:paraId="7D17E777" w14:textId="77777777" w:rsidR="006D7D76" w:rsidRPr="000749E7" w:rsidRDefault="006D7D76" w:rsidP="00D6689C">
            <w:pPr>
              <w:adjustRightInd w:val="0"/>
              <w:snapToGrid w:val="0"/>
              <w:spacing w:line="480" w:lineRule="auto"/>
              <w:rPr>
                <w:color w:val="000000"/>
                <w:lang w:val="en-US"/>
              </w:rPr>
            </w:pPr>
            <w:r w:rsidRPr="000749E7">
              <w:rPr>
                <w:color w:val="000000"/>
                <w:lang w:val="en-US"/>
              </w:rPr>
              <w:t>30 m</w:t>
            </w:r>
          </w:p>
        </w:tc>
        <w:tc>
          <w:tcPr>
            <w:tcW w:w="1816" w:type="dxa"/>
            <w:noWrap/>
            <w:vAlign w:val="center"/>
            <w:hideMark/>
          </w:tcPr>
          <w:p w14:paraId="1917BCD7" w14:textId="77777777" w:rsidR="006D7D76" w:rsidRPr="006B3950" w:rsidRDefault="006D7D76" w:rsidP="00D6689C">
            <w:pPr>
              <w:adjustRightInd w:val="0"/>
              <w:snapToGrid w:val="0"/>
              <w:spacing w:line="480" w:lineRule="auto"/>
              <w:rPr>
                <w:lang w:val="pt-BR"/>
              </w:rPr>
            </w:pPr>
            <w:r w:rsidRPr="006B3950">
              <w:rPr>
                <w:lang w:val="en-US"/>
              </w:rPr>
              <w:fldChar w:fldCharType="begin"/>
            </w:r>
            <w:r w:rsidRPr="006B3950">
              <w:rPr>
                <w:lang w:val="en-US"/>
              </w:rPr>
              <w:instrText xml:space="preserve"> ADDIN EN.CITE &lt;EndNote&gt;&lt;Cite AuthorYear="1"&gt;&lt;Author&gt;NASA&lt;/Author&gt;&lt;Year&gt;2011&lt;/Year&gt;&lt;RecNum&gt;120&lt;/RecNum&gt;&lt;DisplayText&gt;NASA and METI (2011)&lt;/DisplayText&gt;&lt;record&gt;&lt;rec-number&gt;120&lt;/rec-number&gt;&lt;foreign-keys&gt;&lt;key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data&lt;/title&gt;&lt;/titles&gt;&lt;dates&gt;&lt;year&gt;2011&lt;/year&gt;&lt;/dates&gt;&lt;urls&gt;&lt;related-urls&gt;&lt;url&gt;https://earthexplorer.usgs.gov/&lt;/url&gt;&lt;/related-urls&gt;&lt;/urls&gt;&lt;/record&gt;&lt;/Cite&gt;&lt;Cite AuthorYear="1"&gt;&lt;Author&gt;NASA&lt;/Author&gt;&lt;Year&gt;2011&lt;/Year&gt;&lt;RecNum&gt;120&lt;/RecNum&gt;&lt;record&gt;&lt;rec-number&gt;120&lt;/rec-number&gt;&lt;foreign-keys&gt;&lt;key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data&lt;/title&gt;&lt;/titles&gt;&lt;dates&gt;&lt;year&gt;2011&lt;/year&gt;&lt;/dates&gt;&lt;urls&gt;&lt;related-urls&gt;&lt;url&gt;https://earthexplorer.usgs.gov/&lt;/url&gt;&lt;/related-urls&gt;&lt;/urls&gt;&lt;/record&gt;&lt;/Cite&gt;&lt;/EndNote&gt;</w:instrText>
            </w:r>
            <w:r w:rsidRPr="006B3950">
              <w:rPr>
                <w:lang w:val="en-US"/>
              </w:rPr>
              <w:fldChar w:fldCharType="separate"/>
            </w:r>
            <w:r w:rsidRPr="006B3950">
              <w:rPr>
                <w:noProof/>
                <w:lang w:val="pt-BR"/>
              </w:rPr>
              <w:t>NASA and METI (2011)</w:t>
            </w:r>
            <w:r w:rsidRPr="006B3950">
              <w:rPr>
                <w:lang w:val="en-US"/>
              </w:rPr>
              <w:fldChar w:fldCharType="end"/>
            </w:r>
          </w:p>
        </w:tc>
      </w:tr>
      <w:tr w:rsidR="006D7D76" w:rsidRPr="000749E7" w14:paraId="288A0DED" w14:textId="77777777" w:rsidTr="00D6689C">
        <w:trPr>
          <w:trHeight w:val="640"/>
          <w:jc w:val="center"/>
        </w:trPr>
        <w:tc>
          <w:tcPr>
            <w:tcW w:w="1701" w:type="dxa"/>
            <w:vMerge/>
            <w:vAlign w:val="center"/>
            <w:hideMark/>
          </w:tcPr>
          <w:p w14:paraId="232C9C26" w14:textId="77777777" w:rsidR="006D7D76" w:rsidRPr="006B3950" w:rsidRDefault="006D7D76" w:rsidP="00D6689C">
            <w:pPr>
              <w:adjustRightInd w:val="0"/>
              <w:snapToGrid w:val="0"/>
              <w:spacing w:line="480" w:lineRule="auto"/>
              <w:rPr>
                <w:color w:val="000000"/>
                <w:lang w:val="pt-BR"/>
              </w:rPr>
            </w:pPr>
          </w:p>
        </w:tc>
        <w:tc>
          <w:tcPr>
            <w:tcW w:w="1560" w:type="dxa"/>
            <w:noWrap/>
            <w:vAlign w:val="center"/>
            <w:hideMark/>
          </w:tcPr>
          <w:p w14:paraId="016F15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Slope</w:t>
            </w:r>
          </w:p>
        </w:tc>
        <w:tc>
          <w:tcPr>
            <w:tcW w:w="4394" w:type="dxa"/>
            <w:vAlign w:val="center"/>
            <w:hideMark/>
          </w:tcPr>
          <w:p w14:paraId="1DA900D0" w14:textId="77777777" w:rsidR="006D7D76" w:rsidRPr="000749E7" w:rsidRDefault="006D7D76" w:rsidP="00D6689C">
            <w:pPr>
              <w:adjustRightInd w:val="0"/>
              <w:snapToGrid w:val="0"/>
              <w:spacing w:line="480" w:lineRule="auto"/>
              <w:rPr>
                <w:color w:val="000000"/>
                <w:lang w:val="en-US"/>
              </w:rPr>
            </w:pPr>
            <w:r w:rsidRPr="000749E7">
              <w:rPr>
                <w:color w:val="000000"/>
                <w:lang w:val="en-US"/>
              </w:rPr>
              <w:t>ASTER global terrain slope derived from the digital elevation model</w:t>
            </w:r>
          </w:p>
        </w:tc>
        <w:tc>
          <w:tcPr>
            <w:tcW w:w="929" w:type="dxa"/>
            <w:noWrap/>
            <w:vAlign w:val="center"/>
            <w:hideMark/>
          </w:tcPr>
          <w:p w14:paraId="7790EBA0" w14:textId="77777777" w:rsidR="006D7D76" w:rsidRPr="000749E7" w:rsidRDefault="006D7D76" w:rsidP="00D6689C">
            <w:pPr>
              <w:adjustRightInd w:val="0"/>
              <w:snapToGrid w:val="0"/>
              <w:spacing w:line="480" w:lineRule="auto"/>
              <w:rPr>
                <w:color w:val="000000"/>
                <w:lang w:val="en-US"/>
              </w:rPr>
            </w:pPr>
            <w:r w:rsidRPr="000749E7">
              <w:rPr>
                <w:color w:val="000000"/>
                <w:lang w:val="en-US"/>
              </w:rPr>
              <w:t>degrees</w:t>
            </w:r>
          </w:p>
        </w:tc>
        <w:tc>
          <w:tcPr>
            <w:tcW w:w="1560" w:type="dxa"/>
            <w:noWrap/>
            <w:vAlign w:val="center"/>
            <w:hideMark/>
          </w:tcPr>
          <w:p w14:paraId="0DAC4A15"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2011</w:t>
            </w:r>
          </w:p>
        </w:tc>
        <w:tc>
          <w:tcPr>
            <w:tcW w:w="1262" w:type="dxa"/>
            <w:noWrap/>
            <w:vAlign w:val="center"/>
            <w:hideMark/>
          </w:tcPr>
          <w:p w14:paraId="25A2C78B" w14:textId="77777777" w:rsidR="006D7D76" w:rsidRPr="000749E7" w:rsidRDefault="006D7D76" w:rsidP="00D6689C">
            <w:pPr>
              <w:adjustRightInd w:val="0"/>
              <w:snapToGrid w:val="0"/>
              <w:spacing w:line="480" w:lineRule="auto"/>
              <w:rPr>
                <w:color w:val="000000"/>
                <w:lang w:val="en-US"/>
              </w:rPr>
            </w:pPr>
            <w:r w:rsidRPr="000749E7">
              <w:rPr>
                <w:color w:val="000000"/>
                <w:lang w:val="en-US"/>
              </w:rPr>
              <w:t>30 m</w:t>
            </w:r>
          </w:p>
        </w:tc>
        <w:tc>
          <w:tcPr>
            <w:tcW w:w="1816" w:type="dxa"/>
            <w:noWrap/>
            <w:vAlign w:val="center"/>
            <w:hideMark/>
          </w:tcPr>
          <w:p w14:paraId="70CDF702" w14:textId="77777777" w:rsidR="006D7D76" w:rsidRPr="006B3950" w:rsidRDefault="006D7D76" w:rsidP="00D6689C">
            <w:pPr>
              <w:adjustRightInd w:val="0"/>
              <w:snapToGrid w:val="0"/>
              <w:spacing w:line="480" w:lineRule="auto"/>
              <w:rPr>
                <w:lang w:val="en-US"/>
              </w:rPr>
            </w:pPr>
            <w:r w:rsidRPr="006B3950">
              <w:rPr>
                <w:lang w:val="en-US"/>
              </w:rPr>
              <w:fldChar w:fldCharType="begin"/>
            </w:r>
            <w:r w:rsidRPr="006B3950">
              <w:rPr>
                <w:lang w:val="en-US"/>
              </w:rPr>
              <w:instrText xml:space="preserve"> ADDIN EN.CITE &lt;EndNote&gt;&lt;Cite AuthorYear="1"&gt;&lt;Author&gt;NASA&lt;/Author&gt;&lt;Year&gt;2011&lt;/Year&gt;&lt;RecNum&gt;120&lt;/RecNum&gt;&lt;DisplayText&gt;NASA and METI (2011)&lt;/DisplayText&gt;&lt;record&gt;&lt;rec-number&gt;120&lt;/rec-number&gt;&lt;foreign-keys&gt;&lt;key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data&lt;/title&gt;&lt;/titles&gt;&lt;dates&gt;&lt;year&gt;2011&lt;/year&gt;&lt;/dates&gt;&lt;urls&gt;&lt;related-urls&gt;&lt;url&gt;https://earthexplorer.usgs.gov/&lt;/url&gt;&lt;/related-urls&gt;&lt;/urls&gt;&lt;/record&gt;&lt;/Cite&gt;&lt;Cite AuthorYear="1"&gt;&lt;Author&gt;NASA&lt;/Author&gt;&lt;Year&gt;2011&lt;/Year&gt;&lt;RecNum&gt;120&lt;/RecNum&gt;&lt;record&gt;&lt;rec-number&gt;120&lt;/rec-number&gt;&lt;foreign-keys&gt;&lt;key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data&lt;/title&gt;&lt;/titles&gt;&lt;dates&gt;&lt;year&gt;2011&lt;/year&gt;&lt;/dates&gt;&lt;urls&gt;&lt;related-urls&gt;&lt;url&gt;https://earthexplorer.usgs.gov/&lt;/url&gt;&lt;/related-urls&gt;&lt;/urls&gt;&lt;/record&gt;&lt;/Cite&gt;&lt;/EndNote&gt;</w:instrText>
            </w:r>
            <w:r w:rsidRPr="006B3950">
              <w:rPr>
                <w:lang w:val="en-US"/>
              </w:rPr>
              <w:fldChar w:fldCharType="separate"/>
            </w:r>
            <w:r w:rsidRPr="006B3950">
              <w:rPr>
                <w:noProof/>
                <w:lang w:val="pt-BR"/>
              </w:rPr>
              <w:t>NASA and METI (2011)</w:t>
            </w:r>
            <w:r w:rsidRPr="006B3950">
              <w:rPr>
                <w:lang w:val="en-US"/>
              </w:rPr>
              <w:fldChar w:fldCharType="end"/>
            </w:r>
          </w:p>
        </w:tc>
      </w:tr>
      <w:tr w:rsidR="006D7D76" w:rsidRPr="000749E7" w14:paraId="5F600DDA" w14:textId="77777777" w:rsidTr="00D6689C">
        <w:trPr>
          <w:trHeight w:val="960"/>
          <w:jc w:val="center"/>
        </w:trPr>
        <w:tc>
          <w:tcPr>
            <w:tcW w:w="1701" w:type="dxa"/>
            <w:vMerge w:val="restart"/>
            <w:noWrap/>
            <w:vAlign w:val="center"/>
            <w:hideMark/>
          </w:tcPr>
          <w:p w14:paraId="5344FCDC" w14:textId="77777777" w:rsidR="006D7D76" w:rsidRPr="000749E7" w:rsidRDefault="006D7D76" w:rsidP="00D6689C">
            <w:pPr>
              <w:adjustRightInd w:val="0"/>
              <w:snapToGrid w:val="0"/>
              <w:spacing w:line="480" w:lineRule="auto"/>
              <w:rPr>
                <w:color w:val="000000"/>
                <w:lang w:val="en-US"/>
              </w:rPr>
            </w:pPr>
            <w:r w:rsidRPr="000749E7">
              <w:rPr>
                <w:color w:val="000000"/>
                <w:lang w:val="en-US"/>
              </w:rPr>
              <w:t>Anthropic</w:t>
            </w:r>
          </w:p>
        </w:tc>
        <w:tc>
          <w:tcPr>
            <w:tcW w:w="1560" w:type="dxa"/>
            <w:noWrap/>
            <w:vAlign w:val="center"/>
            <w:hideMark/>
          </w:tcPr>
          <w:p w14:paraId="18A573DE" w14:textId="77777777" w:rsidR="006D7D76" w:rsidRPr="000749E7" w:rsidRDefault="006D7D76" w:rsidP="00D6689C">
            <w:pPr>
              <w:adjustRightInd w:val="0"/>
              <w:snapToGrid w:val="0"/>
              <w:spacing w:line="480" w:lineRule="auto"/>
              <w:rPr>
                <w:color w:val="000000"/>
                <w:lang w:val="en-US"/>
              </w:rPr>
            </w:pPr>
            <w:r w:rsidRPr="000749E7">
              <w:rPr>
                <w:color w:val="000000"/>
                <w:lang w:val="en-US"/>
              </w:rPr>
              <w:t>Land use</w:t>
            </w:r>
          </w:p>
        </w:tc>
        <w:tc>
          <w:tcPr>
            <w:tcW w:w="4394" w:type="dxa"/>
            <w:vAlign w:val="center"/>
            <w:hideMark/>
          </w:tcPr>
          <w:p w14:paraId="1E5ACD5D" w14:textId="77777777" w:rsidR="006D7D76" w:rsidRPr="000749E7" w:rsidRDefault="006D7D76" w:rsidP="00D6689C">
            <w:pPr>
              <w:adjustRightInd w:val="0"/>
              <w:snapToGrid w:val="0"/>
              <w:spacing w:line="480" w:lineRule="auto"/>
              <w:rPr>
                <w:color w:val="000000"/>
                <w:lang w:val="en-US"/>
              </w:rPr>
            </w:pPr>
            <w:r w:rsidRPr="000749E7">
              <w:rPr>
                <w:color w:val="000000"/>
                <w:lang w:val="en-US"/>
              </w:rPr>
              <w:t>Annual class of land use in pixel (forest, savannah, grassland, forest plantation, Pasture, sugar cane, soybean, other crops, urban area, and water)</w:t>
            </w:r>
          </w:p>
        </w:tc>
        <w:tc>
          <w:tcPr>
            <w:tcW w:w="929" w:type="dxa"/>
            <w:noWrap/>
            <w:vAlign w:val="center"/>
            <w:hideMark/>
          </w:tcPr>
          <w:p w14:paraId="1C8527BA"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560" w:type="dxa"/>
            <w:noWrap/>
            <w:vAlign w:val="center"/>
            <w:hideMark/>
          </w:tcPr>
          <w:p w14:paraId="3B51D43A"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1985-2020</w:t>
            </w:r>
          </w:p>
        </w:tc>
        <w:tc>
          <w:tcPr>
            <w:tcW w:w="1262" w:type="dxa"/>
            <w:noWrap/>
            <w:vAlign w:val="center"/>
            <w:hideMark/>
          </w:tcPr>
          <w:p w14:paraId="4D477DC0" w14:textId="77777777" w:rsidR="006D7D76" w:rsidRPr="000749E7" w:rsidRDefault="006D7D76" w:rsidP="00D6689C">
            <w:pPr>
              <w:adjustRightInd w:val="0"/>
              <w:snapToGrid w:val="0"/>
              <w:spacing w:line="480" w:lineRule="auto"/>
              <w:rPr>
                <w:color w:val="000000"/>
                <w:lang w:val="en-US"/>
              </w:rPr>
            </w:pPr>
            <w:r w:rsidRPr="000749E7">
              <w:rPr>
                <w:color w:val="000000"/>
                <w:lang w:val="en-US"/>
              </w:rPr>
              <w:t>30 m</w:t>
            </w:r>
          </w:p>
        </w:tc>
        <w:tc>
          <w:tcPr>
            <w:tcW w:w="1816" w:type="dxa"/>
            <w:noWrap/>
            <w:vAlign w:val="center"/>
            <w:hideMark/>
          </w:tcPr>
          <w:p w14:paraId="4AB00FEF" w14:textId="77777777" w:rsidR="006D7D76" w:rsidRPr="000749E7" w:rsidRDefault="006D7D76" w:rsidP="00D6689C">
            <w:pPr>
              <w:adjustRightInd w:val="0"/>
              <w:snapToGrid w:val="0"/>
              <w:spacing w:line="480" w:lineRule="auto"/>
              <w:rPr>
                <w:color w:val="000000"/>
                <w:lang w:val="en-US"/>
              </w:rPr>
            </w:pPr>
            <w:r w:rsidRPr="000749E7">
              <w:rPr>
                <w:color w:val="000000"/>
                <w:lang w:val="en-US"/>
              </w:rPr>
              <w:t>https://mapbiomas.org/</w:t>
            </w:r>
          </w:p>
        </w:tc>
      </w:tr>
      <w:tr w:rsidR="006D7D76" w:rsidRPr="000749E7" w14:paraId="4A3C0B7B" w14:textId="77777777" w:rsidTr="00D6689C">
        <w:trPr>
          <w:trHeight w:val="320"/>
          <w:jc w:val="center"/>
        </w:trPr>
        <w:tc>
          <w:tcPr>
            <w:tcW w:w="1701" w:type="dxa"/>
            <w:vMerge/>
            <w:tcBorders>
              <w:bottom w:val="single" w:sz="4" w:space="0" w:color="auto"/>
            </w:tcBorders>
            <w:vAlign w:val="center"/>
            <w:hideMark/>
          </w:tcPr>
          <w:p w14:paraId="03004FB9" w14:textId="77777777" w:rsidR="006D7D76" w:rsidRPr="000749E7" w:rsidRDefault="006D7D76" w:rsidP="00D6689C">
            <w:pPr>
              <w:adjustRightInd w:val="0"/>
              <w:snapToGrid w:val="0"/>
              <w:spacing w:line="480" w:lineRule="auto"/>
              <w:rPr>
                <w:color w:val="000000"/>
                <w:lang w:val="en-US"/>
              </w:rPr>
            </w:pPr>
          </w:p>
        </w:tc>
        <w:tc>
          <w:tcPr>
            <w:tcW w:w="1560" w:type="dxa"/>
            <w:tcBorders>
              <w:bottom w:val="single" w:sz="4" w:space="0" w:color="auto"/>
            </w:tcBorders>
            <w:noWrap/>
            <w:vAlign w:val="center"/>
            <w:hideMark/>
          </w:tcPr>
          <w:p w14:paraId="3DFF126C" w14:textId="77777777" w:rsidR="006D7D76" w:rsidRPr="000749E7" w:rsidRDefault="006D7D76" w:rsidP="00D6689C">
            <w:pPr>
              <w:adjustRightInd w:val="0"/>
              <w:snapToGrid w:val="0"/>
              <w:spacing w:line="480" w:lineRule="auto"/>
              <w:rPr>
                <w:color w:val="000000"/>
                <w:lang w:val="en-US"/>
              </w:rPr>
            </w:pPr>
            <w:r w:rsidRPr="000749E7">
              <w:rPr>
                <w:color w:val="000000"/>
                <w:lang w:val="en-US"/>
              </w:rPr>
              <w:t>Distance to roads</w:t>
            </w:r>
          </w:p>
        </w:tc>
        <w:tc>
          <w:tcPr>
            <w:tcW w:w="4394" w:type="dxa"/>
            <w:tcBorders>
              <w:bottom w:val="single" w:sz="4" w:space="0" w:color="auto"/>
            </w:tcBorders>
            <w:vAlign w:val="center"/>
            <w:hideMark/>
          </w:tcPr>
          <w:p w14:paraId="7D728523" w14:textId="77777777" w:rsidR="006D7D76" w:rsidRPr="000749E7" w:rsidRDefault="006D7D76" w:rsidP="00D6689C">
            <w:pPr>
              <w:adjustRightInd w:val="0"/>
              <w:snapToGrid w:val="0"/>
              <w:spacing w:line="480" w:lineRule="auto"/>
              <w:rPr>
                <w:color w:val="000000"/>
                <w:lang w:val="en-US"/>
              </w:rPr>
            </w:pPr>
            <w:r w:rsidRPr="000749E7">
              <w:rPr>
                <w:color w:val="000000"/>
                <w:lang w:val="en-US"/>
              </w:rPr>
              <w:t>Euclidian distance from roads</w:t>
            </w:r>
          </w:p>
        </w:tc>
        <w:tc>
          <w:tcPr>
            <w:tcW w:w="929" w:type="dxa"/>
            <w:tcBorders>
              <w:bottom w:val="single" w:sz="4" w:space="0" w:color="auto"/>
            </w:tcBorders>
            <w:noWrap/>
            <w:vAlign w:val="center"/>
            <w:hideMark/>
          </w:tcPr>
          <w:p w14:paraId="2D6A80A2"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560" w:type="dxa"/>
            <w:tcBorders>
              <w:bottom w:val="single" w:sz="4" w:space="0" w:color="auto"/>
            </w:tcBorders>
            <w:noWrap/>
            <w:vAlign w:val="center"/>
            <w:hideMark/>
          </w:tcPr>
          <w:p w14:paraId="69D59680"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2019</w:t>
            </w:r>
          </w:p>
        </w:tc>
        <w:tc>
          <w:tcPr>
            <w:tcW w:w="1262" w:type="dxa"/>
            <w:tcBorders>
              <w:bottom w:val="single" w:sz="4" w:space="0" w:color="auto"/>
            </w:tcBorders>
            <w:noWrap/>
            <w:vAlign w:val="center"/>
            <w:hideMark/>
          </w:tcPr>
          <w:p w14:paraId="41FB8990"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816" w:type="dxa"/>
            <w:tcBorders>
              <w:bottom w:val="single" w:sz="4" w:space="0" w:color="auto"/>
            </w:tcBorders>
            <w:noWrap/>
            <w:vAlign w:val="center"/>
            <w:hideMark/>
          </w:tcPr>
          <w:p w14:paraId="69D923B7" w14:textId="77777777" w:rsidR="006D7D76" w:rsidRPr="000749E7" w:rsidRDefault="006D7D76" w:rsidP="00D6689C">
            <w:pPr>
              <w:adjustRightInd w:val="0"/>
              <w:snapToGrid w:val="0"/>
              <w:spacing w:line="480" w:lineRule="auto"/>
              <w:rPr>
                <w:color w:val="000000"/>
                <w:lang w:val="en-US"/>
              </w:rPr>
            </w:pPr>
            <w:r w:rsidRPr="000749E7">
              <w:rPr>
                <w:color w:val="000000"/>
                <w:lang w:val="en-US"/>
              </w:rPr>
              <w:t>IBGE (201</w:t>
            </w:r>
            <w:r>
              <w:rPr>
                <w:color w:val="000000"/>
                <w:lang w:val="en-US"/>
              </w:rPr>
              <w:t>8</w:t>
            </w:r>
            <w:r w:rsidRPr="000749E7">
              <w:rPr>
                <w:color w:val="000000"/>
                <w:lang w:val="en-US"/>
              </w:rPr>
              <w:t>)</w:t>
            </w:r>
          </w:p>
        </w:tc>
      </w:tr>
    </w:tbl>
    <w:p w14:paraId="7C914C04" w14:textId="0BD04155" w:rsidR="008F2E64" w:rsidRPr="000749E7" w:rsidRDefault="008F2E64" w:rsidP="006D7D76">
      <w:pPr>
        <w:adjustRightInd w:val="0"/>
        <w:snapToGrid w:val="0"/>
        <w:spacing w:line="480" w:lineRule="auto"/>
        <w:rPr>
          <w:lang w:val="en-US"/>
        </w:rPr>
        <w:sectPr w:rsidR="008F2E64" w:rsidRPr="000749E7" w:rsidSect="00A42C64">
          <w:headerReference w:type="default" r:id="rId6"/>
          <w:footerReference w:type="even" r:id="rId7"/>
          <w:footerReference w:type="default" r:id="rId8"/>
          <w:pgSz w:w="16840" w:h="11907" w:orient="landscape"/>
          <w:pgMar w:top="1418" w:right="1418" w:bottom="1418" w:left="1418" w:header="709" w:footer="709" w:gutter="0"/>
          <w:lnNumType w:countBy="1" w:restart="continuous"/>
          <w:cols w:space="720"/>
          <w:docGrid w:linePitch="326"/>
        </w:sectPr>
      </w:pPr>
    </w:p>
    <w:p w14:paraId="4EEBBA1E" w14:textId="77777777" w:rsidR="00316BFF" w:rsidRDefault="00316BFF" w:rsidP="002217BF"/>
    <w:sectPr w:rsidR="00316BFF" w:rsidSect="007D5D98">
      <w:pgSz w:w="11900" w:h="16840"/>
      <w:pgMar w:top="1701" w:right="1134" w:bottom="1134" w:left="1134" w:header="709" w:footer="709" w:gutter="0"/>
      <w:cols w:space="708"/>
      <w:docGrid w:linePitch="299"/>
      <w:sectPrChange w:id="0" w:author="Heitor Sousa" w:date="2022-09-19T11:21:00Z">
        <w:sectPr w:rsidR="00316BFF" w:rsidSect="007D5D98">
          <w:pgSz w:w="11906" w:h="16838"/>
          <w:pgMar w:top="1440" w:right="1440" w:bottom="1440" w:left="1440" w:header="708" w:footer="708" w:gutter="0"/>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DC78" w14:textId="77777777" w:rsidR="00E4118E" w:rsidRDefault="00E4118E">
      <w:r>
        <w:separator/>
      </w:r>
    </w:p>
  </w:endnote>
  <w:endnote w:type="continuationSeparator" w:id="0">
    <w:p w14:paraId="35150652" w14:textId="77777777" w:rsidR="00E4118E" w:rsidRDefault="00E4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DD33" w14:textId="43C074FF" w:rsidR="002E5F99" w:rsidRDefault="00000000" w:rsidP="006932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D7D76">
      <w:rPr>
        <w:rStyle w:val="PageNumber"/>
        <w:noProof/>
      </w:rPr>
      <w:t>2</w:t>
    </w:r>
    <w:r>
      <w:rPr>
        <w:rStyle w:val="PageNumber"/>
      </w:rPr>
      <w:fldChar w:fldCharType="end"/>
    </w:r>
  </w:p>
  <w:p w14:paraId="74B8CAE3" w14:textId="77777777" w:rsidR="002E5F99" w:rsidRDefault="00000000" w:rsidP="00476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EC9E" w14:textId="77777777" w:rsidR="002E5F99" w:rsidRDefault="00000000" w:rsidP="006932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F0A29E9" w14:textId="77777777" w:rsidR="002E5F99" w:rsidRDefault="00000000" w:rsidP="004765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E934" w14:textId="77777777" w:rsidR="00E4118E" w:rsidRDefault="00E4118E">
      <w:r>
        <w:separator/>
      </w:r>
    </w:p>
  </w:footnote>
  <w:footnote w:type="continuationSeparator" w:id="0">
    <w:p w14:paraId="045DCA64" w14:textId="77777777" w:rsidR="00E4118E" w:rsidRDefault="00E41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997" w14:textId="77777777" w:rsidR="002E5F99" w:rsidRDefault="00000000">
    <w:pPr>
      <w:tabs>
        <w:tab w:val="center" w:pos="4252"/>
        <w:tab w:val="right" w:pos="8504"/>
      </w:tabs>
      <w:jc w:val="right"/>
      <w:rPr>
        <w:color w:val="000000"/>
        <w:sz w:val="20"/>
        <w:szCs w:val="2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tor Sousa">
    <w15:presenceInfo w15:providerId="AD" w15:userId="S::heitor.sousa@nklacto.onmicrosoft.com::5272ca51-463a-487c-a4d3-0567c3fcc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mirrorMargins/>
  <w:proofState w:spelling="clean" w:grammar="clean"/>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76"/>
    <w:rsid w:val="000357E5"/>
    <w:rsid w:val="000361A8"/>
    <w:rsid w:val="00042EA3"/>
    <w:rsid w:val="00051C25"/>
    <w:rsid w:val="000570BD"/>
    <w:rsid w:val="00065A87"/>
    <w:rsid w:val="000804C8"/>
    <w:rsid w:val="00087EFD"/>
    <w:rsid w:val="00095B35"/>
    <w:rsid w:val="000A6990"/>
    <w:rsid w:val="000B5299"/>
    <w:rsid w:val="000C2DAB"/>
    <w:rsid w:val="000D6C87"/>
    <w:rsid w:val="000E372A"/>
    <w:rsid w:val="000E5BC1"/>
    <w:rsid w:val="000E650D"/>
    <w:rsid w:val="000F35EA"/>
    <w:rsid w:val="00107616"/>
    <w:rsid w:val="001127D3"/>
    <w:rsid w:val="00134BA3"/>
    <w:rsid w:val="00137981"/>
    <w:rsid w:val="001431D3"/>
    <w:rsid w:val="00146EE0"/>
    <w:rsid w:val="00153F79"/>
    <w:rsid w:val="0015670F"/>
    <w:rsid w:val="0016547F"/>
    <w:rsid w:val="00190A62"/>
    <w:rsid w:val="001A6DB2"/>
    <w:rsid w:val="001D330B"/>
    <w:rsid w:val="001D7792"/>
    <w:rsid w:val="001E328C"/>
    <w:rsid w:val="001E75CC"/>
    <w:rsid w:val="001F45AA"/>
    <w:rsid w:val="002217BF"/>
    <w:rsid w:val="00224393"/>
    <w:rsid w:val="002269C5"/>
    <w:rsid w:val="00232D1A"/>
    <w:rsid w:val="00233FF9"/>
    <w:rsid w:val="00235649"/>
    <w:rsid w:val="00261284"/>
    <w:rsid w:val="00270D89"/>
    <w:rsid w:val="002861C9"/>
    <w:rsid w:val="0029585F"/>
    <w:rsid w:val="002B7D9C"/>
    <w:rsid w:val="002C2040"/>
    <w:rsid w:val="002C559C"/>
    <w:rsid w:val="002F2F04"/>
    <w:rsid w:val="003071A7"/>
    <w:rsid w:val="00313420"/>
    <w:rsid w:val="003144A8"/>
    <w:rsid w:val="00316BFF"/>
    <w:rsid w:val="00325C34"/>
    <w:rsid w:val="0033052F"/>
    <w:rsid w:val="003468F6"/>
    <w:rsid w:val="00354107"/>
    <w:rsid w:val="003A1EB7"/>
    <w:rsid w:val="003A2351"/>
    <w:rsid w:val="003A7CAE"/>
    <w:rsid w:val="003B3666"/>
    <w:rsid w:val="003B58BE"/>
    <w:rsid w:val="003D5CE3"/>
    <w:rsid w:val="003E0259"/>
    <w:rsid w:val="00436048"/>
    <w:rsid w:val="004551A5"/>
    <w:rsid w:val="00460B65"/>
    <w:rsid w:val="00476E34"/>
    <w:rsid w:val="004778E3"/>
    <w:rsid w:val="00487C4B"/>
    <w:rsid w:val="004C2987"/>
    <w:rsid w:val="004D3087"/>
    <w:rsid w:val="004E1F0E"/>
    <w:rsid w:val="00500BE7"/>
    <w:rsid w:val="00520DA7"/>
    <w:rsid w:val="00527C71"/>
    <w:rsid w:val="00550B44"/>
    <w:rsid w:val="005609B1"/>
    <w:rsid w:val="0056431F"/>
    <w:rsid w:val="005802AD"/>
    <w:rsid w:val="00580B8F"/>
    <w:rsid w:val="005D0875"/>
    <w:rsid w:val="005E63C0"/>
    <w:rsid w:val="005F670A"/>
    <w:rsid w:val="006039E8"/>
    <w:rsid w:val="00605959"/>
    <w:rsid w:val="006077D1"/>
    <w:rsid w:val="00642CA8"/>
    <w:rsid w:val="00671EA9"/>
    <w:rsid w:val="00680D4A"/>
    <w:rsid w:val="00680E11"/>
    <w:rsid w:val="006925BB"/>
    <w:rsid w:val="006B647F"/>
    <w:rsid w:val="006D6CBF"/>
    <w:rsid w:val="006D7D76"/>
    <w:rsid w:val="006E6CED"/>
    <w:rsid w:val="00700638"/>
    <w:rsid w:val="00713D89"/>
    <w:rsid w:val="0073342B"/>
    <w:rsid w:val="00751599"/>
    <w:rsid w:val="0075493A"/>
    <w:rsid w:val="0075797E"/>
    <w:rsid w:val="00776B93"/>
    <w:rsid w:val="0078124D"/>
    <w:rsid w:val="00786071"/>
    <w:rsid w:val="00786E51"/>
    <w:rsid w:val="007A51A9"/>
    <w:rsid w:val="007B1A0A"/>
    <w:rsid w:val="007B2B98"/>
    <w:rsid w:val="007C2E7F"/>
    <w:rsid w:val="007D2ADE"/>
    <w:rsid w:val="007D5D98"/>
    <w:rsid w:val="007F7328"/>
    <w:rsid w:val="00810BEE"/>
    <w:rsid w:val="00810D22"/>
    <w:rsid w:val="00811CDA"/>
    <w:rsid w:val="00814752"/>
    <w:rsid w:val="00814A5C"/>
    <w:rsid w:val="008348F4"/>
    <w:rsid w:val="008802BA"/>
    <w:rsid w:val="008922C2"/>
    <w:rsid w:val="008A03EB"/>
    <w:rsid w:val="008A513F"/>
    <w:rsid w:val="008B1897"/>
    <w:rsid w:val="008C0FCA"/>
    <w:rsid w:val="008D18F4"/>
    <w:rsid w:val="008E5FAF"/>
    <w:rsid w:val="008F0727"/>
    <w:rsid w:val="008F2E64"/>
    <w:rsid w:val="0091215F"/>
    <w:rsid w:val="0095256F"/>
    <w:rsid w:val="00956A58"/>
    <w:rsid w:val="00960CC7"/>
    <w:rsid w:val="00971AD4"/>
    <w:rsid w:val="00980C27"/>
    <w:rsid w:val="00984CD6"/>
    <w:rsid w:val="009870C0"/>
    <w:rsid w:val="00994AFD"/>
    <w:rsid w:val="009961CA"/>
    <w:rsid w:val="009D47E5"/>
    <w:rsid w:val="00A133F9"/>
    <w:rsid w:val="00A16634"/>
    <w:rsid w:val="00A47BBC"/>
    <w:rsid w:val="00A73B02"/>
    <w:rsid w:val="00A77EBF"/>
    <w:rsid w:val="00A83B9D"/>
    <w:rsid w:val="00A852C0"/>
    <w:rsid w:val="00A8614C"/>
    <w:rsid w:val="00AA0182"/>
    <w:rsid w:val="00AA49A5"/>
    <w:rsid w:val="00AA63DF"/>
    <w:rsid w:val="00AA6722"/>
    <w:rsid w:val="00AC26BD"/>
    <w:rsid w:val="00AC4092"/>
    <w:rsid w:val="00AC691B"/>
    <w:rsid w:val="00AD4395"/>
    <w:rsid w:val="00AD63E5"/>
    <w:rsid w:val="00B07440"/>
    <w:rsid w:val="00B162A8"/>
    <w:rsid w:val="00B4578F"/>
    <w:rsid w:val="00B5467D"/>
    <w:rsid w:val="00B86C2A"/>
    <w:rsid w:val="00B97C7C"/>
    <w:rsid w:val="00BA7D47"/>
    <w:rsid w:val="00BB7A54"/>
    <w:rsid w:val="00BC190F"/>
    <w:rsid w:val="00BD30E0"/>
    <w:rsid w:val="00BE3AC2"/>
    <w:rsid w:val="00C229F8"/>
    <w:rsid w:val="00C26FC7"/>
    <w:rsid w:val="00C3076C"/>
    <w:rsid w:val="00C333D8"/>
    <w:rsid w:val="00C36EFF"/>
    <w:rsid w:val="00C5101D"/>
    <w:rsid w:val="00C52C12"/>
    <w:rsid w:val="00C7540E"/>
    <w:rsid w:val="00C86B1A"/>
    <w:rsid w:val="00CB67B6"/>
    <w:rsid w:val="00CC4636"/>
    <w:rsid w:val="00CD7065"/>
    <w:rsid w:val="00CE5A4A"/>
    <w:rsid w:val="00CF52E2"/>
    <w:rsid w:val="00CF6C4D"/>
    <w:rsid w:val="00D07F7F"/>
    <w:rsid w:val="00D27305"/>
    <w:rsid w:val="00D4432F"/>
    <w:rsid w:val="00D54B26"/>
    <w:rsid w:val="00D57C95"/>
    <w:rsid w:val="00D57EC3"/>
    <w:rsid w:val="00D64070"/>
    <w:rsid w:val="00D74F59"/>
    <w:rsid w:val="00D817C0"/>
    <w:rsid w:val="00DA299D"/>
    <w:rsid w:val="00DB6616"/>
    <w:rsid w:val="00DC3341"/>
    <w:rsid w:val="00E16A07"/>
    <w:rsid w:val="00E31B28"/>
    <w:rsid w:val="00E4118E"/>
    <w:rsid w:val="00E47255"/>
    <w:rsid w:val="00E62680"/>
    <w:rsid w:val="00E81409"/>
    <w:rsid w:val="00E83DB6"/>
    <w:rsid w:val="00E91BB4"/>
    <w:rsid w:val="00EA6986"/>
    <w:rsid w:val="00EC6000"/>
    <w:rsid w:val="00ED39F1"/>
    <w:rsid w:val="00EE022A"/>
    <w:rsid w:val="00EE115B"/>
    <w:rsid w:val="00EE716A"/>
    <w:rsid w:val="00F020BC"/>
    <w:rsid w:val="00F11FE7"/>
    <w:rsid w:val="00F2356C"/>
    <w:rsid w:val="00F565D2"/>
    <w:rsid w:val="00F906AE"/>
    <w:rsid w:val="00F968CA"/>
    <w:rsid w:val="00FB19D6"/>
    <w:rsid w:val="00FB5844"/>
    <w:rsid w:val="00FB7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999E92"/>
  <w15:chartTrackingRefBased/>
  <w15:docId w15:val="{98A4E25E-FD8F-6746-B1D7-02769751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76"/>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73342B"/>
    <w:pPr>
      <w:spacing w:line="259" w:lineRule="auto"/>
    </w:pPr>
    <w:rPr>
      <w:rFonts w:ascii="Arial" w:eastAsia="Arial" w:hAnsi="Arial" w:cs="Arial"/>
      <w:sz w:val="22"/>
      <w:szCs w:val="22"/>
      <w:lang w:val="pt-BR" w:eastAsia="pt-BR"/>
    </w:rPr>
  </w:style>
  <w:style w:type="paragraph" w:styleId="Revision">
    <w:name w:val="Revision"/>
    <w:hidden/>
    <w:uiPriority w:val="99"/>
    <w:semiHidden/>
    <w:rsid w:val="00137981"/>
  </w:style>
  <w:style w:type="paragraph" w:styleId="Footer">
    <w:name w:val="footer"/>
    <w:basedOn w:val="Normal"/>
    <w:link w:val="FooterChar"/>
    <w:uiPriority w:val="99"/>
    <w:unhideWhenUsed/>
    <w:rsid w:val="006D7D76"/>
    <w:pPr>
      <w:tabs>
        <w:tab w:val="center" w:pos="4252"/>
        <w:tab w:val="right" w:pos="8504"/>
      </w:tabs>
    </w:pPr>
    <w:rPr>
      <w:rFonts w:ascii="Calibri" w:hAnsi="Calibri" w:cs="Calibri"/>
      <w:sz w:val="22"/>
      <w:szCs w:val="22"/>
      <w:lang w:val="pt-BR" w:eastAsia="pt-BR"/>
    </w:rPr>
  </w:style>
  <w:style w:type="character" w:customStyle="1" w:styleId="FooterChar">
    <w:name w:val="Footer Char"/>
    <w:basedOn w:val="DefaultParagraphFont"/>
    <w:link w:val="Footer"/>
    <w:uiPriority w:val="99"/>
    <w:rsid w:val="006D7D76"/>
    <w:rPr>
      <w:rFonts w:ascii="Calibri" w:eastAsia="Times New Roman" w:hAnsi="Calibri" w:cs="Calibri"/>
      <w:kern w:val="0"/>
      <w:sz w:val="22"/>
      <w:szCs w:val="22"/>
      <w:lang w:val="pt-BR" w:eastAsia="pt-BR"/>
      <w14:ligatures w14:val="none"/>
    </w:rPr>
  </w:style>
  <w:style w:type="character" w:styleId="PageNumber">
    <w:name w:val="page number"/>
    <w:basedOn w:val="DefaultParagraphFont"/>
    <w:uiPriority w:val="99"/>
    <w:semiHidden/>
    <w:unhideWhenUsed/>
    <w:rsid w:val="006D7D76"/>
    <w:rPr>
      <w:rFonts w:cs="Times New Roman"/>
    </w:rPr>
  </w:style>
  <w:style w:type="character" w:styleId="LineNumber">
    <w:name w:val="line number"/>
    <w:basedOn w:val="DefaultParagraphFont"/>
    <w:uiPriority w:val="99"/>
    <w:semiHidden/>
    <w:unhideWhenUsed/>
    <w:rsid w:val="006D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3268</Words>
  <Characters>18629</Characters>
  <Application>Microsoft Office Word</Application>
  <DocSecurity>0</DocSecurity>
  <Lines>155</Lines>
  <Paragraphs>43</Paragraphs>
  <ScaleCrop>false</ScaleCrop>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Sousa</dc:creator>
  <cp:keywords/>
  <dc:description/>
  <cp:lastModifiedBy>Heitor Sousa</cp:lastModifiedBy>
  <cp:revision>3</cp:revision>
  <dcterms:created xsi:type="dcterms:W3CDTF">2023-02-07T04:08:00Z</dcterms:created>
  <dcterms:modified xsi:type="dcterms:W3CDTF">2023-02-27T13:33:00Z</dcterms:modified>
</cp:coreProperties>
</file>