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 w:eastAsia="宋体"/>
        </w:rPr>
        <w:t>本系统通过多管理节点部署，实现了工作流和数据同步功能，并具备节点故障转移能力，从而支持不停机的系统扩展与缩减。多管理节点架构确保在任意节点发生故障时，其他节点能够无缝接管任务，保障任务调度的连续性和稳定性。多节点并行调度不仅显著提高了系统的处理效率，还增强了系统整体的高可用性和可靠性：</w:t>
      </w:r>
    </w:p>
    <w:p>
      <w:pPr>
        <w:pStyle w:val="ListParagraph"/>
      </w:pPr>
      <w:r>
        <w:t>先进的架构：工具将采用现代化的架构设计，确保高效稳定的数据处理和调度能力。</w:t>
      </w:r>
    </w:p>
    <w:p>
      <w:pPr>
        <w:pStyle w:val="ListParagraph"/>
      </w:pPr>
      <w:r>
        <w:t>原生分布式部署：支持在分布式环境中进行部署，以适应大规模数据处理需求。</w:t>
      </w:r>
    </w:p>
    <w:p>
      <w:r>
        <w:drawing>
          <wp:inline xmlns:a="http://schemas.openxmlformats.org/drawingml/2006/main" xmlns:pic="http://schemas.openxmlformats.org/drawingml/2006/picture">
            <wp:extent cx="5040000" cy="22696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/>
        </w:rPr>
        <w:t>本项目预计采购的数据调度工具将满足以下高稳定性和成熟度要求：</w:t>
      </w:r>
    </w:p>
    <w:p>
      <w:pPr>
        <w:pStyle w:val="ListParagraph"/>
      </w:pPr>
      <w:r>
        <w:t>  系统架构稳定性：工具将保持系统架构的稳定性，确保在长期运行中的高可靠性。</w:t>
      </w:r>
    </w:p>
    <w:p>
      <w:pPr>
        <w:pStyle w:val="ListParagraph"/>
      </w:pPr>
      <w:r>
        <w:t>  成熟技术采用：采用经过市场验证的成熟技术，以满足不同层次用户的业务需求。</w:t>
      </w:r>
    </w:p>
    <w:p>
      <w:pPr>
        <w:pStyle w:val="ListParagraph"/>
      </w:pPr>
      <w:r>
        <w:t>  高压力场景考验：经过高压力场景的严格测试，验证其在复杂和高负载环境下的表现。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宋体" w:hAnsi="宋体" w:eastAsia="宋体"/>
              </w:rPr>
              <w:t>指标项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</w:rPr>
              <w:t>实际测试指标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</w:rPr>
              <w:t>故障发现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</w:rPr>
              <w:t>1s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</w:rPr>
              <w:t>自动切换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</w:rPr>
              <w:t>1s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</w:rPr>
              <w:t>可用率（年）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</w:rPr>
              <w:t>&gt;=99.9999%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