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SpecGraph Knowledge DB + Git Provenance</w:t>
      </w:r>
    </w:p>
    <w:p>
      <w:pPr>
        <w:jc w:val="center"/>
      </w:pPr>
      <w:r>
        <w:rPr>
          <w:i/>
        </w:rPr>
        <w:t>Multi-project local architecture knowledge service for ADRs, UML, rules, definitions, source areas, Git provenance, and MCP-enabled coding agents.</w:t>
      </w:r>
    </w:p>
    <w:p>
      <w:pPr>
        <w:pStyle w:val="Heading1"/>
      </w:pPr>
      <w:r>
        <w:t>1. Decision Summary</w:t>
      </w:r>
    </w:p>
    <w:p>
      <w:pPr>
        <w:pStyle w:val="ListBullet"/>
      </w:pPr>
      <w:r>
        <w:t>SpecGraph is DB-first: structured records are primary working state; files remain import/export artifacts.</w:t>
      </w:r>
    </w:p>
    <w:p>
      <w:pPr>
        <w:pStyle w:val="ListBullet"/>
      </w:pPr>
      <w:r>
        <w:t>SpecGraph is multi-project-first: every normal query is scoped by project_id and may include explicit shared spaces.</w:t>
      </w:r>
    </w:p>
    <w:p>
      <w:pPr>
        <w:pStyle w:val="ListBullet"/>
      </w:pPr>
      <w:r>
        <w:t>Git is linked as provenance and evolution evidence; .git internals are not copied into the database.</w:t>
      </w:r>
    </w:p>
    <w:p>
      <w:pPr>
        <w:pStyle w:val="ListBullet"/>
      </w:pPr>
      <w:r>
        <w:t>The service is read-only by default for source repositories and does not mutate code, UML, or Git state.</w:t>
      </w:r>
    </w:p>
    <w:p>
      <w:pPr>
        <w:pStyle w:val="ListBullet"/>
      </w:pPr>
      <w:r>
        <w:t>Context packs separate normative authority from historical evidence.</w:t>
      </w:r>
    </w:p>
    <w:p>
      <w:pPr>
        <w:pStyle w:val="Heading1"/>
      </w:pPr>
      <w:r>
        <w:t>2. Core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Layer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MVP Role</w:t>
            </w:r>
          </w:p>
        </w:tc>
      </w:tr>
      <w:tr>
        <w:tc>
          <w:tcPr>
            <w:tcW w:type="dxa" w:w="3360"/>
            <w:vAlign w:val="top"/>
          </w:tcPr>
          <w:p>
            <w:r>
              <w:t>Project Registry</w:t>
            </w:r>
          </w:p>
        </w:tc>
        <w:tc>
          <w:tcPr>
            <w:tcW w:type="dxa" w:w="3360"/>
            <w:vAlign w:val="top"/>
          </w:tcPr>
          <w:p>
            <w:r>
              <w:t>Owns project identity, shared imports, and isolation.</w:t>
            </w:r>
          </w:p>
        </w:tc>
        <w:tc>
          <w:tcPr>
            <w:tcW w:type="dxa" w:w="3360"/>
            <w:vAlign w:val="top"/>
          </w:tcPr>
          <w:p>
            <w:r>
              <w:t>Required from day one</w:t>
            </w:r>
          </w:p>
        </w:tc>
      </w:tr>
      <w:tr>
        <w:tc>
          <w:tcPr>
            <w:tcW w:type="dxa" w:w="3360"/>
            <w:vAlign w:val="top"/>
          </w:tcPr>
          <w:p>
            <w:r>
              <w:t>Knowledge DB</w:t>
            </w:r>
          </w:p>
        </w:tc>
        <w:tc>
          <w:tcPr>
            <w:tcW w:type="dxa" w:w="3360"/>
            <w:vAlign w:val="top"/>
          </w:tcPr>
          <w:p>
            <w:r>
              <w:t>Stores ADRs, rules, definitions, UML records, source areas, and links.</w:t>
            </w:r>
          </w:p>
        </w:tc>
        <w:tc>
          <w:tcPr>
            <w:tcW w:type="dxa" w:w="3360"/>
            <w:vAlign w:val="top"/>
          </w:tcPr>
          <w:p>
            <w:r>
              <w:t>Primary working state</w:t>
            </w:r>
          </w:p>
        </w:tc>
      </w:tr>
      <w:tr>
        <w:tc>
          <w:tcPr>
            <w:tcW w:type="dxa" w:w="3360"/>
            <w:vAlign w:val="top"/>
          </w:tcPr>
          <w:p>
            <w:r>
              <w:t>Git Provenance</w:t>
            </w:r>
          </w:p>
        </w:tc>
        <w:tc>
          <w:tcPr>
            <w:tcW w:type="dxa" w:w="3360"/>
            <w:vAlign w:val="top"/>
          </w:tcPr>
          <w:p>
            <w:r>
              <w:t>Stores selected commit/file metadata and origin evidence.</w:t>
            </w:r>
          </w:p>
        </w:tc>
        <w:tc>
          <w:tcPr>
            <w:tcW w:type="dxa" w:w="3360"/>
            <w:vAlign w:val="top"/>
          </w:tcPr>
          <w:p>
            <w:r>
              <w:t>Read-only linked evidence</w:t>
            </w:r>
          </w:p>
        </w:tc>
      </w:tr>
      <w:tr>
        <w:tc>
          <w:tcPr>
            <w:tcW w:type="dxa" w:w="3360"/>
            <w:vAlign w:val="top"/>
          </w:tcPr>
          <w:p>
            <w:r>
              <w:t>Context Packs</w:t>
            </w:r>
          </w:p>
        </w:tc>
        <w:tc>
          <w:tcPr>
            <w:tcW w:type="dxa" w:w="3360"/>
            <w:vAlign w:val="top"/>
          </w:tcPr>
          <w:p>
            <w:r>
              <w:t>Builds task-specific bundles for agents and UML clients.</w:t>
            </w:r>
          </w:p>
        </w:tc>
        <w:tc>
          <w:tcPr>
            <w:tcW w:type="dxa" w:w="3360"/>
            <w:vAlign w:val="top"/>
          </w:tcPr>
          <w:p>
            <w:r>
              <w:t>Core agent output</w:t>
            </w:r>
          </w:p>
        </w:tc>
      </w:tr>
      <w:tr>
        <w:tc>
          <w:tcPr>
            <w:tcW w:type="dxa" w:w="3360"/>
            <w:vAlign w:val="top"/>
          </w:tcPr>
          <w:p>
            <w:r>
              <w:t>MCP/API/CLI</w:t>
            </w:r>
          </w:p>
        </w:tc>
        <w:tc>
          <w:tcPr>
            <w:tcW w:type="dxa" w:w="3360"/>
            <w:vAlign w:val="top"/>
          </w:tcPr>
          <w:p>
            <w:r>
              <w:t>Exposes the knowledge system to tools and agents.</w:t>
            </w:r>
          </w:p>
        </w:tc>
        <w:tc>
          <w:tcPr>
            <w:tcW w:type="dxa" w:w="3360"/>
            <w:vAlign w:val="top"/>
          </w:tcPr>
          <w:p>
            <w:r>
              <w:t>Required interface</w:t>
            </w:r>
          </w:p>
        </w:tc>
      </w:tr>
    </w:tbl>
    <w:p>
      <w:pPr>
        <w:pStyle w:val="Heading1"/>
      </w:pPr>
      <w:r>
        <w:t>3. Multi-Project Rules</w:t>
      </w:r>
    </w:p>
    <w:p>
      <w:r>
        <w:t>Every normal operation requires a project id. Default scope is project-local records plus explicitly imported shared spaces. Global search is admin-only and never implicit.</w:t>
      </w:r>
    </w:p>
    <w:p>
      <w:r>
        <w:t>Project-local knowledge wins over shared definitions unless an accepted ADR explicitly says otherwise.</w:t>
      </w:r>
    </w:p>
    <w:p>
      <w:pPr>
        <w:pStyle w:val="Heading1"/>
      </w:pPr>
      <w:r>
        <w:t>4. Git Provenance Boundary</w:t>
      </w:r>
    </w:p>
    <w:p>
      <w:pPr>
        <w:pStyle w:val="ListBullet"/>
      </w:pPr>
      <w:r>
        <w:t>Store commit hashes, timestamps, message subjects, changed paths, and file history summaries.</w:t>
      </w:r>
    </w:p>
    <w:p>
      <w:pPr>
        <w:pStyle w:val="ListBullet"/>
      </w:pPr>
      <w:r>
        <w:t>Do not store .git/objects, full repository blobs, credentials, or raw author emails by default.</w:t>
      </w:r>
    </w:p>
    <w:p>
      <w:pPr>
        <w:pStyle w:val="ListBullet"/>
      </w:pPr>
      <w:r>
        <w:t>Treat Git co-change links as evidence with confidence labels, not as architecture authority.</w:t>
      </w:r>
    </w:p>
    <w:p>
      <w:pPr>
        <w:pStyle w:val="ListBullet"/>
      </w:pPr>
      <w:r>
        <w:t>Use Git data to explain code origin, source-area evolution, and stale ADR/UML warnings.</w:t>
      </w:r>
    </w:p>
    <w:p>
      <w:pPr>
        <w:pStyle w:val="Heading1"/>
      </w:pPr>
      <w:r>
        <w:t>5. Recommended MVP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Milestone</w:t>
            </w:r>
          </w:p>
        </w:tc>
        <w:tc>
          <w:tcPr>
            <w:tcW w:type="dxa" w:w="5040"/>
          </w:tcPr>
          <w:p>
            <w:r>
              <w:t>Target</w:t>
            </w:r>
          </w:p>
        </w:tc>
      </w:tr>
      <w:tr>
        <w:tc>
          <w:tcPr>
            <w:tcW w:type="dxa" w:w="5040"/>
          </w:tcPr>
          <w:p>
            <w:r>
              <w:t>MVP 01</w:t>
            </w:r>
          </w:p>
        </w:tc>
        <w:tc>
          <w:tcPr>
            <w:tcW w:type="dxa" w:w="5040"/>
          </w:tcPr>
          <w:p>
            <w:r>
              <w:t>Multi-project SQLite foundation</w:t>
            </w:r>
          </w:p>
        </w:tc>
      </w:tr>
      <w:tr>
        <w:tc>
          <w:tcPr>
            <w:tcW w:type="dxa" w:w="5040"/>
          </w:tcPr>
          <w:p>
            <w:r>
              <w:t>MVP 02</w:t>
            </w:r>
          </w:p>
        </w:tc>
        <w:tc>
          <w:tcPr>
            <w:tcW w:type="dxa" w:w="5040"/>
          </w:tcPr>
          <w:p>
            <w:r>
              <w:t>ADR/rule/definition import-export and context packs</w:t>
            </w:r>
          </w:p>
        </w:tc>
      </w:tr>
      <w:tr>
        <w:tc>
          <w:tcPr>
            <w:tcW w:type="dxa" w:w="5040"/>
          </w:tcPr>
          <w:p>
            <w:r>
              <w:t>MVP 03</w:t>
            </w:r>
          </w:p>
        </w:tc>
        <w:tc>
          <w:tcPr>
            <w:tcW w:type="dxa" w:w="5040"/>
          </w:tcPr>
          <w:p>
            <w:r>
              <w:t>Repository registry and read-only Git metadata scan</w:t>
            </w:r>
          </w:p>
        </w:tc>
      </w:tr>
      <w:tr>
        <w:tc>
          <w:tcPr>
            <w:tcW w:type="dxa" w:w="5040"/>
          </w:tcPr>
          <w:p>
            <w:r>
              <w:t>MVP 04</w:t>
            </w:r>
          </w:p>
        </w:tc>
        <w:tc>
          <w:tcPr>
            <w:tcW w:type="dxa" w:w="5040"/>
          </w:tcPr>
          <w:p>
            <w:r>
              <w:t>Origin trails and staleness reports</w:t>
            </w:r>
          </w:p>
        </w:tc>
      </w:tr>
      <w:tr>
        <w:tc>
          <w:tcPr>
            <w:tcW w:type="dxa" w:w="5040"/>
          </w:tcPr>
          <w:p>
            <w:r>
              <w:t>MVP 05</w:t>
            </w:r>
          </w:p>
        </w:tc>
        <w:tc>
          <w:tcPr>
            <w:tcW w:type="dxa" w:w="5040"/>
          </w:tcPr>
          <w:p>
            <w:r>
              <w:t>UML store and diagram staleness</w:t>
            </w:r>
          </w:p>
        </w:tc>
      </w:tr>
      <w:tr>
        <w:tc>
          <w:tcPr>
            <w:tcW w:type="dxa" w:w="5040"/>
          </w:tcPr>
          <w:p>
            <w:r>
              <w:t>MVP 06</w:t>
            </w:r>
          </w:p>
        </w:tc>
        <w:tc>
          <w:tcPr>
            <w:tcW w:type="dxa" w:w="5040"/>
          </w:tcPr>
          <w:p>
            <w:r>
              <w:t>MCP tools and minimal admin UI</w:t>
            </w:r>
          </w:p>
        </w:tc>
      </w:tr>
    </w:tbl>
    <w:p>
      <w:pPr>
        <w:pStyle w:val="Heading1"/>
      </w:pPr>
      <w:r>
        <w:t>6. Primary MCP Tools</w:t>
      </w:r>
    </w:p>
    <w:p>
      <w:pPr>
        <w:pStyle w:val="ListBullet"/>
      </w:pPr>
      <w:r>
        <w:t>specgraph_search</w:t>
      </w:r>
    </w:p>
    <w:p>
      <w:pPr>
        <w:pStyle w:val="ListBullet"/>
      </w:pPr>
      <w:r>
        <w:t>specgraph_get_context_pack</w:t>
      </w:r>
    </w:p>
    <w:p>
      <w:pPr>
        <w:pStyle w:val="ListBullet"/>
      </w:pPr>
      <w:r>
        <w:t>specgraph_explain_origin</w:t>
      </w:r>
    </w:p>
    <w:p>
      <w:pPr>
        <w:pStyle w:val="ListBullet"/>
      </w:pPr>
      <w:r>
        <w:t>specgraph_get_rules_for_path</w:t>
      </w:r>
    </w:p>
    <w:p>
      <w:pPr>
        <w:pStyle w:val="ListBullet"/>
      </w:pPr>
      <w:r>
        <w:t>specgraph_get_git_provenance</w:t>
      </w:r>
    </w:p>
    <w:p>
      <w:pPr>
        <w:pStyle w:val="ListBullet"/>
      </w:pPr>
      <w:r>
        <w:t>specgraph_get_staleness_report</w:t>
      </w:r>
    </w:p>
    <w:p>
      <w:pPr>
        <w:pStyle w:val="ListBullet"/>
      </w:pPr>
      <w:r>
        <w:t>specgraph_validate_task_context</w:t>
      </w:r>
    </w:p>
    <w:p>
      <w:pPr>
        <w:pStyle w:val="Heading1"/>
      </w:pPr>
      <w:r>
        <w:t>7. Success Example</w:t>
      </w:r>
    </w:p>
    <w:p>
      <w:r>
        <w:t>A coding agent asks why app/knowledge/adr_store.py exists. SpecGraph returns the related DB-first ADR, source-area rules, UML store element, first known commit, later co-changed schema files, and a warning not to replace DB primary state with file-only persistence unless the ADR is superseded.</w:t>
      </w:r>
    </w:p>
    <w:p>
      <w:pPr>
        <w:pStyle w:val="Heading1"/>
      </w:pPr>
      <w:r>
        <w:t>8. Deliverables in this package</w:t>
      </w:r>
    </w:p>
    <w:p>
      <w:pPr>
        <w:pStyle w:val="ListBullet"/>
      </w:pPr>
      <w:r>
        <w:t>Main specification</w:t>
      </w:r>
    </w:p>
    <w:p>
      <w:pPr>
        <w:pStyle w:val="ListBullet"/>
      </w:pPr>
      <w:r>
        <w:t>ADR-0003 Git Provenance</w:t>
      </w:r>
    </w:p>
    <w:p>
      <w:pPr>
        <w:pStyle w:val="ListBullet"/>
      </w:pPr>
      <w:r>
        <w:t>ADR-0004 Multi-Project Knowledge Spaces</w:t>
      </w:r>
    </w:p>
    <w:p>
      <w:pPr>
        <w:pStyle w:val="ListBullet"/>
      </w:pPr>
      <w:r>
        <w:t>SQLite schema</w:t>
      </w:r>
    </w:p>
    <w:p>
      <w:pPr>
        <w:pStyle w:val="ListBullet"/>
      </w:pPr>
      <w:r>
        <w:t>OpenAPI contract</w:t>
      </w:r>
    </w:p>
    <w:p>
      <w:pPr>
        <w:pStyle w:val="ListBullet"/>
      </w:pPr>
      <w:r>
        <w:t>MCP manifest</w:t>
      </w:r>
    </w:p>
    <w:p>
      <w:pPr>
        <w:pStyle w:val="ListBullet"/>
      </w:pPr>
      <w:r>
        <w:t>Docker Compose example</w:t>
      </w:r>
    </w:p>
    <w:p>
      <w:pPr>
        <w:pStyle w:val="ListBullet"/>
      </w:pPr>
      <w:r>
        <w:t>MVP roadmap</w:t>
      </w:r>
    </w:p>
    <w:p>
      <w:pPr>
        <w:pStyle w:val="ListBullet"/>
      </w:pPr>
      <w:r>
        <w:t>Implementation backlog</w:t>
      </w:r>
    </w:p>
    <w:p>
      <w:pPr>
        <w:pStyle w:val="ListBullet"/>
      </w:pPr>
      <w:r>
        <w:t>Agent implementation prompt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