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высшего образования и науки Российской Федерации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автономное образовательное учреждение высшего образования 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«Санкт-Петербургский политехнический университет Петра Великого»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—</w:t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Институт кибербезопасности и защиты информации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ЛАБОРАТОРНАЯ РАБОТА №14</w:t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Защита от угроз нарушения безопасности типа «Отказ в обслуживании»</w:t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 «Основы информационной безопасности»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</w:t>
      </w:r>
    </w:p>
    <w:p w:rsidR="00000000" w:rsidDel="00000000" w:rsidP="00000000" w:rsidRDefault="00000000" w:rsidRPr="00000000" w14:paraId="00000019">
      <w:pPr>
        <w:tabs>
          <w:tab w:val="left" w:pos="3960"/>
          <w:tab w:val="left" w:pos="6840"/>
        </w:tabs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гр. 4851003/10002      </w:t>
        <w:tab/>
        <w:tab/>
        <w:t xml:space="preserve">Лобов Е.А.   </w:t>
      </w:r>
    </w:p>
    <w:p w:rsidR="00000000" w:rsidDel="00000000" w:rsidP="00000000" w:rsidRDefault="00000000" w:rsidRPr="00000000" w14:paraId="0000001A">
      <w:pPr>
        <w:tabs>
          <w:tab w:val="left" w:pos="3960"/>
          <w:tab w:val="left" w:pos="6840"/>
        </w:tabs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yj6topqxj7qf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B">
      <w:pPr>
        <w:tabs>
          <w:tab w:val="left" w:pos="3960"/>
          <w:tab w:val="left" w:pos="6840"/>
        </w:tabs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uwv23e9p1lma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Преподаватель.       </w:t>
        <w:tab/>
        <w:tab/>
        <w:t xml:space="preserve">Зубков Е.А.</w:t>
      </w:r>
    </w:p>
    <w:p w:rsidR="00000000" w:rsidDel="00000000" w:rsidP="00000000" w:rsidRDefault="00000000" w:rsidRPr="00000000" w14:paraId="0000001C">
      <w:pPr>
        <w:tabs>
          <w:tab w:val="left" w:pos="4746"/>
          <w:tab w:val="left" w:pos="6840"/>
        </w:tabs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  <w:tab/>
      </w:r>
    </w:p>
    <w:p w:rsidR="00000000" w:rsidDel="00000000" w:rsidP="00000000" w:rsidRDefault="00000000" w:rsidRPr="00000000" w14:paraId="0000001D">
      <w:pPr>
        <w:tabs>
          <w:tab w:val="left" w:pos="3960"/>
          <w:tab w:val="left" w:pos="6840"/>
        </w:tabs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pos="3960"/>
          <w:tab w:val="left" w:pos="6840"/>
        </w:tabs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pos="3960"/>
          <w:tab w:val="left" w:pos="6840"/>
        </w:tabs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pos="3960"/>
          <w:tab w:val="left" w:pos="6840"/>
        </w:tabs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pos="3960"/>
          <w:tab w:val="left" w:pos="6840"/>
        </w:tabs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pos="3960"/>
          <w:tab w:val="left" w:pos="6840"/>
        </w:tabs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pos="3960"/>
          <w:tab w:val="left" w:pos="6840"/>
        </w:tabs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25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pageBreakBefore w:val="1"/>
        <w:spacing w:after="240" w:before="120" w:line="252.00000000000003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30j0zll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ПОСТАНОВКА ЗАДАЧИ</w:t>
      </w:r>
    </w:p>
    <w:p w:rsidR="00000000" w:rsidDel="00000000" w:rsidP="00000000" w:rsidRDefault="00000000" w:rsidRPr="00000000" w14:paraId="00000028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1fob9te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Задачей данной лабораторной работы является изучение механизма реализации компьютерной угрозы типа «отказ в обслуживании», ознакомление со способами защиты от такого рода угроз.</w:t>
      </w:r>
    </w:p>
    <w:p w:rsidR="00000000" w:rsidDel="00000000" w:rsidP="00000000" w:rsidRDefault="00000000" w:rsidRPr="00000000" w14:paraId="00000029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ab/>
        <w:t xml:space="preserve">Для достижения этих целей необходимо: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spacing w:line="360" w:lineRule="auto"/>
        <w:ind w:left="1077" w:hanging="35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Изучить интерфейс и основные функции генераторов пакетов Nemesis, Colasoft Packet Builder, PACKETH, ostinato.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spacing w:line="360" w:lineRule="auto"/>
        <w:ind w:left="1077" w:hanging="35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Смоделировать атаку SYN-flood на виртуальный сервер.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line="360" w:lineRule="auto"/>
        <w:ind w:left="1077" w:hanging="35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Смоделировать атаку ICMP-flood на виртуальный сервер.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spacing w:line="360" w:lineRule="auto"/>
        <w:ind w:left="1077" w:hanging="35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Организовать элементы защиты от SYN-flood и ICMP-flood атак.</w:t>
      </w:r>
    </w:p>
    <w:p w:rsidR="00000000" w:rsidDel="00000000" w:rsidP="00000000" w:rsidRDefault="00000000" w:rsidRPr="00000000" w14:paraId="0000002E">
      <w:pPr>
        <w:pStyle w:val="Heading2"/>
        <w:pageBreakBefore w:val="1"/>
        <w:spacing w:after="240" w:before="120" w:line="252.00000000000003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ХОД РАБОТЫ</w:t>
      </w:r>
    </w:p>
    <w:p w:rsidR="00000000" w:rsidDel="00000000" w:rsidP="00000000" w:rsidRDefault="00000000" w:rsidRPr="00000000" w14:paraId="0000002F">
      <w:pPr>
        <w:pStyle w:val="Heading3"/>
        <w:numPr>
          <w:ilvl w:val="0"/>
          <w:numId w:val="7"/>
        </w:numPr>
        <w:spacing w:after="120" w:before="120" w:line="252.00000000000003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3znysh7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Анализ основных функций генератора пакетов</w:t>
      </w:r>
    </w:p>
    <w:p w:rsidR="00000000" w:rsidDel="00000000" w:rsidP="00000000" w:rsidRDefault="00000000" w:rsidRPr="00000000" w14:paraId="00000030">
      <w:pPr>
        <w:spacing w:line="360" w:lineRule="auto"/>
        <w:ind w:left="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Colasoft Packet Builder: по умолчанию поддерживает только протоколы Ethernet, ARP, IP, TCP, UDP, на основе которых с помощью встроенного редактора можно создавать пользовательские пакеты. Данная программа представлена редактором декодирования, который позволяет редактировать определенные значения поля протоколов. В дополнение к составлению пакетов ColasoftPacketBuilder также поддерживает сохранение пакетных файлов и отправку пакетов по сети. (см. Рисунок 1)</w:t>
      </w:r>
    </w:p>
    <w:p w:rsidR="00000000" w:rsidDel="00000000" w:rsidP="00000000" w:rsidRDefault="00000000" w:rsidRPr="00000000" w14:paraId="00000031">
      <w:pPr>
        <w:spacing w:after="160" w:line="252.00000000000003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2.00000000000003" w:lineRule="auto"/>
        <w:ind w:left="72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1 – Интерфейс Colasoft Packet Builder.</w:t>
      </w:r>
    </w:p>
    <w:p w:rsidR="00000000" w:rsidDel="00000000" w:rsidP="00000000" w:rsidRDefault="00000000" w:rsidRPr="00000000" w14:paraId="00000033">
      <w:pPr>
        <w:spacing w:after="160" w:line="252.00000000000003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 помощью данной программы были смоделированы атаки на web-сервер Apache, установленный на виртуальную машину (ОС - Ubuntu).</w:t>
      </w:r>
    </w:p>
    <w:p w:rsidR="00000000" w:rsidDel="00000000" w:rsidP="00000000" w:rsidRDefault="00000000" w:rsidRPr="00000000" w14:paraId="00000034">
      <w:pPr>
        <w:spacing w:after="160" w:line="252.00000000000003" w:lineRule="auto"/>
        <w:ind w:left="720" w:hanging="10.999999999999943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252.00000000000003" w:lineRule="auto"/>
        <w:ind w:left="720" w:hanging="10.999999999999943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="252.00000000000003" w:lineRule="auto"/>
        <w:ind w:left="720" w:hanging="10.999999999999943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="252.00000000000003" w:lineRule="auto"/>
        <w:ind w:left="720" w:hanging="10.999999999999943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2.00000000000003" w:lineRule="auto"/>
        <w:ind w:left="720" w:hanging="10.999999999999943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252.00000000000003" w:lineRule="auto"/>
        <w:ind w:left="720" w:hanging="10.999999999999943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252.00000000000003" w:lineRule="auto"/>
        <w:ind w:left="720" w:hanging="10.999999999999943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line="252.00000000000003" w:lineRule="auto"/>
        <w:ind w:left="720" w:hanging="10.999999999999943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spacing w:after="120" w:before="120" w:line="252.00000000000003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2et92p0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 Моделирование SYN-flood атаки</w:t>
      </w:r>
    </w:p>
    <w:p w:rsidR="00000000" w:rsidDel="00000000" w:rsidP="00000000" w:rsidRDefault="00000000" w:rsidRPr="00000000" w14:paraId="0000003D">
      <w:pPr>
        <w:spacing w:after="160" w:line="252.00000000000003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tyjcwt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Механизм данной атаки заключаются в следующем: при проведении SYN-flood атакующий компьютер непрерывно посылает сообщение с запросами на установку соединения. В пакете указывается несуществующий IP-адрес. Атакуемый узел создаёт новые динамические структуры данных и запускает таймер для каждой новой попытки соединения до тех пор, пока не исчерпает свои ресурсы. Поле этого атакуемый компьютер перестаёт отвечать на попытки подключения.</w:t>
      </w:r>
    </w:p>
    <w:p w:rsidR="00000000" w:rsidDel="00000000" w:rsidP="00000000" w:rsidRDefault="00000000" w:rsidRPr="00000000" w14:paraId="0000003E">
      <w:pPr>
        <w:spacing w:after="160" w:line="252.00000000000003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Моделирование атаки было начато с изучения конфигурации сети, в частности требовалось узнать IP-адрес, на который будут посылаться пакеты.</w:t>
      </w:r>
    </w:p>
    <w:p w:rsidR="00000000" w:rsidDel="00000000" w:rsidP="00000000" w:rsidRDefault="00000000" w:rsidRPr="00000000" w14:paraId="0000003F">
      <w:pPr>
        <w:spacing w:after="160" w:line="252.00000000000003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6416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line="252.00000000000003" w:lineRule="auto"/>
        <w:ind w:left="72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2 – Выявление IP-адреса для атаки.</w:t>
      </w:r>
    </w:p>
    <w:p w:rsidR="00000000" w:rsidDel="00000000" w:rsidP="00000000" w:rsidRDefault="00000000" w:rsidRPr="00000000" w14:paraId="00000041">
      <w:pPr>
        <w:spacing w:after="160" w:line="252.00000000000003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полученный 80-й порт действующего IP-адреса отправлялись пакеты с несуществующими IP-адресами источника, портом источника 1.2.3.1 (случайное число) и с установленным флагом SYN. На Рисунке 3 видно, что пакеты успешно доходили до сервера, после чего происходила неудачная попытка отправки ответного пакета на несуществующие IP-адреса. Количество запросов и время между ними задавалось в генераторе пакетов.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spacing w:after="160" w:line="252.00000000000003" w:lineRule="auto"/>
        <w:ind w:left="283.46456692913375" w:hanging="360"/>
        <w:jc w:val="center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691188" cy="366807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3668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Рисунок 3 – SYN-flood атака с позиции атакуемой машины.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="252.00000000000003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spacing w:after="120" w:before="120" w:line="252.00000000000003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3dy6vkm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Моделирование ICMP-flood атаки</w:t>
      </w:r>
    </w:p>
    <w:p w:rsidR="00000000" w:rsidDel="00000000" w:rsidP="00000000" w:rsidRDefault="00000000" w:rsidRPr="00000000" w14:paraId="00000045">
      <w:pPr>
        <w:spacing w:after="160" w:line="252.00000000000003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 ICMP-flood на узел жертвы отправляется эхо-запрос, который требуется обработать и отправить эхо-ответ, при этом необходимо будет задействовать большие ресурсы по сравнению с обычным пакетом, хотя сам запрос по объему небольшой. В результате при относительно небольшом трафике можно добиться перегрузки по количеству пакетов.</w:t>
      </w:r>
    </w:p>
    <w:p w:rsidR="00000000" w:rsidDel="00000000" w:rsidP="00000000" w:rsidRDefault="00000000" w:rsidRPr="00000000" w14:paraId="00000046">
      <w:pPr>
        <w:spacing w:after="160" w:line="252.00000000000003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Для моделирования ICMP-flood атаки в исходном генераторе с пакетом TCP была проведена замена номера протокола на 1, тем самым был получен ICMP-пакет. Далее была произведена отправка таких пакетов с интервалом в 100 мс</w:t>
      </w:r>
    </w:p>
    <w:p w:rsidR="00000000" w:rsidDel="00000000" w:rsidP="00000000" w:rsidRDefault="00000000" w:rsidRPr="00000000" w14:paraId="00000047">
      <w:pPr>
        <w:spacing w:after="160" w:line="252.00000000000003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line="252.00000000000003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73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="252.00000000000003" w:lineRule="auto"/>
        <w:ind w:left="72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4 – Параметры ICMP пакета.</w:t>
      </w:r>
    </w:p>
    <w:p w:rsidR="00000000" w:rsidDel="00000000" w:rsidP="00000000" w:rsidRDefault="00000000" w:rsidRPr="00000000" w14:paraId="0000004A">
      <w:pPr>
        <w:spacing w:after="160" w:line="252.00000000000003" w:lineRule="auto"/>
        <w:ind w:left="72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4356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line="252.00000000000003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line="252.00000000000003" w:lineRule="auto"/>
        <w:ind w:left="72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5 – Данные из Wireshark.</w:t>
      </w:r>
    </w:p>
    <w:p w:rsidR="00000000" w:rsidDel="00000000" w:rsidP="00000000" w:rsidRDefault="00000000" w:rsidRPr="00000000" w14:paraId="0000004D">
      <w:pPr>
        <w:spacing w:after="160" w:line="252.00000000000003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60" w:line="252.00000000000003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60" w:line="252.00000000000003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60" w:line="252.00000000000003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line="252.00000000000003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spacing w:after="120" w:before="120" w:line="252.00000000000003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1t3h5sf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Организация элементов защиты от атак</w:t>
      </w:r>
    </w:p>
    <w:p w:rsidR="00000000" w:rsidDel="00000000" w:rsidP="00000000" w:rsidRDefault="00000000" w:rsidRPr="00000000" w14:paraId="0000005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4d34og8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защиты от ICMP-flood необходимо отключать ответы на запросы ICMP echo:</w:t>
      </w:r>
    </w:p>
    <w:p w:rsidR="00000000" w:rsidDel="00000000" w:rsidP="00000000" w:rsidRDefault="00000000" w:rsidRPr="00000000" w14:paraId="00000054">
      <w:pPr>
        <w:spacing w:line="360" w:lineRule="auto"/>
        <w:ind w:firstLine="720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sysctl -w net.ipv4.icmp_echo_ignore_all=1 .</w:t>
      </w:r>
    </w:p>
    <w:p w:rsidR="00000000" w:rsidDel="00000000" w:rsidP="00000000" w:rsidRDefault="00000000" w:rsidRPr="00000000" w14:paraId="00000055">
      <w:pPr>
        <w:spacing w:line="360" w:lineRule="auto"/>
        <w:ind w:firstLine="720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5731200" cy="609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ind w:left="454" w:firstLine="45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 помощью правил межсетевого экрана это можно реализовать следующим образом</w:t>
      </w:r>
    </w:p>
    <w:p w:rsidR="00000000" w:rsidDel="00000000" w:rsidP="00000000" w:rsidRDefault="00000000" w:rsidRPr="00000000" w14:paraId="00000057">
      <w:pPr>
        <w:spacing w:line="360" w:lineRule="auto"/>
        <w:ind w:firstLine="720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iptables –A INPUT –p icmp –j DROP --icmp-type 8 . </w:t>
      </w:r>
    </w:p>
    <w:p w:rsidR="00000000" w:rsidDel="00000000" w:rsidP="00000000" w:rsidRDefault="00000000" w:rsidRPr="00000000" w14:paraId="00000058">
      <w:pPr>
        <w:spacing w:line="360" w:lineRule="auto"/>
        <w:ind w:firstLine="720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5731200" cy="2209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pageBreakBefore w:val="1"/>
        <w:spacing w:after="240" w:before="120" w:line="252.00000000000003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ВЫВОДЫ</w:t>
      </w:r>
    </w:p>
    <w:p w:rsidR="00000000" w:rsidDel="00000000" w:rsidP="00000000" w:rsidRDefault="00000000" w:rsidRPr="00000000" w14:paraId="0000005B">
      <w:pPr>
        <w:spacing w:after="160" w:line="252.00000000000003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ходе данной работы были изучены механизмы реализаций компьютерных угроз типа «отказ в обслуживании», были приобретены базовые навыки защиты от такого рода угроз.</w:t>
      </w:r>
    </w:p>
    <w:p w:rsidR="00000000" w:rsidDel="00000000" w:rsidP="00000000" w:rsidRDefault="00000000" w:rsidRPr="00000000" w14:paraId="0000005C">
      <w:pPr>
        <w:spacing w:after="160" w:line="252.00000000000003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практике изучены и смоделированы DoS-атаки типов SYN-flood и ICMP-flood, приводящие к отказу в обслуживании сервера, либо к снижению его пропускной способности. Настройки сервера были изменены таким образом, чтобы он имел простую защиту от подобных атак.</w:t>
      </w:r>
    </w:p>
    <w:p w:rsidR="00000000" w:rsidDel="00000000" w:rsidP="00000000" w:rsidRDefault="00000000" w:rsidRPr="00000000" w14:paraId="0000005D">
      <w:pPr>
        <w:pStyle w:val="Heading1"/>
        <w:spacing w:after="160" w:line="252.00000000000003" w:lineRule="auto"/>
        <w:jc w:val="both"/>
        <w:rPr>
          <w:rFonts w:ascii="Times New Roman" w:cs="Times New Roman" w:eastAsia="Times New Roman" w:hAnsi="Times New Roman"/>
        </w:rPr>
      </w:pPr>
      <w:bookmarkStart w:colFirst="0" w:colLast="0" w:name="_yopv05pk1am1" w:id="11"/>
      <w:bookmarkEnd w:id="11"/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Ответы на вопросы</w:t>
      </w:r>
    </w:p>
    <w:p w:rsidR="00000000" w:rsidDel="00000000" w:rsidP="00000000" w:rsidRDefault="00000000" w:rsidRPr="00000000" w14:paraId="0000005E">
      <w:pPr>
        <w:rPr>
          <w:b w:val="1"/>
          <w:color w:val="202122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2"/>
          <w:sz w:val="21"/>
          <w:szCs w:val="21"/>
          <w:highlight w:val="white"/>
          <w:rtl w:val="0"/>
        </w:rPr>
        <w:t xml:space="preserve">Transmission Control Protocol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 (TCP, протокол управления передачей) — один из основных протоколов передачи данных интернета. Предназначен для управления передачей данных интернета. Пакеты в TCP называются </w:t>
      </w:r>
      <w:r w:rsidDel="00000000" w:rsidR="00000000" w:rsidRPr="00000000">
        <w:rPr>
          <w:i w:val="1"/>
          <w:color w:val="202122"/>
          <w:sz w:val="21"/>
          <w:szCs w:val="21"/>
          <w:highlight w:val="white"/>
          <w:rtl w:val="0"/>
        </w:rPr>
        <w:t xml:space="preserve">сегментами</w:t>
      </w:r>
      <w:r w:rsidDel="00000000" w:rsidR="00000000" w:rsidRPr="00000000">
        <w:rPr>
          <w:b w:val="1"/>
          <w:color w:val="202122"/>
          <w:sz w:val="21"/>
          <w:szCs w:val="21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5F">
      <w:pPr>
        <w:rPr>
          <w:b w:val="1"/>
          <w:color w:val="202122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2"/>
          <w:sz w:val="21"/>
          <w:szCs w:val="21"/>
          <w:highlight w:val="white"/>
        </w:rPr>
        <w:drawing>
          <wp:inline distB="114300" distT="114300" distL="114300" distR="114300">
            <wp:extent cx="5731200" cy="2705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color w:val="202122"/>
          <w:sz w:val="21"/>
          <w:szCs w:val="21"/>
          <w:highlight w:val="white"/>
        </w:rPr>
      </w:pP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Порты источника и назначения. </w:t>
      </w:r>
    </w:p>
    <w:p w:rsidR="00000000" w:rsidDel="00000000" w:rsidP="00000000" w:rsidRDefault="00000000" w:rsidRPr="00000000" w14:paraId="00000061">
      <w:pPr>
        <w:rPr>
          <w:color w:val="202122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2"/>
          <w:sz w:val="21"/>
          <w:szCs w:val="21"/>
          <w:highlight w:val="white"/>
          <w:rtl w:val="0"/>
        </w:rPr>
        <w:t xml:space="preserve">Sequence number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 (32 бита) — измеряется в байтах, и каждый переданный байт полезных данных (payload) увеличивает это значение на 1.</w:t>
      </w:r>
    </w:p>
    <w:p w:rsidR="00000000" w:rsidDel="00000000" w:rsidP="00000000" w:rsidRDefault="00000000" w:rsidRPr="00000000" w14:paraId="00000062">
      <w:pPr>
        <w:rPr>
          <w:color w:val="202122"/>
          <w:sz w:val="21"/>
          <w:szCs w:val="21"/>
          <w:highlight w:val="white"/>
        </w:rPr>
      </w:pP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Если установлен флаг SYN (идёт установление сессии), то поле содержит изначальный порядковый номер — ISN (Initial Sequence Number). В целях безопасности это значение генерируется случайным образом и может быть равно от 0 до 2</w:t>
      </w:r>
      <w:r w:rsidDel="00000000" w:rsidR="00000000" w:rsidRPr="00000000">
        <w:rPr>
          <w:color w:val="202122"/>
          <w:sz w:val="28"/>
          <w:szCs w:val="28"/>
          <w:highlight w:val="white"/>
          <w:vertAlign w:val="superscript"/>
          <w:rtl w:val="0"/>
        </w:rPr>
        <w:t xml:space="preserve">32</w:t>
      </w: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1"/>
          <w:szCs w:val="21"/>
          <w:highlight w:val="white"/>
          <w:rtl w:val="0"/>
        </w:rPr>
        <w:t xml:space="preserve">−1 (4294967295). Первый байт полезных данных в устанавливающейся сессии будет иметь номер ISN+1.</w:t>
      </w:r>
    </w:p>
    <w:p w:rsidR="00000000" w:rsidDel="00000000" w:rsidP="00000000" w:rsidRDefault="00000000" w:rsidRPr="00000000" w14:paraId="00000063">
      <w:pPr>
        <w:rPr>
          <w:color w:val="202122"/>
          <w:sz w:val="21"/>
          <w:szCs w:val="21"/>
          <w:highlight w:val="white"/>
        </w:rPr>
      </w:pP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В противном случае, если SYN не установлен, первый байт данных, передаваемый в данном пакете, имеет этот порядковый номер.</w:t>
      </w:r>
    </w:p>
    <w:p w:rsidR="00000000" w:rsidDel="00000000" w:rsidP="00000000" w:rsidRDefault="00000000" w:rsidRPr="00000000" w14:paraId="00000064">
      <w:pPr>
        <w:shd w:fill="ffffff" w:val="clear"/>
        <w:spacing w:after="100" w:before="100" w:lineRule="auto"/>
        <w:rPr>
          <w:color w:val="202122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2"/>
          <w:sz w:val="21"/>
          <w:szCs w:val="21"/>
          <w:highlight w:val="white"/>
          <w:rtl w:val="0"/>
        </w:rPr>
        <w:t xml:space="preserve">Acknowledgment Number (ACK SN)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 (32 бита) — если установлен флаг ACK, то это поле содержит порядковый номер октета, который отправитель данного сегмента желает получить. Это означает, что все предыдущие октеты (с номерами от ISN+1 до ACK-1 включительно) были успешно получены.</w:t>
      </w:r>
    </w:p>
    <w:p w:rsidR="00000000" w:rsidDel="00000000" w:rsidP="00000000" w:rsidRDefault="00000000" w:rsidRPr="00000000" w14:paraId="00000065">
      <w:pPr>
        <w:shd w:fill="ffffff" w:val="clear"/>
        <w:spacing w:after="100" w:before="100" w:lineRule="auto"/>
        <w:rPr>
          <w:color w:val="202122"/>
          <w:sz w:val="21"/>
          <w:szCs w:val="21"/>
          <w:highlight w:val="white"/>
        </w:rPr>
      </w:pP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Каждая сторона подсчитывает свой Sequence number для переданных данных и отдельно Acknowledgement number для полученных данных. Sequence number каждой из сторон соответствует Acknowledgement number другой стороны.</w:t>
      </w:r>
    </w:p>
    <w:p w:rsidR="00000000" w:rsidDel="00000000" w:rsidP="00000000" w:rsidRDefault="00000000" w:rsidRPr="00000000" w14:paraId="00000066">
      <w:pPr>
        <w:shd w:fill="ffffff" w:val="clear"/>
        <w:spacing w:after="100" w:before="100" w:lineRule="auto"/>
        <w:rPr>
          <w:color w:val="202122"/>
          <w:sz w:val="21"/>
          <w:szCs w:val="21"/>
          <w:highlight w:val="white"/>
        </w:rPr>
      </w:pP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Длина заголовка (Data offset) занимает 4 бита и указывает значение длины заголовка, измеренное в 32-битовых словах. Минимальный размер составляет 20 байт (пять 32-битовых слов), а максимальный — 60 байт (пятнадцать 32-битовых слов). Длина заголовка определяет смещение полезных данных относительно начала сегмента. Например, Data offset равное 1111</w:t>
      </w:r>
      <w:r w:rsidDel="00000000" w:rsidR="00000000" w:rsidRPr="00000000">
        <w:rPr>
          <w:color w:val="202122"/>
          <w:sz w:val="28"/>
          <w:szCs w:val="28"/>
          <w:highlight w:val="white"/>
          <w:vertAlign w:val="subscript"/>
          <w:rtl w:val="0"/>
        </w:rPr>
        <w:t xml:space="preserve">2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 говорит о том, что заголовок занимает пятнадцать 32-битных слова (15 строк*32 бита в каждой строке/8 бит = 60 байт).</w:t>
      </w:r>
    </w:p>
    <w:p w:rsidR="00000000" w:rsidDel="00000000" w:rsidP="00000000" w:rsidRDefault="00000000" w:rsidRPr="00000000" w14:paraId="00000067">
      <w:pPr>
        <w:shd w:fill="ffffff" w:val="clear"/>
        <w:spacing w:after="100" w:before="100" w:lineRule="auto"/>
        <w:rPr>
          <w:color w:val="202122"/>
          <w:sz w:val="21"/>
          <w:szCs w:val="21"/>
          <w:highlight w:val="white"/>
        </w:rPr>
      </w:pP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Это поле содержит 9 битовых флагов: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shd w:fill="ffffff" w:val="clear"/>
        <w:spacing w:after="0" w:afterAutospacing="0" w:before="120" w:lineRule="auto"/>
        <w:ind w:left="1080" w:hanging="360"/>
        <w:rPr>
          <w:highlight w:val="white"/>
        </w:rPr>
      </w:pPr>
      <w:r w:rsidDel="00000000" w:rsidR="00000000" w:rsidRPr="00000000">
        <w:rPr>
          <w:b w:val="1"/>
          <w:color w:val="202122"/>
          <w:sz w:val="21"/>
          <w:szCs w:val="21"/>
          <w:highlight w:val="white"/>
          <w:rtl w:val="0"/>
        </w:rPr>
        <w:t xml:space="preserve">NS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 (ECN-nonce) 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1080" w:hanging="360"/>
        <w:rPr>
          <w:highlight w:val="white"/>
        </w:rPr>
      </w:pPr>
      <w:r w:rsidDel="00000000" w:rsidR="00000000" w:rsidRPr="00000000">
        <w:rPr>
          <w:b w:val="1"/>
          <w:color w:val="202122"/>
          <w:sz w:val="21"/>
          <w:szCs w:val="21"/>
          <w:highlight w:val="white"/>
          <w:rtl w:val="0"/>
        </w:rPr>
        <w:t xml:space="preserve">CWR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shd w:fill="ffffff" w:val="clear"/>
        <w:spacing w:after="20" w:before="0" w:beforeAutospacing="0" w:lineRule="auto"/>
        <w:ind w:left="1080" w:hanging="360"/>
        <w:rPr>
          <w:highlight w:val="white"/>
        </w:rPr>
      </w:pPr>
      <w:r w:rsidDel="00000000" w:rsidR="00000000" w:rsidRPr="00000000">
        <w:rPr>
          <w:b w:val="1"/>
          <w:color w:val="202122"/>
          <w:sz w:val="21"/>
          <w:szCs w:val="21"/>
          <w:highlight w:val="white"/>
          <w:rtl w:val="0"/>
        </w:rPr>
        <w:t xml:space="preserve">ECE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 (ECN-Echo) </w:t>
      </w:r>
    </w:p>
    <w:p w:rsidR="00000000" w:rsidDel="00000000" w:rsidP="00000000" w:rsidRDefault="00000000" w:rsidRPr="00000000" w14:paraId="0000006B">
      <w:pPr>
        <w:shd w:fill="ffffff" w:val="clear"/>
        <w:spacing w:after="20" w:before="120" w:lineRule="auto"/>
        <w:ind w:left="720" w:firstLine="0"/>
        <w:rPr>
          <w:color w:val="202122"/>
          <w:sz w:val="21"/>
          <w:szCs w:val="21"/>
          <w:highlight w:val="white"/>
        </w:rPr>
      </w:pP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Флаги относящиеся к защитному механизму 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1"/>
          <w:szCs w:val="21"/>
          <w:highlight w:val="white"/>
          <w:rtl w:val="0"/>
        </w:rPr>
        <w:t xml:space="preserve">ECN-nonce, обеспечивающему защиту от сокрытия пакетов TCP.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shd w:fill="ffffff" w:val="clear"/>
        <w:spacing w:after="0" w:afterAutospacing="0" w:before="120" w:lineRule="auto"/>
        <w:ind w:left="1080" w:hanging="360"/>
        <w:rPr>
          <w:highlight w:val="white"/>
        </w:rPr>
      </w:pPr>
      <w:r w:rsidDel="00000000" w:rsidR="00000000" w:rsidRPr="00000000">
        <w:rPr>
          <w:b w:val="1"/>
          <w:color w:val="202122"/>
          <w:sz w:val="21"/>
          <w:szCs w:val="21"/>
          <w:highlight w:val="white"/>
          <w:rtl w:val="0"/>
        </w:rPr>
        <w:t xml:space="preserve">URG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 — поле </w:t>
      </w:r>
      <w:r w:rsidDel="00000000" w:rsidR="00000000" w:rsidRPr="00000000">
        <w:rPr>
          <w:i w:val="1"/>
          <w:color w:val="202122"/>
          <w:sz w:val="21"/>
          <w:szCs w:val="21"/>
          <w:highlight w:val="white"/>
          <w:rtl w:val="0"/>
        </w:rPr>
        <w:t xml:space="preserve">«Указатель важности»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 .Когда узел отправляет сегмент с URG флагом, то узел-получатель принимает его на отдельном канале.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1080" w:hanging="360"/>
        <w:rPr>
          <w:highlight w:val="white"/>
        </w:rPr>
      </w:pPr>
      <w:r w:rsidDel="00000000" w:rsidR="00000000" w:rsidRPr="00000000">
        <w:rPr>
          <w:b w:val="1"/>
          <w:color w:val="202122"/>
          <w:sz w:val="21"/>
          <w:szCs w:val="21"/>
          <w:highlight w:val="white"/>
          <w:rtl w:val="0"/>
        </w:rPr>
        <w:t xml:space="preserve">ACK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 — поле </w:t>
      </w:r>
      <w:r w:rsidDel="00000000" w:rsidR="00000000" w:rsidRPr="00000000">
        <w:rPr>
          <w:i w:val="1"/>
          <w:color w:val="202122"/>
          <w:sz w:val="21"/>
          <w:szCs w:val="21"/>
          <w:highlight w:val="white"/>
          <w:rtl w:val="0"/>
        </w:rPr>
        <w:t xml:space="preserve">«Номер подтверждения»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 задействовано .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1080" w:hanging="360"/>
        <w:rPr>
          <w:highlight w:val="white"/>
        </w:rPr>
      </w:pPr>
      <w:r w:rsidDel="00000000" w:rsidR="00000000" w:rsidRPr="00000000">
        <w:rPr>
          <w:b w:val="1"/>
          <w:color w:val="202122"/>
          <w:sz w:val="21"/>
          <w:szCs w:val="21"/>
          <w:highlight w:val="white"/>
          <w:rtl w:val="0"/>
        </w:rPr>
        <w:t xml:space="preserve">PSH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 —  инструктирует получателя протолкнуть данные, накопившиеся в приемном буфере, в приложение пользователя. API для установки PSH флага нет. Обычно он устанавливается ядром, когда оно очищает буфер. Дело в том, что когда узел отправляет информацию, TCP сохраняет её в буфере и не передает её сразу другому узлу, ожидая, захочет ли узел-отправитель передать ещё. Такая же схема работает и у узла-получателя. Когда он получает информацию, TCP сохраняет её в буфере, чтобы не тревожить приложение из-за каждого байта полученной информации. Если узел отправляет сегмент с PSH флагом, это значит, что он отправил все, что было нужно.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1080" w:hanging="360"/>
        <w:rPr>
          <w:highlight w:val="white"/>
        </w:rPr>
      </w:pPr>
      <w:r w:rsidDel="00000000" w:rsidR="00000000" w:rsidRPr="00000000">
        <w:rPr>
          <w:b w:val="1"/>
          <w:color w:val="202122"/>
          <w:sz w:val="21"/>
          <w:szCs w:val="21"/>
          <w:highlight w:val="white"/>
          <w:rtl w:val="0"/>
        </w:rPr>
        <w:t xml:space="preserve">RST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 — оборвать соединения, сбросить буфер (очистка буфера) 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1080" w:hanging="360"/>
        <w:rPr>
          <w:highlight w:val="white"/>
        </w:rPr>
      </w:pPr>
      <w:r w:rsidDel="00000000" w:rsidR="00000000" w:rsidRPr="00000000">
        <w:rPr>
          <w:b w:val="1"/>
          <w:color w:val="202122"/>
          <w:sz w:val="21"/>
          <w:szCs w:val="21"/>
          <w:highlight w:val="white"/>
          <w:rtl w:val="0"/>
        </w:rPr>
        <w:t xml:space="preserve">SYN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 — синхронизация номеров последовательности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hd w:fill="ffffff" w:val="clear"/>
        <w:spacing w:after="20" w:before="0" w:beforeAutospacing="0" w:lineRule="auto"/>
        <w:ind w:left="1080" w:hanging="360"/>
        <w:rPr>
          <w:highlight w:val="white"/>
        </w:rPr>
      </w:pPr>
      <w:r w:rsidDel="00000000" w:rsidR="00000000" w:rsidRPr="00000000">
        <w:rPr>
          <w:b w:val="1"/>
          <w:color w:val="202122"/>
          <w:sz w:val="21"/>
          <w:szCs w:val="21"/>
          <w:highlight w:val="white"/>
          <w:rtl w:val="0"/>
        </w:rPr>
        <w:t xml:space="preserve">FIN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 — флаг, будучи установлен, указывает на завершение соединения </w:t>
      </w:r>
    </w:p>
    <w:p w:rsidR="00000000" w:rsidDel="00000000" w:rsidP="00000000" w:rsidRDefault="00000000" w:rsidRPr="00000000" w14:paraId="00000072">
      <w:pPr>
        <w:rPr>
          <w:color w:val="2021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021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021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021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021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