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Introducing GLO — Revised Website Wireframe</w:t>
      </w:r>
    </w:p>
    <w:p>
      <w:pPr/>
      <w:r>
        <w:t>English version · Draft for content and design development</w:t>
      </w:r>
    </w:p>
    <w:p>
      <w:pPr/>
      <w:r>
        <w:t>PURPOSE  Revised website wireframe and copy direction for the second landing page: GLO.</w:t>
      </w:r>
    </w:p>
    <w:p>
      <w:pPr>
        <w:pStyle w:val="Heading1"/>
      </w:pPr>
      <w:r>
        <w:t xml:space="preserve">Core direction</w:t>
      </w:r>
    </w:p>
    <w:p>
      <w:pPr>
        <w:pStyle w:val="ListBullet"/>
      </w:pPr>
      <w:r>
        <w:t xml:space="preserve">The page begins where Meet Gia ends: the visitor already understands Gia and now wants to know what gives her more capability for larger or more demanding work.</w:t>
      </w:r>
    </w:p>
    <w:p>
      <w:pPr>
        <w:pStyle w:val="ListBullet"/>
      </w:pPr>
      <w:r>
        <w:t xml:space="preserve">Explain the benefit before the branded term. Start with the simple idea that complex AI work requires resources, then introduce GLO as Glonari’s Membership &amp; Access Token that can provide qualifying access to additional capacity and capabilities.</w:t>
      </w:r>
    </w:p>
    <w:p>
      <w:pPr>
        <w:pStyle w:val="ListBullet"/>
      </w:pPr>
      <w:r>
        <w:t xml:space="preserve">Keep Gia as the intelligence and GLO as the enabling resource. The visitor should never leave with the impression that the token itself thinks, acts or creates value on its own.</w:t>
      </w:r>
    </w:p>
    <w:p>
      <w:pPr>
        <w:pStyle w:val="ListBullet"/>
      </w:pPr>
      <w:r>
        <w:t xml:space="preserve">Global Connections appears only as one possible use of qualifying capacity. Detailed project economics, compensation examples and secondary-market mechanics should move to dedicated follow-on pages.</w:t>
      </w:r>
    </w:p>
    <w:p>
      <w:pPr>
        <w:pStyle w:val="ListBullet"/>
      </w:pPr>
      <w:r>
        <w:t xml:space="preserve">This is the second page in a four-page sequence: Meet Gia → Introducing GLO → Global Connections → How GLO Works. Calls to action move the visitor forward in that order rather than skipping a page or pointing back to this one.</w:t>
      </w:r>
    </w:p>
    <w:p>
      <w:pPr>
        <w:pStyle w:val="ListBullet"/>
      </w:pPr>
      <w:r>
        <w:t xml:space="preserve">This page is the only place where the overview of possible uses (“One capacity. Many possible uses.”) appears in full. The How GLO Works page refers to it instead of repeating it.</w:t>
      </w:r>
    </w:p>
    <w:p>
      <w:pPr>
        <w:pStyle w:val="Heading1"/>
      </w:pPr>
      <w:r>
        <w:t xml:space="preserve">01 · HERO — MORE CAPABILITY FOR GIA</w:t>
      </w:r>
    </w:p>
    <w:p>
      <w:pPr>
        <w:pStyle w:val="Heading2"/>
      </w:pPr>
      <w:r>
        <w:t xml:space="preserve">Some tasks need more than a conversation.</w:t>
      </w:r>
    </w:p>
    <w:p>
      <w:pPr/>
      <w:r>
        <w:t xml:space="preserve">The second page should feel like a direct continuation of Meet Gia. The visitor has already seen what Gia can do; now the page answers the next question: what happens when a task needs more resources, more tools or more sustained work?</w:t>
      </w:r>
    </w:p>
    <w:p>
      <w:pPr>
        <w:pStyle w:val="Heading3"/>
      </w:pPr>
      <w:r>
        <w:t xml:space="preserve">HERO COPY</w:t>
      </w:r>
    </w:p>
    <w:p>
      <w:pPr/>
      <w:r>
        <w:t xml:space="preserve">EYEBROW: INTRODUCING GLO™</w:t>
      </w:r>
    </w:p>
    <w:p>
      <w:pPr/>
      <w:r>
        <w:t xml:space="preserve">HEADLINE: Give Gia more capability.</w:t>
      </w:r>
    </w:p>
    <w:p>
      <w:pPr/>
      <w:r>
        <w:t xml:space="preserve">SUPPORTING LINE: GLO gives Gia access to additional Glonari resources and capabilities so she can do more for you.</w:t>
      </w:r>
    </w:p>
    <w:p>
      <w:pPr/>
      <w:r>
        <w:t xml:space="preserve">SHORT PRINCIPLE: GLO provides the capacity. Gia puts it to work.</w:t>
      </w:r>
    </w:p>
    <w:p>
      <w:pPr/>
      <w:r>
        <w:t xml:space="preserve">CTA: See what GLO adds   |   Explore Global Connections</w:t>
      </w:r>
    </w:p>
    <w:p>
      <w:pPr/>
      <w:r>
        <w:t xml:space="preserve">IMAGE / UI: Keep Gia visually present, but do not repeat the Meet Gia hero. Show her at a real workstation or device with a restrained resource layer around the interface: compute, models, tools, agents, research and execution. The resource layer should look like a system she can call on, not like magical objects floating around her. No coin stacks, medals or laurel-wreath token imagery.</w:t>
      </w:r>
    </w:p>
    <w:p>
      <w:pPr>
        <w:pStyle w:val="TechNote"/>
      </w:pPr>
      <w:r>
        <w:t xml:space="preserve">TECH: Use one calm hero composition rather than a complex scroll narrative. A subtle 5–7 second motion loop is enough: interface states wake up softly, resource labels appear in sequence and thin connections brighten briefly. No coin-first composition. If GLO branding appears as a mark, it should be secondary to Gia and the resource system. The primary CTA scrolls to section 02 on this page; the secondary CTA opens the Global Connections page, the next page in the sequence.</w:t>
      </w:r>
    </w:p>
    <w:p>
      <w:pPr>
        <w:pStyle w:val="Heading1"/>
      </w:pPr>
      <w:r>
        <w:t xml:space="preserve">02 · WHY CAPACITY MATTERS</w:t>
      </w:r>
    </w:p>
    <w:p>
      <w:pPr>
        <w:pStyle w:val="Heading2"/>
      </w:pPr>
      <w:r>
        <w:t xml:space="preserve">AI is powerful. More demanding work requires more resources.</w:t>
      </w:r>
    </w:p>
    <w:p>
      <w:pPr/>
      <w:r>
        <w:t xml:space="preserve">A simple conversation may need modest resources. Research, coordinated models, specialized tools, agents and extended work can require considerably more.</w:t>
      </w:r>
    </w:p>
    <w:p>
      <w:pPr/>
      <w:r>
        <w:t xml:space="preserve">The user should understand this before seeing any token language. The point is not “more power” as an abstract promise; the point is access to the kinds of resources complex work can require.</w:t>
      </w:r>
    </w:p>
    <w:p>
      <w:pPr>
        <w:pStyle w:val="ListBullet"/>
      </w:pPr>
      <w:r>
        <w:t xml:space="preserve">Compute — processing capacity for more sophisticated tasks.</w:t>
      </w:r>
    </w:p>
    <w:p>
      <w:pPr>
        <w:pStyle w:val="ListBullet"/>
      </w:pPr>
      <w:r>
        <w:t xml:space="preserve">Models — AI selected for different kinds of work.</w:t>
      </w:r>
    </w:p>
    <w:p>
      <w:pPr>
        <w:pStyle w:val="ListBullet"/>
      </w:pPr>
      <w:r>
        <w:t xml:space="preserve">Tools — specialized software, services and capabilities.</w:t>
      </w:r>
    </w:p>
    <w:p>
      <w:pPr>
        <w:pStyle w:val="ListBullet"/>
      </w:pPr>
      <w:r>
        <w:t xml:space="preserve">Agents — additional AI resources for coordinated work.</w:t>
      </w:r>
    </w:p>
    <w:p>
      <w:pPr>
        <w:pStyle w:val="ListBullet"/>
      </w:pPr>
      <w:r>
        <w:t xml:space="preserve">Research — gathering, organizing and analyzing information.</w:t>
      </w:r>
    </w:p>
    <w:p>
      <w:pPr>
        <w:pStyle w:val="ListBullet"/>
      </w:pPr>
      <w:r>
        <w:t xml:space="preserve">Execution — moving authorized work toward completion.</w:t>
      </w:r>
    </w:p>
    <w:p>
      <w:pPr/>
      <w:r>
        <w:t xml:space="preserve">IMAGE / UI: A six-part resource system connected to Gia. Use compact labels and one-line explanations. The visual should make the relationship clear: the resources are available to Gia; Gia is the intelligence that decides how to orchestrate them.</w:t>
      </w:r>
    </w:p>
    <w:p>
      <w:pPr>
        <w:pStyle w:val="TechNote"/>
      </w:pPr>
      <w:r>
        <w:t xml:space="preserve">TECH: This is the key explanatory section. Avoid futuristic abstraction without labels. Every visual node must correspond to a real resource category from the source material. On mobile, stack the six resource cards in two or three compact rows.</w:t>
      </w:r>
    </w:p>
    <w:p>
      <w:pPr>
        <w:pStyle w:val="Heading1"/>
      </w:pPr>
      <w:r>
        <w:t xml:space="preserve">03 · WHAT GLO IS</w:t>
      </w:r>
    </w:p>
    <w:p>
      <w:pPr>
        <w:pStyle w:val="Heading2"/>
      </w:pPr>
      <w:r>
        <w:t xml:space="preserve">GLO is access to more resources — not a second AI.</w:t>
      </w:r>
    </w:p>
    <w:p>
      <w:pPr/>
      <w:r>
        <w:t xml:space="preserve">GLO™ — Glonari Life Optimizers™ — is Glonari’s Membership &amp; Access Token. Qualifying GLO can provide access to additional Glonari resources and capabilities that Gia can orchestrate on the member’s behalf, subject to applicable program terms.</w:t>
      </w:r>
    </w:p>
    <w:p>
      <w:pPr/>
      <w:r>
        <w:t xml:space="preserve">Keep the explanation deliberately simple:</w:t>
      </w:r>
    </w:p>
    <w:p>
      <w:pPr>
        <w:pStyle w:val="ListBullet"/>
      </w:pPr>
      <w:r>
        <w:t xml:space="preserve">You provide the goal, preferences and requirements.</w:t>
      </w:r>
    </w:p>
    <w:p>
      <w:pPr>
        <w:pStyle w:val="ListBullet"/>
      </w:pPr>
      <w:r>
        <w:t xml:space="preserve">GLO can make qualifying capacity and resources available.</w:t>
      </w:r>
    </w:p>
    <w:p>
      <w:pPr>
        <w:pStyle w:val="ListBullet"/>
      </w:pPr>
      <w:r>
        <w:t xml:space="preserve">Gia plans, selects resources, coordinates the work and keeps you informed.</w:t>
      </w:r>
    </w:p>
    <w:p>
      <w:pPr>
        <w:pStyle w:val="ListBullet"/>
      </w:pPr>
      <w:r>
        <w:t xml:space="preserve">You review and decide when approval or participation is required.</w:t>
      </w:r>
    </w:p>
    <w:p>
      <w:pPr/>
      <w:r>
        <w:t xml:space="preserve">ON-SCREEN PRINCIPLE: GLO isn’t the intelligence. Gia is.</w:t>
      </w:r>
    </w:p>
    <w:p>
      <w:pPr/>
      <w:r>
        <w:t xml:space="preserve">ON-SCREEN NOTE: “Qualifying” means meeting the applicable program terms.</w:t>
      </w:r>
    </w:p>
    <w:p>
      <w:pPr/>
      <w:r>
        <w:t xml:space="preserve">IMAGE / UI: Use a simple four-step horizontal flow: You → GLO capacity/resources → Gia orchestrates → useful outcome. Keep Gia visually larger than the GLO node so the hierarchy is unmistakable.</w:t>
      </w:r>
    </w:p>
    <w:p>
      <w:pPr>
        <w:pStyle w:val="TechNote"/>
      </w:pPr>
      <w:r>
        <w:t xml:space="preserve">TECH: Introduce the branded term only after the plain-language benefit is understood. Do not use token charts, price graphics or speculative-value language in this section. Define “qualifying” once here, as a short note or tooltip, and use the word sparingly in later on-screen copy; the precise legal wording can live in the important-information block.</w:t>
      </w:r>
    </w:p>
    <w:p>
      <w:pPr>
        <w:pStyle w:val="Heading1"/>
      </w:pPr>
      <w:r>
        <w:t xml:space="preserve">04 · WHAT MORE CAPACITY CAN ENABLE</w:t>
      </w:r>
    </w:p>
    <w:p>
      <w:pPr>
        <w:pStyle w:val="Heading2"/>
      </w:pPr>
      <w:r>
        <w:t xml:space="preserve">One capacity. Many possible uses.</w:t>
      </w:r>
    </w:p>
    <w:p>
      <w:pPr/>
      <w:r>
        <w:t xml:space="preserve">Available GLO capacity can support qualifying Glonari capabilities and experiences. Present this as a small set of practical categories rather than a long product catalog.</w:t>
      </w:r>
    </w:p>
    <w:p>
      <w:pPr>
        <w:pStyle w:val="Heading3"/>
      </w:pPr>
      <w:r>
        <w:t xml:space="preserve">PERSONAL CAPABILITY</w:t>
      </w:r>
    </w:p>
    <w:p>
      <w:pPr/>
      <w:r>
        <w:t xml:space="preserve">Research, analyze, plan, organize, create, compare, coordinate and execute. The benefit is simple: Gia can take on more of the work around a goal.</w:t>
      </w:r>
    </w:p>
    <w:p>
      <w:pPr>
        <w:pStyle w:val="Heading3"/>
      </w:pPr>
      <w:r>
        <w:t xml:space="preserve">ECONOMIC UTILITY</w:t>
      </w:r>
    </w:p>
    <w:p>
      <w:pPr/>
      <w:r>
        <w:t xml:space="preserve">Where qualifying programs apply, Gia may help save money, identify opportunities, perform useful work and create value through authorized activity.</w:t>
      </w:r>
    </w:p>
    <w:p>
      <w:pPr>
        <w:pStyle w:val="Heading3"/>
      </w:pPr>
      <w:r>
        <w:t xml:space="preserve">GLONARI CAPABILITIES &amp; EXPERIENCES</w:t>
      </w:r>
    </w:p>
    <w:p>
      <w:pPr/>
      <w:r>
        <w:t xml:space="preserve">Qualifying access to other Glonari services, resources or experiences can be brought into the task when relevant and permitted by program terms.</w:t>
      </w:r>
    </w:p>
    <w:p>
      <w:pPr>
        <w:pStyle w:val="Heading3"/>
      </w:pPr>
      <w:r>
        <w:t xml:space="preserve">GLOBAL CONNECTIONS® — PREVIEW</w:t>
      </w:r>
    </w:p>
    <w:p>
      <w:pPr/>
      <w:r>
        <w:t xml:space="preserve">Gia can identify, evaluate, explain and track qualifying work opportunities. The member reviews the terms, decides and authorizes participation when required.</w:t>
      </w:r>
    </w:p>
    <w:p>
      <w:pPr/>
      <w:r>
        <w:t xml:space="preserve">IMAGE / UI: Four restrained cards with one concrete example under each category. Keep Global Connections visibly marked as “Learn more” rather than explaining the complete workflow here. Each card carries a small status label: Available now, With approval, Coming next or Vision.</w:t>
      </w:r>
    </w:p>
    <w:p>
      <w:pPr>
        <w:pStyle w:val="TechNote"/>
      </w:pPr>
      <w:r>
        <w:t xml:space="preserve">TECH: Do not place compensation figures in these cards. This page explains capacity and utility; project economics belong on the dedicated Global Connections page. Status labels must be confirmed by the product team before launch; when in doubt, use the more conservative label.</w:t>
      </w:r>
    </w:p>
    <w:p>
      <w:pPr>
        <w:pStyle w:val="Heading1"/>
      </w:pPr>
      <w:r>
        <w:t xml:space="preserve">05 · HOW GIA PUTS IT TO WORK</w:t>
      </w:r>
    </w:p>
    <w:p>
      <w:pPr>
        <w:pStyle w:val="Heading2"/>
      </w:pPr>
      <w:r>
        <w:t xml:space="preserve">You set the direction. Gia orchestrates the resources.</w:t>
      </w:r>
    </w:p>
    <w:p>
      <w:pPr/>
      <w:r>
        <w:t xml:space="preserve">Use one practical scenario that shows why additional capacity matters. Example: “Research three markets, compare competitors, build a source list and prepare a briefing for review.”</w:t>
      </w:r>
    </w:p>
    <w:p>
      <w:pPr>
        <w:pStyle w:val="ListBullet"/>
      </w:pPr>
      <w:r>
        <w:t xml:space="preserve">1. You define the task and the outcome you want.</w:t>
      </w:r>
    </w:p>
    <w:p>
      <w:pPr>
        <w:pStyle w:val="ListBullet"/>
      </w:pPr>
      <w:r>
        <w:t xml:space="preserve">2. Gia determines what research, models, tools or coordinated resources are needed.</w:t>
      </w:r>
    </w:p>
    <w:p>
      <w:pPr>
        <w:pStyle w:val="ListBullet"/>
      </w:pPr>
      <w:r>
        <w:t xml:space="preserve">3. Available qualifying capacity supports the work.</w:t>
      </w:r>
    </w:p>
    <w:p>
      <w:pPr>
        <w:pStyle w:val="ListBullet"/>
      </w:pPr>
      <w:r>
        <w:t xml:space="preserve">4. Gia brings the result back with sources, assumptions and items that need your review.</w:t>
      </w:r>
    </w:p>
    <w:p>
      <w:pPr/>
      <w:r>
        <w:t xml:space="preserve">IMAGE / UI: Split-screen task workspace. Left: the user’s request, constraints and approval controls. Right: Gia’s resource plan and progress states such as Researching, Comparing, Drafting, Needs review and Ready.</w:t>
      </w:r>
    </w:p>
    <w:p>
      <w:pPr>
        <w:pStyle w:val="TechNote"/>
      </w:pPr>
      <w:r>
        <w:t xml:space="preserve">TECH: The user should see orchestration, not an opaque “AI is working” animation. Make sources, progress and review states visible. Keep consequential actions behind explicit approval, consistent with the Meet Gia page.</w:t>
      </w:r>
    </w:p>
    <w:p>
      <w:pPr>
        <w:pStyle w:val="Heading1"/>
      </w:pPr>
      <w:r>
        <w:t xml:space="preserve">06 · YOUR GLO, YOUR OPTIONS</w:t>
      </w:r>
    </w:p>
    <w:p>
      <w:pPr>
        <w:pStyle w:val="Heading2"/>
      </w:pPr>
      <w:r>
        <w:t xml:space="preserve">Capacity can be used in different qualifying ways.</w:t>
      </w:r>
    </w:p>
    <w:p>
      <w:pPr/>
      <w:r>
        <w:t xml:space="preserve">The site uses one options model on every page: Use, Put it to work, Support and Transfer. On this marketing page, keep them concise and separate so the visitor does not confuse personal use, project participation and transfer.</w:t>
      </w:r>
    </w:p>
    <w:p>
      <w:pPr>
        <w:pStyle w:val="ListBullet"/>
      </w:pPr>
      <w:r>
        <w:t xml:space="preserve">Use — make qualifying GLO capacity available to your Gia for your own needs. You keep your GLO.</w:t>
      </w:r>
    </w:p>
    <w:p>
      <w:pPr>
        <w:pStyle w:val="ListBullet"/>
      </w:pPr>
      <w:r>
        <w:t xml:space="preserve">Put it to work — authorize your Gia to perform a qualifying Global Connections project. The work moves; you retain the GLO.</w:t>
      </w:r>
    </w:p>
    <w:p>
      <w:pPr>
        <w:pStyle w:val="ListBullet"/>
      </w:pPr>
      <w:r>
        <w:t xml:space="preserve">Support — where program terms permit, qualifying GLO may support another member’s qualifying access or experience. Details are defined by program terms.</w:t>
      </w:r>
    </w:p>
    <w:p>
      <w:pPr>
        <w:pStyle w:val="ListBullet"/>
      </w:pPr>
      <w:r>
        <w:t xml:space="preserve">Transfer — where available, qualifying GLO may be independently transferred through decentralized secondary markets; ownership changes when the GLO itself transfers.</w:t>
      </w:r>
    </w:p>
    <w:p>
      <w:pPr/>
      <w:r>
        <w:t xml:space="preserve">After a project ends, capacity may become available again for Use or another project. This is a property of the options above, not a separate option.</w:t>
      </w:r>
    </w:p>
    <w:p>
      <w:pPr/>
      <w:r>
        <w:t xml:space="preserve">CTA: Explore how GLO works</w:t>
      </w:r>
    </w:p>
    <w:p>
      <w:pPr/>
      <w:r>
        <w:t xml:space="preserve">IMAGE / UI: Four-option selector or accordion. Default open state: Use. The other three options remain concise, with links to deeper pages rather than full explanations. Support carries the status label agreed with the product team (for example, Coming next) so it does not read as universally available.</w:t>
      </w:r>
    </w:p>
    <w:p>
      <w:pPr>
        <w:pStyle w:val="TechNote"/>
      </w:pPr>
      <w:r>
        <w:t xml:space="preserve">TECH: This is the deepest section on the main GLO landing page. Keep legal and market language factual and compact. Do not imply that transferability means liquidity, resale certainty or appreciation. Use exactly the same four option names and order as the How GLO Works page.</w:t>
      </w:r>
    </w:p>
    <w:p>
      <w:pPr>
        <w:pStyle w:val="Heading1"/>
      </w:pPr>
      <w:r>
        <w:t xml:space="preserve">BREATHER · FULL-WIDTH PHOTO BAND</w:t>
      </w:r>
    </w:p>
    <w:p>
      <w:pPr>
        <w:pStyle w:val="Heading2"/>
      </w:pPr>
      <w:r>
        <w:t xml:space="preserve">Wherever the work is, you stay in control.</w:t>
      </w:r>
    </w:p>
    <w:p>
      <w:r>
        <w:t xml:space="preserve">A short pause between Your GLO, your options (06) and Global Connections — a different kind of use (07): one full-width photo and one line. No heading in the page outline, no buttons, not in the header navigation.</w:t>
      </w:r>
    </w:p>
    <w:p>
      <w:r>
        <w:rPr>
          <w:b/>
        </w:rPr>
        <w:t xml:space="preserve">ON-SCREEN LINE: </w:t>
      </w:r>
      <w:r>
        <w:t xml:space="preserve">Wherever the work is, you stay in control.</w:t>
      </w:r>
    </w:p>
    <w:p>
      <w:r>
        <w:rPr>
          <w:b/>
          <w:color w:val="6F675F"/>
        </w:rPr>
        <w:t xml:space="preserve">IMAGE / UI: One warm, bright landscape photo across the full width (vista-glo: a harbor city and its bay at sunset), sky in the upper third, no people, no readable text, numbers or logos. The line sits centered in the upper middle, over the sky, in the display face in champagne.</w:t>
      </w:r>
    </w:p>
    <w:p>
      <w:pPr>
        <w:pStyle w:val="TechNote"/>
      </w:pPr>
      <w:r>
        <w:t xml:space="preserve">TECH: About 100vh on desktop, about 70vh on phones. Curtain reveal: the photo stays still in the viewport while the section above slides up off it, then the next section scrolls up over it and covers it again; the photo itself never moves or scales. A light dark tint over the whole photo and a stronger dark gradient from the top edge hand over from the section above and keep the line at 3:1 contrast or more (WCAG AA, large text) while the photo stays warm and bright. The line fades in once when the band comes into view. The photo is decorative (empty alt), loads as the band approaches and has no hover parallax. Reduced-motion users see an ordinary static full-width photo with the line.</w:t>
      </w:r>
    </w:p>
    <w:p>
      <w:pPr>
        <w:pStyle w:val="Heading1"/>
      </w:pPr>
      <w:r>
        <w:t xml:space="preserve">07 · GLOBAL CONNECTIONS — A DIFFERENT KIND OF USE</w:t>
      </w:r>
    </w:p>
    <w:p>
      <w:pPr>
        <w:pStyle w:val="Heading2"/>
      </w:pPr>
      <w:r>
        <w:t xml:space="preserve">The work moves. The GLO doesn’t.</w:t>
      </w:r>
    </w:p>
    <w:p>
      <w:pPr/>
      <w:r>
        <w:t xml:space="preserve">Global Connections should be introduced here only enough to establish the distinction. One member needs useful work completed. Another member has qualifying capacity and may authorize their Gia to perform the project. The deliverable goes back to the requesting member, who pays for the work under the project terms; the participating member retains their GLO.</w:t>
      </w:r>
    </w:p>
    <w:p>
      <w:pPr>
        <w:pStyle w:val="ListBullet"/>
      </w:pPr>
      <w:r>
        <w:t xml:space="preserve">Gia identifies a qualifying project.</w:t>
      </w:r>
    </w:p>
    <w:p>
      <w:pPr>
        <w:pStyle w:val="ListBullet"/>
      </w:pPr>
      <w:r>
        <w:t xml:space="preserve">You review the terms.</w:t>
      </w:r>
    </w:p>
    <w:p>
      <w:pPr>
        <w:pStyle w:val="ListBullet"/>
      </w:pPr>
      <w:r>
        <w:t xml:space="preserve">You choose whether to participate.</w:t>
      </w:r>
    </w:p>
    <w:p>
      <w:pPr>
        <w:pStyle w:val="ListBullet"/>
      </w:pPr>
      <w:r>
        <w:t xml:space="preserve">You authorize Gia.</w:t>
      </w:r>
    </w:p>
    <w:p>
      <w:pPr>
        <w:pStyle w:val="ListBullet"/>
      </w:pPr>
      <w:r>
        <w:t xml:space="preserve">Gia performs and tracks the work using available qualifying capacity.</w:t>
      </w:r>
    </w:p>
    <w:p>
      <w:pPr/>
      <w:r>
        <w:t xml:space="preserve">CTA: See how Global Connections works</w:t>
      </w:r>
    </w:p>
    <w:p>
      <w:pPr/>
      <w:r>
        <w:t xml:space="preserve">IMAGE / UI: A five-step preview flow. Do not show dollar amounts here. The next dedicated page can explain who requests the work, who pays for it, what the member does, what Gia does, how review works and how compensation is determined by project terms.</w:t>
      </w:r>
    </w:p>
    <w:p>
      <w:pPr>
        <w:pStyle w:val="TechNote"/>
      </w:pPr>
      <w:r>
        <w:t xml:space="preserve">TECH: Keep this section clearly separated from any secondary-market transfer language. The source material makes a critical distinction: in Global Connections the work moves and the GLO stays with the member; in a secondary-market transfer the GLO moves and ownership changes.</w:t>
      </w:r>
    </w:p>
    <w:p>
      <w:pPr>
        <w:pStyle w:val="Heading1"/>
      </w:pPr>
      <w:r>
        <w:t xml:space="preserve">08 · FLEXIBILITY, CONTROL &amp; IMPORTANT LIMITS</w:t>
      </w:r>
    </w:p>
    <w:p>
      <w:pPr>
        <w:pStyle w:val="Heading2"/>
      </w:pPr>
      <w:r>
        <w:t xml:space="preserve">More capability does not remove your control.</w:t>
      </w:r>
    </w:p>
    <w:p>
      <w:pPr/>
      <w:r>
        <w:t xml:space="preserve">Gia can explain available options and use qualifying resources under applicable terms, but important distinctions and limitations should remain visible.</w:t>
      </w:r>
    </w:p>
    <w:p>
      <w:pPr>
        <w:pStyle w:val="ListBullet"/>
      </w:pPr>
      <w:r>
        <w:t xml:space="preserve">GLO provides access and capacity; it is not the intelligence and does not perform the work by itself.</w:t>
      </w:r>
    </w:p>
    <w:p>
      <w:pPr>
        <w:pStyle w:val="ListBullet"/>
      </w:pPr>
      <w:r>
        <w:t xml:space="preserve">Global Connections participation is subject to project terms, review, authorization and any required member participation.</w:t>
      </w:r>
    </w:p>
    <w:p>
      <w:pPr>
        <w:pStyle w:val="ListBullet"/>
      </w:pPr>
      <w:r>
        <w:t xml:space="preserve">GLO itself does not pay income, interest or yield.</w:t>
      </w:r>
    </w:p>
    <w:p>
      <w:pPr>
        <w:pStyle w:val="ListBullet"/>
      </w:pPr>
      <w:r>
        <w:t xml:space="preserve">Where transfers are available, Glonari does not operate or intermediate decentralized exchanges, and liquidity or resale is not guaranteed.</w:t>
      </w:r>
    </w:p>
    <w:p>
      <w:pPr>
        <w:pStyle w:val="ListBullet"/>
      </w:pPr>
      <w:r>
        <w:t xml:space="preserve">Market prices may differ from Glonari’s offering price; transferability does not promise appreciation.</w:t>
      </w:r>
    </w:p>
    <w:p>
      <w:pPr>
        <w:pStyle w:val="ListBullet"/>
      </w:pPr>
      <w:r>
        <w:t xml:space="preserve">Not every capability described on this page is available today. Each one is labeled with its current status.</w:t>
      </w:r>
    </w:p>
    <w:p>
      <w:pPr/>
      <w:r>
        <w:t xml:space="preserve">IMAGE / UI: A compact “What GLO is / What GLO is not” panel. Keep it visually calm and easy to scan, not styled like legal fine print.</w:t>
      </w:r>
    </w:p>
    <w:p>
      <w:pPr>
        <w:pStyle w:val="TechNote"/>
      </w:pPr>
      <w:r>
        <w:t xml:space="preserve">TECH: Product and legal teams should verify final terminology, availability and program-status language before launch. Keep claims tagged as Available now, With approval, Coming next or Vision, as on the Meet Gia page, and show these labels to the visitor, not only internally.</w:t>
      </w:r>
    </w:p>
    <w:p>
      <w:pPr>
        <w:pStyle w:val="Heading1"/>
      </w:pPr>
      <w:r>
        <w:t xml:space="preserve">09 · FINAL CTA</w:t>
      </w:r>
    </w:p>
    <w:p>
      <w:pPr>
        <w:pStyle w:val="Heading2"/>
      </w:pPr>
      <w:r>
        <w:t xml:space="preserve">Give Gia more to work with.</w:t>
      </w:r>
    </w:p>
    <w:p>
      <w:pPr/>
      <w:r>
        <w:t xml:space="preserve">The closing section should return to the human benefit rather than ending on token mechanics. Gia is still the product the user relates to; GLO is the resource layer that can expand what she is able to take on.</w:t>
      </w:r>
    </w:p>
    <w:p>
      <w:pPr>
        <w:pStyle w:val="ListBullet"/>
      </w:pPr>
      <w:r>
        <w:t xml:space="preserve">More resources for complex research and analysis.</w:t>
      </w:r>
    </w:p>
    <w:p>
      <w:pPr>
        <w:pStyle w:val="ListBullet"/>
      </w:pPr>
      <w:r>
        <w:t xml:space="preserve">More tools and coordinated capabilities when a task requires them.</w:t>
      </w:r>
    </w:p>
    <w:p>
      <w:pPr>
        <w:pStyle w:val="ListBullet"/>
      </w:pPr>
      <w:r>
        <w:t xml:space="preserve">More capacity for longer or more demanding authorized work.</w:t>
      </w:r>
    </w:p>
    <w:p>
      <w:pPr/>
      <w:r>
        <w:t xml:space="preserve">CTA: See how Global Connections works   |   Learn about membership</w:t>
      </w:r>
    </w:p>
    <w:p>
      <w:pPr/>
      <w:r>
        <w:t xml:space="preserve">IMAGE / UI: Return to Gia in a warm, real environment. Show one finished result beside her — for example, a completed briefing or comparison — with the resource system faded into the background rather than dominating the frame.</w:t>
      </w:r>
    </w:p>
    <w:p>
      <w:pPr>
        <w:pStyle w:val="TechNote"/>
      </w:pPr>
      <w:r>
        <w:t xml:space="preserve">TECH: Site header: the primary level is site navigation across the four pages (Meet Gia · Introducing GLO · Global Connections · How GLO Works), with the current page marked. This page’s sections form a secondary in-page navigation: Why capacity · What GLO is · What it enables · How it works · Your options · Global Connections · Limits. Add a slim section-progress indicator and preserve the same motion/accessibility behavior used on the Meet Gia page. “Learn about membership” leads to membership information; its final destination and wording are to be confirmed by the product team.</w:t>
      </w:r>
    </w:p>
    <w:p>
      <w:pPr>
        <w:pStyle w:val="Heading1"/>
      </w:pPr>
      <w:r>
        <w:t xml:space="preserve">Recommended content rules</w:t>
      </w:r>
    </w:p>
    <w:p>
      <w:pPr/>
      <w:r>
        <w:t xml:space="preserve">Hierarchy: Gia is the intelligence; GLO is the capacity/access layer. Keep this hierarchy visible in both copy and imagery.</w:t>
      </w:r>
    </w:p>
    <w:p>
      <w:pPr/>
      <w:r>
        <w:t xml:space="preserve">Plain language first: Explain resources and the user benefit before introducing token terminology.</w:t>
      </w:r>
    </w:p>
    <w:p>
      <w:pPr/>
      <w:r>
        <w:t xml:space="preserve">Separation of concepts: Personal use, Global Connections and independent transfer are different mechanisms. Never collapse them into one “earn/use/sell” story.</w:t>
      </w:r>
    </w:p>
    <w:p>
      <w:pPr/>
      <w:r>
        <w:t xml:space="preserve">One options model: Use, Put it to work, Support and Transfer, in this order and with these names, on every page of the site.</w:t>
      </w:r>
    </w:p>
    <w:p>
      <w:pPr/>
      <w:r>
        <w:t xml:space="preserve">No speculative framing: Do not present GLO as an investment, promise appreciation, or imply guaranteed income, yield, liquidity or resale.</w:t>
      </w:r>
    </w:p>
    <w:p>
      <w:pPr/>
      <w:r>
        <w:t xml:space="preserve">Status labels: Show every capability with its current status (Available now, With approval, Coming next or Vision), so the visitor can tell what works today from what is planned.</w:t>
      </w:r>
    </w:p>
    <w:p>
      <w:pPr/>
      <w:r>
        <w:t xml:space="preserve">Progressive disclosure: Keep the landing page understandable in one pass. Move detailed compensation examples and secondary-market mechanics to dedicated deeper pages.</w:t>
      </w:r>
    </w:p>
    <w:p>
      <w:pPr/>
      <w:r>
        <w:t xml:space="preserve">Visual tone: Continue the premium cinematic identity from Meet Gia, but make the system legible with real UI, labeled resources, status states and user controls. Do not use coin stacks, medals or laurel-wreath token imagery.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171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B9863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val="0"/>
      <w:bCs/>
      <w:color w:val="6F67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9171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ote">
    <w:name w:val="Tech Note"/>
    <w:pPr>
      <w:spacing w:before="60" w:after="180"/>
      <w:ind w:left="259"/>
    </w:pPr>
    <w:rPr>
      <w:rFonts w:ascii="Arial" w:hAnsi="Arial"/>
      <w:i/>
      <w:color w:val="6F67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