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GLO Works — Revised Website Wireframe</w:t>
      </w:r>
    </w:p>
    <w:p>
      <w:pPr/>
      <w:r>
        <w:t>English version · Draft for content and design development</w:t>
      </w:r>
    </w:p>
    <w:p>
      <w:pPr/>
      <w:r>
        <w:t>PURPOSE  Revised website wireframe and copy direction for the fourth landing page: GLO capacity, utility and flexibility.</w:t>
      </w:r>
    </w:p>
    <w:p>
      <w:pPr>
        <w:pStyle w:val="Heading1"/>
      </w:pPr>
      <w:r>
        <w:t xml:space="preserve">Core direction</w:t>
      </w:r>
    </w:p>
    <w:p>
      <w:pPr>
        <w:pStyle w:val="ListBullet"/>
      </w:pPr>
      <w:r>
        <w:t xml:space="preserve">This is the deeper mechanism page for visitors who already understand Gia, GLO and Global Connections and now want to know how the system fits together.</w:t>
      </w:r>
    </w:p>
    <w:p>
      <w:pPr>
        <w:pStyle w:val="ListBullet"/>
      </w:pPr>
      <w:r>
        <w:t xml:space="preserve">Explain capacity as something Gia can use for qualifying personal needs, authorized project work and other permitted uses — while keeping ownership and transfer mechanics distinct.</w:t>
      </w:r>
    </w:p>
    <w:p>
      <w:pPr>
        <w:pStyle w:val="ListBullet"/>
      </w:pPr>
      <w:r>
        <w:t xml:space="preserve">Show reusable capacity carefully: after a qualifying project concludes and its requirements are satisfied, capacity may become available again. Do not frame this as guaranteed utilization or guaranteed return.</w:t>
      </w:r>
    </w:p>
    <w:p>
      <w:pPr>
        <w:pStyle w:val="ListBullet"/>
      </w:pPr>
      <w:r>
        <w:t xml:space="preserve">Separate Global Connections from independent secondary-market transfer. In one, work moves and the holder keeps GLO; in the other, GLO itself moves and ownership changes.</w:t>
      </w:r>
    </w:p>
    <w:p>
      <w:pPr>
        <w:pStyle w:val="ListBullet"/>
      </w:pPr>
      <w:r>
        <w:t xml:space="preserve">Use one options model throughout the page and the site: Use, Put it to work, Support and Transfer. Reuse after a project is a property of these options, not a separate option.</w:t>
      </w:r>
    </w:p>
    <w:p>
      <w:pPr>
        <w:pStyle w:val="ListBullet"/>
      </w:pPr>
      <w:r>
        <w:t xml:space="preserve">This page explains the mechanism; it does not calculate returns. The illustrative return arithmetic from the informational guide is not used on the public page.</w:t>
      </w:r>
    </w:p>
    <w:p>
      <w:pPr>
        <w:pStyle w:val="ListBullet"/>
      </w:pPr>
      <w:r>
        <w:t xml:space="preserve">The overview of possible uses lives on the Introducing GLO page. This page does not repeat it; it goes deeper into roles, reuse, options and ownership.</w:t>
      </w:r>
    </w:p>
    <w:p>
      <w:pPr>
        <w:pStyle w:val="Heading1"/>
      </w:pPr>
      <w:r>
        <w:t xml:space="preserve">01 · HERO — PUT THE SYSTEM TOGETHER</w:t>
      </w:r>
    </w:p>
    <w:p>
      <w:pPr>
        <w:pStyle w:val="Heading2"/>
      </w:pPr>
      <w:r>
        <w:t xml:space="preserve">Gia is the intelligence. GLO gives her more to work with.</w:t>
      </w:r>
    </w:p>
    <w:p>
      <w:pPr/>
      <w:r>
        <w:t xml:space="preserve">This page should feel more explanatory than promotional. The visitor already knows the names; now the goal is to understand the relationship between the member, Gia, GLO capacity, useful work and the available options after that work is done.</w:t>
      </w:r>
    </w:p>
    <w:p>
      <w:pPr>
        <w:pStyle w:val="Heading3"/>
      </w:pPr>
      <w:r>
        <w:t xml:space="preserve">HERO COPY</w:t>
      </w:r>
    </w:p>
    <w:p>
      <w:pPr/>
      <w:r>
        <w:t xml:space="preserve">EYEBROW: HOW GLO WORKS</w:t>
      </w:r>
    </w:p>
    <w:p>
      <w:pPr/>
      <w:r>
        <w:t xml:space="preserve">HEADLINE: Capacity you can direct where it’s needed.</w:t>
      </w:r>
    </w:p>
    <w:p>
      <w:pPr/>
      <w:r>
        <w:t xml:space="preserve">SUPPORTING LINE: Use it with your Gia, put it to work on an authorized project, or transfer GLO itself where available. After a project ends, capacity may become available again.</w:t>
      </w:r>
    </w:p>
    <w:p>
      <w:pPr/>
      <w:r>
        <w:t xml:space="preserve">CTA: See the three-layer model   |   Compare your options</w:t>
      </w:r>
    </w:p>
    <w:p>
      <w:pPr/>
      <w:r>
        <w:t xml:space="preserve">IMAGE / UI: Use one clear systems diagram: You → Gia → GLO capacity/resources → useful outcome. Around the outcome, show the possible next paths: Use, Put it to work, Support and Transfer. Mark Support as conditional and keep Transfer visually separated from project work.</w:t>
      </w:r>
    </w:p>
    <w:p>
      <w:pPr>
        <w:pStyle w:val="TechNote"/>
      </w:pPr>
      <w:r>
        <w:t xml:space="preserve">TECH: Avoid the look of a tokenomics dashboard. This is an explanatory product-mechanism page. Motion should be slow and diagrammatic: capacity moves between permitted uses, while ownership state remains explicit. No coin stacks, medals or laurel-wreath token imagery. Both CTAs scroll to sections on this page.</w:t>
      </w:r>
    </w:p>
    <w:p>
      <w:pPr>
        <w:pStyle w:val="Heading1"/>
      </w:pPr>
      <w:r>
        <w:t xml:space="preserve">02 · THE THREE-LAYER MODEL</w:t>
      </w:r>
    </w:p>
    <w:p>
      <w:pPr>
        <w:pStyle w:val="Heading2"/>
      </w:pPr>
      <w:r>
        <w:t xml:space="preserve">Direction. Intelligence. Capacity.</w:t>
      </w:r>
    </w:p>
    <w:p>
      <w:pPr/>
      <w:r>
        <w:t xml:space="preserve">The simplest way to understand the system is to separate three roles that should never be collapsed into one.</w:t>
      </w:r>
    </w:p>
    <w:p>
      <w:pPr>
        <w:pStyle w:val="Heading3"/>
      </w:pPr>
      <w:r>
        <w:t xml:space="preserve">YOU — DIRECTION</w:t>
      </w:r>
    </w:p>
    <w:p>
      <w:pPr/>
      <w:r>
        <w:t xml:space="preserve">You provide goals, preferences, requirements, approvals and Human Intelligence™.</w:t>
      </w:r>
    </w:p>
    <w:p>
      <w:pPr>
        <w:pStyle w:val="Heading3"/>
      </w:pPr>
      <w:r>
        <w:t xml:space="preserve">GIA — INTELLIGENCE &amp; ORCHESTRATION</w:t>
      </w:r>
    </w:p>
    <w:p>
      <w:pPr/>
      <w:r>
        <w:t xml:space="preserve">Gia understands the task, plans the work, selects resources, coordinates execution and keeps you informed.</w:t>
      </w:r>
    </w:p>
    <w:p>
      <w:pPr>
        <w:pStyle w:val="Heading3"/>
      </w:pPr>
      <w:r>
        <w:t xml:space="preserve">GLO — CAPACITY &amp; ACCESS</w:t>
      </w:r>
    </w:p>
    <w:p>
      <w:pPr/>
      <w:r>
        <w:t xml:space="preserve">Qualifying GLO can provide access to additional Glonari resources and capabilities under applicable program terms.</w:t>
      </w:r>
    </w:p>
    <w:p>
      <w:pPr/>
      <w:r>
        <w:t xml:space="preserve">ON-SCREEN PRINCIPLE: GLO isn’t the intelligence. Gia is.</w:t>
      </w:r>
    </w:p>
    <w:p>
      <w:pPr/>
      <w:r>
        <w:t xml:space="preserve">IMAGE / UI: Three large stacked layers or concentric rings with an example task passing through them. Avoid giving GLO a “brain” or autonomous-agent treatment.</w:t>
      </w:r>
    </w:p>
    <w:p>
      <w:pPr>
        <w:pStyle w:val="TechNote"/>
      </w:pPr>
      <w:r>
        <w:t xml:space="preserve">TECH: Keep the hierarchy unmistakable. Every later diagram on the page should preserve the same roles and terminology.</w:t>
      </w:r>
    </w:p>
    <w:p>
      <w:pPr>
        <w:pStyle w:val="Heading1"/>
      </w:pPr>
      <w:r>
        <w:t xml:space="preserve">03 · REUSABLE CAPACITY</w:t>
      </w:r>
    </w:p>
    <w:p>
      <w:pPr>
        <w:pStyle w:val="Heading2"/>
      </w:pPr>
      <w:r>
        <w:t xml:space="preserve">The project can end without the GLO ending.</w:t>
      </w:r>
    </w:p>
    <w:p>
      <w:pPr/>
      <w:r>
        <w:t xml:space="preserve">When a qualifying project is completed and its requirements are satisfied, the participating member continues to hold the GLO. Subject to applicable conditions, that capacity may later become available again for another qualifying use.</w:t>
      </w:r>
    </w:p>
    <w:p>
      <w:pPr>
        <w:pStyle w:val="ListBullet"/>
      </w:pPr>
      <w:r>
        <w:t xml:space="preserve">Work is delivered.</w:t>
      </w:r>
    </w:p>
    <w:p>
      <w:pPr>
        <w:pStyle w:val="ListBullet"/>
      </w:pPr>
      <w:r>
        <w:t xml:space="preserve">The project closes.</w:t>
      </w:r>
    </w:p>
    <w:p>
      <w:pPr>
        <w:pStyle w:val="ListBullet"/>
      </w:pPr>
      <w:r>
        <w:t xml:space="preserve">The member continues to hold the GLO.</w:t>
      </w:r>
    </w:p>
    <w:p>
      <w:pPr>
        <w:pStyle w:val="ListBullet"/>
      </w:pPr>
      <w:r>
        <w:t xml:space="preserve">Qualifying capacity may become available again.</w:t>
      </w:r>
    </w:p>
    <w:p>
      <w:pPr>
        <w:pStyle w:val="ListBullet"/>
      </w:pPr>
      <w:r>
        <w:t xml:space="preserve">The member can then consider another permitted use.</w:t>
      </w:r>
    </w:p>
    <w:p>
      <w:pPr/>
      <w:r>
        <w:t xml:space="preserve">IMAGE / UI: A capacity-cycle diagram: Available → Assigned to project → Work in progress → Project complete → Available again. Keep ownership constant throughout the cycle. Do not place compensation amounts in the cycle.</w:t>
      </w:r>
    </w:p>
    <w:p>
      <w:pPr>
        <w:pStyle w:val="TechNote"/>
      </w:pPr>
      <w:r>
        <w:t xml:space="preserve">TECH: Use “may become available again,” not “automatically resets” or “always reusable.” Future project availability, utilization and compensation are not guaranteed.</w:t>
      </w:r>
    </w:p>
    <w:p>
      <w:pPr>
        <w:pStyle w:val="Heading1"/>
      </w:pPr>
      <w:r>
        <w:t xml:space="preserve">04 · YOUR GLO, YOUR OPTIONS</w:t>
      </w:r>
    </w:p>
    <w:p>
      <w:pPr>
        <w:pStyle w:val="Heading2"/>
      </w:pPr>
      <w:r>
        <w:t xml:space="preserve">Different needs. Same GLO.</w:t>
      </w:r>
    </w:p>
    <w:p>
      <w:pPr/>
      <w:r>
        <w:t xml:space="preserve">Sometimes Gia may need all available qualifying capacity. Sometimes the member may have capacity available. The member chooses among the paths that are actually available and permitted. Each option shows what changes: purpose, ownership and who receives the value.</w:t>
      </w:r>
    </w:p>
    <w:p>
      <w:pPr>
        <w:pStyle w:val="Heading3"/>
      </w:pPr>
      <w:r>
        <w:t xml:space="preserve">01 · USE IT</w:t>
      </w:r>
    </w:p>
    <w:p>
      <w:pPr/>
      <w:r>
        <w:t xml:space="preserve">Make qualifying capacity available to Gia for your own personal or economic needs. Ownership: you keep your GLO. Value: you receive the result of Gia’s work.</w:t>
      </w:r>
    </w:p>
    <w:p>
      <w:pPr>
        <w:pStyle w:val="Heading3"/>
      </w:pPr>
      <w:r>
        <w:t xml:space="preserve">02 · PUT IT TO WORK</w:t>
      </w:r>
    </w:p>
    <w:p>
      <w:pPr/>
      <w:r>
        <w:t xml:space="preserve">Authorize Gia to perform qualifying work another member needs completed through Global Connections. Ownership: you keep your GLO. Value: the requester receives the deliverable and pays for the work; you receive project compensation under its terms.</w:t>
      </w:r>
    </w:p>
    <w:p>
      <w:pPr>
        <w:pStyle w:val="Heading3"/>
      </w:pPr>
      <w:r>
        <w:t xml:space="preserve">03 · SUPPORT</w:t>
      </w:r>
    </w:p>
    <w:p>
      <w:pPr/>
      <w:r>
        <w:t xml:space="preserve">Where program terms permit, qualifying GLO may support another member’s qualifying access or experience. Ownership and value are defined by the applicable program terms.</w:t>
      </w:r>
    </w:p>
    <w:p>
      <w:pPr>
        <w:pStyle w:val="Heading3"/>
      </w:pPr>
      <w:r>
        <w:t xml:space="preserve">04 · TRANSFER IT</w:t>
      </w:r>
    </w:p>
    <w:p>
      <w:pPr/>
      <w:r>
        <w:t xml:space="preserve">Where available, GLO itself may be independently transferred through decentralized secondary markets. Ownership: changes when the GLO transfers. Value: market participants determine the price.</w:t>
      </w:r>
    </w:p>
    <w:p>
      <w:pPr/>
      <w:r>
        <w:t xml:space="preserve">AFTER A PROJECT: capacity may become available again for Use or another project. This applies across the options above; it is not a separate option.</w:t>
      </w:r>
    </w:p>
    <w:p>
      <w:pPr/>
      <w:r>
        <w:t xml:space="preserve">IMAGE / UI: Four cards with a persistent ownership indicator underneath. For Use and Put it to work the holder remains the same. For Transfer, explicitly animate or label the ownership change. Support is visibly conditional and carries the status label agreed with the product team (for example, Coming next).</w:t>
      </w:r>
    </w:p>
    <w:p>
      <w:pPr>
        <w:pStyle w:val="TechNote"/>
      </w:pPr>
      <w:r>
        <w:t xml:space="preserve">TECH: The ownership indicator is important. It prevents users from confusing “put it to work” with selling or transferring GLO. Use progressive disclosure: the four options are understandable at a glance and open for detail without legal-length copy in the main flow. Use exactly the same option names and order as the Introducing GLO page.</w:t>
      </w:r>
    </w:p>
    <w:p>
      <w:pPr>
        <w:pStyle w:val="Heading1"/>
      </w:pPr>
      <w:r>
        <w:t xml:space="preserve">05 · GLOBAL CONNECTIONS VS. SECONDARY MARKET</w:t>
      </w:r>
    </w:p>
    <w:p>
      <w:pPr>
        <w:pStyle w:val="Heading2"/>
      </w:pPr>
      <w:r>
        <w:t xml:space="preserve">Two different mechanisms. Do not mix them.</w:t>
      </w:r>
    </w:p>
    <w:p>
      <w:pPr>
        <w:pStyle w:val="Heading3"/>
      </w:pPr>
      <w:r>
        <w:t xml:space="preserve">GLOBAL CONNECTIONS® — THE WORK MOVES. THE GLO DOESN’T.</w:t>
      </w:r>
    </w:p>
    <w:p>
      <w:pPr>
        <w:pStyle w:val="ListBullet"/>
      </w:pPr>
      <w:r>
        <w:t xml:space="preserve">You hold GLO.</w:t>
      </w:r>
    </w:p>
    <w:p>
      <w:pPr>
        <w:pStyle w:val="ListBullet"/>
      </w:pPr>
      <w:r>
        <w:t xml:space="preserve">You review and authorize a qualifying project.</w:t>
      </w:r>
    </w:p>
    <w:p>
      <w:pPr>
        <w:pStyle w:val="ListBullet"/>
      </w:pPr>
      <w:r>
        <w:t xml:space="preserve">Gia performs the work using available qualifying capacity.</w:t>
      </w:r>
    </w:p>
    <w:p>
      <w:pPr>
        <w:pStyle w:val="ListBullet"/>
      </w:pPr>
      <w:r>
        <w:t xml:space="preserve">The deliverable returns to the requesting member, who pays for the work under the project terms.</w:t>
      </w:r>
    </w:p>
    <w:p>
      <w:pPr>
        <w:pStyle w:val="ListBullet"/>
      </w:pPr>
      <w:r>
        <w:t xml:space="preserve">You receive project compensation under its terms.</w:t>
      </w:r>
    </w:p>
    <w:p>
      <w:pPr>
        <w:pStyle w:val="ListBullet"/>
      </w:pPr>
      <w:r>
        <w:t xml:space="preserve">You keep your GLO.</w:t>
      </w:r>
    </w:p>
    <w:p>
      <w:pPr>
        <w:pStyle w:val="Heading3"/>
      </w:pPr>
      <w:r>
        <w:t xml:space="preserve">INDEPENDENT SECONDARY MARKET — THE GLO MOVES. OWNERSHIP CHANGES.</w:t>
      </w:r>
    </w:p>
    <w:p>
      <w:pPr>
        <w:pStyle w:val="ListBullet"/>
      </w:pPr>
      <w:r>
        <w:t xml:space="preserve">You decide to transfer GLO.</w:t>
      </w:r>
    </w:p>
    <w:p>
      <w:pPr>
        <w:pStyle w:val="ListBullet"/>
      </w:pPr>
      <w:r>
        <w:t xml:space="preserve">The transaction occurs through an independent decentralized exchange where available.</w:t>
      </w:r>
    </w:p>
    <w:p>
      <w:pPr>
        <w:pStyle w:val="ListBullet"/>
      </w:pPr>
      <w:r>
        <w:t xml:space="preserve">Another participant acquires the GLO and becomes the new holder.</w:t>
      </w:r>
    </w:p>
    <w:p>
      <w:pPr>
        <w:pStyle w:val="ListBullet"/>
      </w:pPr>
      <w:r>
        <w:t xml:space="preserve">The market sets the price.</w:t>
      </w:r>
    </w:p>
    <w:p>
      <w:pPr/>
      <w:r>
        <w:t xml:space="preserve">IMPORTANT LIMIT: Glonari does not operate the DEX, match buyers and sellers, act as buyer or seller, custody GLO for the transaction or set the market price. Liquidity and resale are not guaranteed.</w:t>
      </w:r>
    </w:p>
    <w:p>
      <w:pPr/>
      <w:r>
        <w:t xml:space="preserve">IMAGE / UI: Side-by-side comparison. Left path ends in “Deliverable returned / GLO retained.” Right path ends in “GLO transferred / ownership changed.” Use distinct arrows and no shared endpoint.</w:t>
      </w:r>
    </w:p>
    <w:p>
      <w:pPr>
        <w:pStyle w:val="TechNote"/>
      </w:pPr>
      <w:r>
        <w:t xml:space="preserve">TECH: This is the most important risk-of-confusion section on the page. Do not place compensation and market price in the same visual component. Keep work economics and transfer mechanics visually separate. Do not show compensation amounts in this section.</w:t>
      </w:r>
    </w:p>
    <w:p>
      <w:pPr>
        <w:pStyle w:val="Heading1"/>
      </w:pPr>
      <w:r>
        <w:t xml:space="preserve">06 · THE FULL GLO ECOSYSTEM</w:t>
      </w:r>
    </w:p>
    <w:p>
      <w:pPr>
        <w:pStyle w:val="Heading2"/>
      </w:pPr>
      <w:r>
        <w:t xml:space="preserve">You make the decisions. Gia orchestrates. GLO provides capacity. Work creates value.</w:t>
      </w:r>
    </w:p>
    <w:p>
      <w:pPr/>
      <w:r>
        <w:t xml:space="preserve">Bring the complete system back together in one final explanatory flow.</w:t>
      </w:r>
    </w:p>
    <w:p>
      <w:pPr>
        <w:pStyle w:val="ListBullet"/>
      </w:pPr>
      <w:r>
        <w:t xml:space="preserve">You make the decisions — goals, direction, approvals and Human Intelligence™.</w:t>
      </w:r>
    </w:p>
    <w:p>
      <w:pPr>
        <w:pStyle w:val="ListBullet"/>
      </w:pPr>
      <w:r>
        <w:t xml:space="preserve">Gia provides intelligence, relationship and orchestration.</w:t>
      </w:r>
    </w:p>
    <w:p>
      <w:pPr>
        <w:pStyle w:val="ListBullet"/>
      </w:pPr>
      <w:r>
        <w:t xml:space="preserve">GLO provides qualifying access to capacity and resources such as compute, models, tools, agents, research and execution.</w:t>
      </w:r>
    </w:p>
    <w:p>
      <w:pPr>
        <w:pStyle w:val="ListBullet"/>
      </w:pPr>
      <w:r>
        <w:t xml:space="preserve">Global Connections connects work demand with available qualifying capacity.</w:t>
      </w:r>
    </w:p>
    <w:p>
      <w:pPr>
        <w:pStyle w:val="ListBullet"/>
      </w:pPr>
      <w:r>
        <w:t xml:space="preserve">Gia performs authorized work.</w:t>
      </w:r>
    </w:p>
    <w:p>
      <w:pPr>
        <w:pStyle w:val="ListBullet"/>
      </w:pPr>
      <w:r>
        <w:t xml:space="preserve">The requesting member receives the deliverable and pays for the work under the project terms.</w:t>
      </w:r>
    </w:p>
    <w:p>
      <w:pPr>
        <w:pStyle w:val="ListBullet"/>
      </w:pPr>
      <w:r>
        <w:t xml:space="preserve">The participating member receives compensation under project terms.</w:t>
      </w:r>
    </w:p>
    <w:p>
      <w:pPr>
        <w:pStyle w:val="ListBullet"/>
      </w:pPr>
      <w:r>
        <w:t xml:space="preserve">After the work: capacity may become available again for Use or a new project; Support where program terms permit; Transfer where available.</w:t>
      </w:r>
    </w:p>
    <w:p>
      <w:pPr/>
      <w:r>
        <w:t xml:space="preserve">ON-SCREEN PRINCIPLE: GLO doesn’t create value by sitting still. Its value comes from what its capacity makes possible.</w:t>
      </w:r>
    </w:p>
    <w:p>
      <w:pPr/>
      <w:r>
        <w:t xml:space="preserve">IMAGE / UI: A single end-to-end ecosystem diagram, simpler than the original brochure graphic. Use a central Gia node and clearly labeled paths for Use, Put it to work, Support and Transfer.</w:t>
      </w:r>
    </w:p>
    <w:p>
      <w:pPr>
        <w:pStyle w:val="TechNote"/>
      </w:pPr>
      <w:r>
        <w:t xml:space="preserve">TECH: Treat this as the synthesis section. It should help a reader who has skimmed the page reconstruct the whole system in under 20 seconds.</w:t>
      </w:r>
    </w:p>
    <w:p>
      <w:pPr>
        <w:pStyle w:val="Heading1"/>
      </w:pPr>
      <w:r>
        <w:t xml:space="preserve">07 · FINAL CTA &amp; IMPORTANT INFORMATION</w:t>
      </w:r>
    </w:p>
    <w:p>
      <w:pPr>
        <w:pStyle w:val="Heading2"/>
      </w:pPr>
      <w:r>
        <w:t xml:space="preserve">Understand the mechanism before choosing a path.</w:t>
      </w:r>
    </w:p>
    <w:p>
      <w:pPr/>
      <w:r>
        <w:t xml:space="preserve">GLO is a capacity and access layer that Gia can use within qualifying programs. What is available can vary by member, program, project, jurisdiction, market conditions and technical availability.</w:t>
      </w:r>
    </w:p>
    <w:p>
      <w:pPr>
        <w:pStyle w:val="ListBullet"/>
      </w:pPr>
      <w:r>
        <w:t xml:space="preserve">Examples are illustrative.</w:t>
      </w:r>
    </w:p>
    <w:p>
      <w:pPr>
        <w:pStyle w:val="ListBullet"/>
      </w:pPr>
      <w:r>
        <w:t xml:space="preserve">Opportunities, GLO requirements, duration, compensation, participation, availability and results vary.</w:t>
      </w:r>
    </w:p>
    <w:p>
      <w:pPr>
        <w:pStyle w:val="ListBullet"/>
      </w:pPr>
      <w:r>
        <w:t xml:space="preserve">Compensation is earned through work under applicable project terms.</w:t>
      </w:r>
    </w:p>
    <w:p>
      <w:pPr>
        <w:pStyle w:val="ListBullet"/>
      </w:pPr>
      <w:r>
        <w:t xml:space="preserve">GLO itself does not pay income, interest or yield.</w:t>
      </w:r>
    </w:p>
    <w:p>
      <w:pPr>
        <w:pStyle w:val="ListBullet"/>
      </w:pPr>
      <w:r>
        <w:t xml:space="preserve">GLO does not guarantee appreciation, liquidity or resale.</w:t>
      </w:r>
    </w:p>
    <w:p>
      <w:pPr>
        <w:pStyle w:val="ListBullet"/>
      </w:pPr>
      <w:r>
        <w:t xml:space="preserve">Independent secondary transactions are subject to applicable law, market conditions, technical availability and third-party terms.</w:t>
      </w:r>
    </w:p>
    <w:p>
      <w:pPr>
        <w:pStyle w:val="ListBullet"/>
      </w:pPr>
      <w:r>
        <w:t xml:space="preserve">Capabilities are labeled by status: Available now, With approval, Coming next or Vision.</w:t>
      </w:r>
    </w:p>
    <w:p>
      <w:pPr/>
      <w:r>
        <w:t xml:space="preserve">CTA: Review your GLO options   |   Learn about membership</w:t>
      </w:r>
    </w:p>
    <w:p>
      <w:pPr/>
      <w:r>
        <w:t xml:space="preserve">IMAGE / UI: Finish with the member and Gia reviewing a simple four-option panel rather than a token hero. The last impression should be informed choice and control.</w:t>
      </w:r>
    </w:p>
    <w:p>
      <w:pPr>
        <w:pStyle w:val="TechNote"/>
      </w:pPr>
      <w:r>
        <w:t xml:space="preserve">TECH: Site header: the primary level is site navigation across the four pages (Meet Gia · Introducing GLO · Global Connections · How GLO Works), with the current page marked. This page’s sections form a secondary in-page navigation: Three-layer model · Reusable capacity · Your options · Global Connections vs market · Ecosystem · Important information. Preserve reduced-motion and accessible accordion behavior. “Review your GLO options” scrolls to section 04. “Learn about membership” leads to membership information; its final destination and wording are to be confirmed by the product team.</w:t>
      </w:r>
    </w:p>
    <w:p>
      <w:pPr>
        <w:pStyle w:val="Heading1"/>
      </w:pPr>
      <w:r>
        <w:t xml:space="preserve">Recommended content rules</w:t>
      </w:r>
    </w:p>
    <w:p>
      <w:pPr/>
      <w:r>
        <w:t xml:space="preserve">Mechanism before marketing: This page should explain how the system works, not repeat the emotional selling language from Meet Gia.</w:t>
      </w:r>
    </w:p>
    <w:p>
      <w:pPr/>
      <w:r>
        <w:t xml:space="preserve">Keep roles separate: Member directs; Gia is the intelligence; GLO is capacity/access; work creates the deliverable, the requester pays for it and the participating member receives project compensation.</w:t>
      </w:r>
    </w:p>
    <w:p>
      <w:pPr/>
      <w:r>
        <w:t xml:space="preserve">One options model: Use, Put it to work, Support and Transfer — the same names and order on every page. Reuse after a project is described as a property of the options, not as a fifth option.</w:t>
      </w:r>
    </w:p>
    <w:p>
      <w:pPr/>
      <w:r>
        <w:t xml:space="preserve">Reuse language carefully: Capacity may become available again after requirements are satisfied. Do not imply automatic or guaranteed utilization.</w:t>
      </w:r>
    </w:p>
    <w:p>
      <w:pPr/>
      <w:r>
        <w:t xml:space="preserve">Keep transfer separate: Independent secondary-market transfer changes ownership and is not the same mechanism as Global Connections.</w:t>
      </w:r>
    </w:p>
    <w:p>
      <w:pPr/>
      <w:r>
        <w:t xml:space="preserve">No investment framing: Do not promise returns, appreciation, liquidity, resale or project availability. Do not show return percentages, payback periods, annualized figures or a rate per GLO next to GLO’s price.</w:t>
      </w:r>
    </w:p>
    <w:p>
      <w:pPr/>
      <w:r>
        <w:t xml:space="preserve">Status labels: Show every capability and option with its current status, so the visitor can tell what works today from what is planned.</w:t>
      </w:r>
    </w:p>
    <w:p>
      <w:pPr/>
      <w:r>
        <w:t xml:space="preserve">Visual tone: Use diagrams, controls and real product states. Gold accents can remain part of the brand, but clarity should dominate over spectacle on this page. No coin stacks, medals or laurel-wreath token imagery.</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17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9171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B9863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val="0"/>
      <w:bCs/>
      <w:color w:val="6F67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9171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ote">
    <w:name w:val="Tech Note"/>
    <w:pPr>
      <w:spacing w:before="60" w:after="180"/>
      <w:ind w:left="259"/>
    </w:pPr>
    <w:rPr>
      <w:rFonts w:ascii="Arial" w:hAnsi="Arial"/>
      <w:i/>
      <w:color w:val="6F675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