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AEDC" w14:textId="77777777" w:rsidR="0003309E" w:rsidRDefault="0003309E" w:rsidP="0003309E"/>
    <w:p w14:paraId="3244EAFD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383B1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CDFF1F9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6529AAC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370383B1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1CDFF1F9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56529AAC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8F7C72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4A0C5F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6D76C8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16C0C3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91CFC7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80DFEF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31"/>
        <w:gridCol w:w="6683"/>
        <w:gridCol w:w="525"/>
      </w:tblGrid>
      <w:tr w:rsidR="0003309E" w14:paraId="0E737BB3" w14:textId="77777777" w:rsidTr="00C5122E">
        <w:trPr>
          <w:gridAfter w:val="1"/>
          <w:wAfter w:w="573" w:type="dxa"/>
          <w:trHeight w:val="440"/>
        </w:trPr>
        <w:tc>
          <w:tcPr>
            <w:tcW w:w="9639" w:type="dxa"/>
            <w:gridSpan w:val="2"/>
            <w:vAlign w:val="center"/>
          </w:tcPr>
          <w:p w14:paraId="4BFB9AEE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35141076" w14:textId="77777777" w:rsidTr="00C5122E">
        <w:trPr>
          <w:gridAfter w:val="1"/>
          <w:wAfter w:w="573" w:type="dxa"/>
          <w:trHeight w:val="800"/>
        </w:trPr>
        <w:tc>
          <w:tcPr>
            <w:tcW w:w="9639" w:type="dxa"/>
            <w:gridSpan w:val="2"/>
            <w:shd w:val="clear" w:color="auto" w:fill="D9E2F3" w:themeFill="accent1" w:themeFillTint="33"/>
            <w:vAlign w:val="center"/>
          </w:tcPr>
          <w:p w14:paraId="7F5D3054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  <w:tr w:rsidR="0003309E" w14:paraId="06C50734" w14:textId="77777777" w:rsidTr="000A1331">
        <w:trPr>
          <w:gridAfter w:val="1"/>
          <w:wAfter w:w="573" w:type="dxa"/>
        </w:trPr>
        <w:tc>
          <w:tcPr>
            <w:tcW w:w="2528" w:type="dxa"/>
            <w:vAlign w:val="center"/>
          </w:tcPr>
          <w:p w14:paraId="4980417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49741E8E" w14:textId="77777777" w:rsidR="009D4D32" w:rsidRPr="00E24CD5" w:rsidRDefault="00000000">
            <w:pPr>
              <w:spacing w:before="60" w:after="0"/>
              <w:rPr>
                <w:rFonts w:cstheme="minorHAnsi"/>
                <w:sz w:val="20"/>
                <w:szCs w:val="20"/>
              </w:rPr>
            </w:pPr>
            <w:r w:rsidRPr="00E24CD5">
              <w:rPr>
                <w:rFonts w:cstheme="minorHAnsi"/>
                <w:sz w:val="20"/>
                <w:szCs w:val="20"/>
              </w:rPr>
              <w:t xml:space="preserve">El proyecto desarrolla una plataforma web responsiva para Entre Platos y Copas que centraliza catálogo, solicitudes de cotización, clientes, reservas e inventario de arriendo. Al cierre de la Semana 10 el flujo principal está implementado y comprobado. El sitio público y el catálogo consultan datos reales; el </w:t>
            </w:r>
            <w:proofErr w:type="spellStart"/>
            <w:r w:rsidRPr="00E24CD5">
              <w:rPr>
                <w:rFonts w:cstheme="minorHAnsi"/>
                <w:sz w:val="20"/>
                <w:szCs w:val="20"/>
              </w:rPr>
              <w:t>cotizador</w:t>
            </w:r>
            <w:proofErr w:type="spellEnd"/>
            <w:r w:rsidRPr="00E24CD5">
              <w:rPr>
                <w:rFonts w:cstheme="minorHAnsi"/>
                <w:sz w:val="20"/>
                <w:szCs w:val="20"/>
              </w:rPr>
              <w:t xml:space="preserve"> registra evento, categorías y contacto, valida los tres pasos y muestra al cliente únicamente la confirmación de envío. En administración se puede buscar y revisar la solicitud, asignar productos, cargar stock, calcular disponibilidad por fechas y confirmar una reserva. La confirmación retiene stock y se refleja en Reservas, Inventario, Calendario, Resumen y Reportes. La migración 0002 fue aplicada en </w:t>
            </w:r>
            <w:proofErr w:type="spellStart"/>
            <w:r w:rsidRPr="00E24CD5">
              <w:rPr>
                <w:rFonts w:cstheme="minorHAnsi"/>
                <w:sz w:val="20"/>
                <w:szCs w:val="20"/>
              </w:rPr>
              <w:t>Supabase</w:t>
            </w:r>
            <w:proofErr w:type="spellEnd"/>
            <w:r w:rsidRPr="00E24CD5">
              <w:rPr>
                <w:rFonts w:cstheme="minorHAnsi"/>
                <w:sz w:val="20"/>
                <w:szCs w:val="20"/>
              </w:rPr>
              <w:t xml:space="preserve"> y existen 28 pruebas automáticas, además de pruebas manuales del caso de uso. Como ajuste de infraestructura se planificó crear una base PostgreSQL local y exportar hacia ella una copia de los datos de </w:t>
            </w:r>
            <w:proofErr w:type="spellStart"/>
            <w:r w:rsidRPr="00E24CD5">
              <w:rPr>
                <w:rFonts w:cstheme="minorHAnsi"/>
                <w:sz w:val="20"/>
                <w:szCs w:val="20"/>
              </w:rPr>
              <w:t>Supabase</w:t>
            </w:r>
            <w:proofErr w:type="spellEnd"/>
            <w:r w:rsidRPr="00E24CD5">
              <w:rPr>
                <w:rFonts w:cstheme="minorHAnsi"/>
                <w:sz w:val="20"/>
                <w:szCs w:val="20"/>
              </w:rPr>
              <w:t xml:space="preserve"> para pruebas y continuidad del desarrollo. Continúan en desarrollo el ciclo posterior de preparación, despacho, devolución y merma, ajustes de métricas comerciales y configuración de seguridad para producción.</w:t>
            </w:r>
          </w:p>
        </w:tc>
      </w:tr>
      <w:tr w:rsidR="0003309E" w14:paraId="3569B3A8" w14:textId="77777777" w:rsidTr="000A1331">
        <w:trPr>
          <w:gridAfter w:val="1"/>
          <w:wAfter w:w="573" w:type="dxa"/>
          <w:trHeight w:val="1247"/>
        </w:trPr>
        <w:tc>
          <w:tcPr>
            <w:tcW w:w="2528" w:type="dxa"/>
            <w:vAlign w:val="center"/>
          </w:tcPr>
          <w:p w14:paraId="4FB212A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6C59820" w14:textId="77777777" w:rsidR="009D4D32" w:rsidRPr="00E24CD5" w:rsidRDefault="00000000">
            <w:pPr>
              <w:spacing w:before="60" w:after="0"/>
              <w:rPr>
                <w:rFonts w:cstheme="minorHAnsi"/>
                <w:sz w:val="20"/>
                <w:szCs w:val="20"/>
              </w:rPr>
            </w:pPr>
            <w:r w:rsidRPr="00E24CD5">
              <w:rPr>
                <w:rFonts w:cstheme="minorHAnsi"/>
                <w:sz w:val="20"/>
                <w:szCs w:val="20"/>
              </w:rPr>
              <w:t>Se mantiene el objetivo general de desarrollar y validar una plataforma web que centralice el ciclo de arriendo. El alcance de la versión 1.0 prioriza el flujo web y deja para una etapa posterior la aplicación móvil, la inteligencia artificial y el análisis avanzado. Se precisó que el cliente no consulta estados ni recibe un código de seguimiento: la empresa continúa la atención mediante WhatsApp, correo o llamada. También se incorporó como criterio crítico la validación de disponibilidad al confirmar una reserva, de modo que una operación sin stock suficiente no cambie de estado ni comprometa unidades.</w:t>
            </w:r>
          </w:p>
        </w:tc>
      </w:tr>
      <w:tr w:rsidR="0003309E" w14:paraId="73A78DF3" w14:textId="77777777" w:rsidTr="000A1331">
        <w:trPr>
          <w:gridAfter w:val="1"/>
          <w:wAfter w:w="573" w:type="dxa"/>
          <w:trHeight w:val="939"/>
        </w:trPr>
        <w:tc>
          <w:tcPr>
            <w:tcW w:w="2528" w:type="dxa"/>
            <w:vAlign w:val="center"/>
          </w:tcPr>
          <w:p w14:paraId="331DF81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301B5C9" w14:textId="77777777" w:rsidR="009D4D32" w:rsidRPr="00E24CD5" w:rsidRDefault="00000000">
            <w:pPr>
              <w:spacing w:before="60" w:after="0"/>
              <w:rPr>
                <w:rFonts w:cstheme="minorHAnsi"/>
                <w:sz w:val="20"/>
                <w:szCs w:val="20"/>
              </w:rPr>
            </w:pPr>
            <w:r w:rsidRPr="00E24CD5">
              <w:rPr>
                <w:rFonts w:cstheme="minorHAnsi"/>
                <w:sz w:val="20"/>
                <w:szCs w:val="20"/>
              </w:rPr>
              <w:t>Aplicamos una metodología incremental e iterativa. Cada incremento se planifica, implementa, integra con Django y PostgreSQL/</w:t>
            </w:r>
            <w:proofErr w:type="spellStart"/>
            <w:r w:rsidRPr="00E24CD5">
              <w:rPr>
                <w:rFonts w:cstheme="minorHAnsi"/>
                <w:sz w:val="20"/>
                <w:szCs w:val="20"/>
              </w:rPr>
              <w:t>Supabase</w:t>
            </w:r>
            <w:proofErr w:type="spellEnd"/>
            <w:r w:rsidRPr="00E24CD5">
              <w:rPr>
                <w:rFonts w:cstheme="minorHAnsi"/>
                <w:sz w:val="20"/>
                <w:szCs w:val="20"/>
              </w:rPr>
              <w:t xml:space="preserve"> y se valida mediante criterios de aceptación. La revisión de Semana 10 se concentró en un caso de uso vertical: ingreso de la cotización, validación, persistencia, procesamiento administrativo, disponibilidad, confirmación y salidas operativas. Las reglas críticas se respaldan con pruebas automáticas y comprobación manual en navegador. Una actividad se considera terminada </w:t>
            </w:r>
            <w:r w:rsidRPr="00E24CD5">
              <w:rPr>
                <w:rFonts w:cstheme="minorHAnsi"/>
                <w:sz w:val="20"/>
                <w:szCs w:val="20"/>
              </w:rPr>
              <w:lastRenderedPageBreak/>
              <w:t>cuando funciona desde la interfaz, utiliza datos persistentes correctos, maneja errores sin perder la información ingresada y deja una evidencia reproducible.</w:t>
            </w:r>
          </w:p>
        </w:tc>
      </w:tr>
      <w:tr w:rsidR="0003309E" w14:paraId="5217D746" w14:textId="77777777" w:rsidTr="000A1331">
        <w:trPr>
          <w:gridAfter w:val="1"/>
          <w:wAfter w:w="573" w:type="dxa"/>
          <w:trHeight w:val="2377"/>
        </w:trPr>
        <w:tc>
          <w:tcPr>
            <w:tcW w:w="2528" w:type="dxa"/>
            <w:vAlign w:val="center"/>
          </w:tcPr>
          <w:p w14:paraId="7DFD8A6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18C17E52" w14:textId="77777777" w:rsidR="009D4D32" w:rsidRPr="00E24CD5" w:rsidRDefault="00000000">
            <w:pPr>
              <w:spacing w:before="60" w:after="0"/>
              <w:rPr>
                <w:rFonts w:cstheme="minorHAnsi"/>
                <w:sz w:val="20"/>
                <w:szCs w:val="24"/>
              </w:rPr>
            </w:pPr>
            <w:r w:rsidRPr="00E24CD5">
              <w:rPr>
                <w:rFonts w:cstheme="minorHAnsi"/>
                <w:sz w:val="20"/>
                <w:szCs w:val="24"/>
              </w:rPr>
              <w:t xml:space="preserve">Las evidencias disponibles son: sitio público responsivo y catálogo conectado; </w:t>
            </w:r>
            <w:proofErr w:type="spellStart"/>
            <w:r w:rsidRPr="00E24CD5">
              <w:rPr>
                <w:rFonts w:cstheme="minorHAnsi"/>
                <w:sz w:val="20"/>
                <w:szCs w:val="24"/>
              </w:rPr>
              <w:t>cotizador</w:t>
            </w:r>
            <w:proofErr w:type="spellEnd"/>
            <w:r w:rsidRPr="00E24CD5">
              <w:rPr>
                <w:rFonts w:cstheme="minorHAnsi"/>
                <w:sz w:val="20"/>
                <w:szCs w:val="24"/>
              </w:rPr>
              <w:t xml:space="preserve"> de tres pasos con validaciones y conservación de datos; validación de RUT en navegador y servidor; registro transaccional de cliente, solicitud y categorías en </w:t>
            </w:r>
            <w:proofErr w:type="spellStart"/>
            <w:r w:rsidRPr="00E24CD5">
              <w:rPr>
                <w:rFonts w:cstheme="minorHAnsi"/>
                <w:sz w:val="20"/>
                <w:szCs w:val="24"/>
              </w:rPr>
              <w:t>Supabase</w:t>
            </w:r>
            <w:proofErr w:type="spellEnd"/>
            <w:r w:rsidRPr="00E24CD5">
              <w:rPr>
                <w:rFonts w:cstheme="minorHAnsi"/>
                <w:sz w:val="20"/>
                <w:szCs w:val="24"/>
              </w:rPr>
              <w:t>; acceso administrativo protegido; búsqueda y detalle de cotizaciones; creación y edición de inventario; carga de productos sugeridos; cálculo centralizado de disponibilidad por fechas; bloqueo de confirmación ante faltantes; confirmación de reserva con prevención de sobreventa; actualización del stock comprometido; visualización en Reservas, Calendario, Resumen y Reportes; migración 0002 aplicada; y 28 pruebas automáticas. En la prueba manual se creó una solicitud de 40 platos y 40 vasos, se cargaron 100 unidades por producto, se confirmó la reserva y el sistema mostró 40 unidades comprometidas y 60 disponibles. Estas evidencias comprueban ingreso, procesamiento, persistencia, regla de negocio y salida de datos.</w:t>
            </w:r>
          </w:p>
        </w:tc>
      </w:tr>
      <w:tr w:rsidR="00586C9C" w14:paraId="6044FA5E" w14:textId="77777777" w:rsidTr="00D70CD4">
        <w:trPr>
          <w:trHeight w:val="440"/>
        </w:trPr>
        <w:tc>
          <w:tcPr>
            <w:tcW w:w="9640" w:type="dxa"/>
            <w:gridSpan w:val="3"/>
            <w:vAlign w:val="center"/>
          </w:tcPr>
          <w:p w14:paraId="77AA6DD8" w14:textId="77777777" w:rsidR="00586C9C" w:rsidRPr="00BF2EA6" w:rsidRDefault="00586C9C" w:rsidP="00D70CD4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7E12C2DA" w14:textId="77777777" w:rsidTr="00D70CD4">
        <w:trPr>
          <w:trHeight w:val="800"/>
        </w:trPr>
        <w:tc>
          <w:tcPr>
            <w:tcW w:w="9640" w:type="dxa"/>
            <w:gridSpan w:val="3"/>
            <w:shd w:val="clear" w:color="auto" w:fill="D9E2F3" w:themeFill="accent1" w:themeFillTint="33"/>
            <w:vAlign w:val="center"/>
          </w:tcPr>
          <w:p w14:paraId="5145CE93" w14:textId="77777777" w:rsidR="00586C9C" w:rsidRPr="00DA1615" w:rsidRDefault="00586C9C" w:rsidP="00D70CD4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30CA2327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clara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992"/>
        <w:gridCol w:w="1276"/>
      </w:tblGrid>
      <w:tr w:rsidR="00FD5149" w:rsidRPr="006E3B0D" w14:paraId="5B04AF1C" w14:textId="77777777" w:rsidTr="00D70CD4">
        <w:trPr>
          <w:cantSplit/>
          <w:trHeight w:val="415"/>
          <w:jc w:val="center"/>
        </w:trPr>
        <w:tc>
          <w:tcPr>
            <w:tcW w:w="9776" w:type="dxa"/>
            <w:gridSpan w:val="8"/>
          </w:tcPr>
          <w:p w14:paraId="55B34FAE" w14:textId="77777777" w:rsidR="00FD5149" w:rsidRPr="006E3B0D" w:rsidRDefault="00FD5149" w:rsidP="00D70CD4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0BF76B62" w14:textId="77777777" w:rsidTr="00D70CD4">
        <w:trPr>
          <w:cantSplit/>
          <w:trHeight w:val="711"/>
          <w:jc w:val="center"/>
        </w:trPr>
        <w:tc>
          <w:tcPr>
            <w:tcW w:w="1328" w:type="dxa"/>
          </w:tcPr>
          <w:p w14:paraId="5DBEAA66" w14:textId="77777777" w:rsidR="00FD5149" w:rsidRPr="006E3B0D" w:rsidRDefault="00FD5149" w:rsidP="00D70CD4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</w:tcPr>
          <w:p w14:paraId="769BF41A" w14:textId="77777777" w:rsidR="00FD5149" w:rsidRPr="006E3B0D" w:rsidRDefault="00FD5149" w:rsidP="00D70CD4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</w:tcPr>
          <w:p w14:paraId="57F07C9C" w14:textId="77777777" w:rsidR="00FD5149" w:rsidRPr="006E3B0D" w:rsidRDefault="00FD5149" w:rsidP="00D70CD4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</w:tcPr>
          <w:p w14:paraId="3FE94D8E" w14:textId="77777777" w:rsidR="00FD5149" w:rsidRPr="006E3B0D" w:rsidRDefault="00FD5149" w:rsidP="00D70CD4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</w:tcPr>
          <w:p w14:paraId="7451151A" w14:textId="77777777" w:rsidR="00FD5149" w:rsidRPr="006E3B0D" w:rsidRDefault="00FD5149" w:rsidP="00D70CD4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</w:tcPr>
          <w:p w14:paraId="65A38273" w14:textId="77777777" w:rsidR="00FD5149" w:rsidRPr="006E3B0D" w:rsidRDefault="00FD5149" w:rsidP="00D70CD4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92" w:type="dxa"/>
          </w:tcPr>
          <w:p w14:paraId="4CD0674B" w14:textId="77777777" w:rsidR="00FD5149" w:rsidRPr="006E3B0D" w:rsidRDefault="00FD5149" w:rsidP="00D70CD4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76" w:type="dxa"/>
          </w:tcPr>
          <w:p w14:paraId="72178933" w14:textId="77777777" w:rsidR="00FD5149" w:rsidRPr="006E3B0D" w:rsidRDefault="00FD5149" w:rsidP="00D70CD4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9D4D32" w14:paraId="49FCE10F" w14:textId="77777777" w:rsidTr="00D70CD4">
        <w:trPr>
          <w:cantSplit/>
          <w:jc w:val="center"/>
        </w:trPr>
        <w:tc>
          <w:tcPr>
            <w:tcW w:w="1328" w:type="dxa"/>
          </w:tcPr>
          <w:p w14:paraId="2DDF39D6" w14:textId="77777777" w:rsidR="009D4D32" w:rsidRDefault="009D4D32" w:rsidP="00D70CD4"/>
          <w:p w14:paraId="67BA9929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4.1 y 4.2 Desarrollo e integración de software</w:t>
            </w:r>
          </w:p>
        </w:tc>
        <w:tc>
          <w:tcPr>
            <w:tcW w:w="1077" w:type="dxa"/>
          </w:tcPr>
          <w:p w14:paraId="7C92B29A" w14:textId="77777777" w:rsidR="009D4D32" w:rsidRDefault="009D4D32" w:rsidP="00D70CD4"/>
          <w:p w14:paraId="22DAAFB0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Sitio público, catálogo y detalle de productos</w:t>
            </w:r>
          </w:p>
        </w:tc>
        <w:tc>
          <w:tcPr>
            <w:tcW w:w="1276" w:type="dxa"/>
          </w:tcPr>
          <w:p w14:paraId="3A92C296" w14:textId="77777777" w:rsidR="009D4D32" w:rsidRDefault="009D4D32" w:rsidP="00D70CD4"/>
          <w:p w14:paraId="2B3FD18E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Django, HTML, CSS, JavaScript y PostgreSQL/</w:t>
            </w:r>
            <w:proofErr w:type="spellStart"/>
            <w:r>
              <w:rPr>
                <w:rFonts w:ascii="Arial" w:hAnsi="Arial"/>
                <w:sz w:val="18"/>
              </w:rPr>
              <w:t>Supabase</w:t>
            </w:r>
            <w:proofErr w:type="spellEnd"/>
          </w:p>
        </w:tc>
        <w:tc>
          <w:tcPr>
            <w:tcW w:w="1276" w:type="dxa"/>
          </w:tcPr>
          <w:p w14:paraId="4A56FEFD" w14:textId="77777777" w:rsidR="009D4D32" w:rsidRDefault="009D4D32" w:rsidP="00D70CD4"/>
          <w:p w14:paraId="068117EA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Semanas 1 a 6</w:t>
            </w:r>
          </w:p>
        </w:tc>
        <w:tc>
          <w:tcPr>
            <w:tcW w:w="1275" w:type="dxa"/>
          </w:tcPr>
          <w:p w14:paraId="217F23FB" w14:textId="77777777" w:rsidR="009D4D32" w:rsidRDefault="009D4D32" w:rsidP="00D70CD4"/>
          <w:p w14:paraId="259421F6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Helen y Benjamín</w:t>
            </w:r>
          </w:p>
        </w:tc>
        <w:tc>
          <w:tcPr>
            <w:tcW w:w="1276" w:type="dxa"/>
          </w:tcPr>
          <w:p w14:paraId="3EE7A2AC" w14:textId="77777777" w:rsidR="009D4D32" w:rsidRDefault="009D4D32" w:rsidP="00D70CD4"/>
          <w:p w14:paraId="57588530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La integración incremental permitió conectar interfaz y datos reales.</w:t>
            </w:r>
          </w:p>
        </w:tc>
        <w:tc>
          <w:tcPr>
            <w:tcW w:w="992" w:type="dxa"/>
          </w:tcPr>
          <w:p w14:paraId="79FA6112" w14:textId="77777777" w:rsidR="009D4D32" w:rsidRDefault="009D4D32" w:rsidP="00D70CD4"/>
          <w:p w14:paraId="156AD931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Completado</w:t>
            </w:r>
          </w:p>
        </w:tc>
        <w:tc>
          <w:tcPr>
            <w:tcW w:w="1276" w:type="dxa"/>
          </w:tcPr>
          <w:p w14:paraId="3F1AE4C6" w14:textId="77777777" w:rsidR="009D4D32" w:rsidRDefault="009D4D32" w:rsidP="00D70CD4"/>
          <w:p w14:paraId="05C74DB6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 mantuvo una versión web responsiva como alcance de la V1.</w:t>
            </w:r>
          </w:p>
        </w:tc>
      </w:tr>
      <w:tr w:rsidR="009D4D32" w14:paraId="01476D89" w14:textId="77777777" w:rsidTr="00D70CD4">
        <w:trPr>
          <w:cantSplit/>
          <w:jc w:val="center"/>
        </w:trPr>
        <w:tc>
          <w:tcPr>
            <w:tcW w:w="1328" w:type="dxa"/>
          </w:tcPr>
          <w:p w14:paraId="0552E128" w14:textId="77777777" w:rsidR="009D4D32" w:rsidRDefault="009D4D32" w:rsidP="00D70CD4"/>
          <w:p w14:paraId="579473CD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3.1 y 3.2 Modelos de datos</w:t>
            </w:r>
          </w:p>
        </w:tc>
        <w:tc>
          <w:tcPr>
            <w:tcW w:w="1077" w:type="dxa"/>
          </w:tcPr>
          <w:p w14:paraId="752B691E" w14:textId="77777777" w:rsidR="009D4D32" w:rsidRDefault="009D4D32" w:rsidP="00D70CD4"/>
          <w:p w14:paraId="1D6CA873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Gestión de clientes, RUT y migración de Fase 2</w:t>
            </w:r>
          </w:p>
        </w:tc>
        <w:tc>
          <w:tcPr>
            <w:tcW w:w="1276" w:type="dxa"/>
          </w:tcPr>
          <w:p w14:paraId="6C8703B0" w14:textId="77777777" w:rsidR="009D4D32" w:rsidRDefault="009D4D32" w:rsidP="00D70CD4"/>
          <w:p w14:paraId="12A574D2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Modelos Django, migraciones y PostgreSQL/</w:t>
            </w:r>
            <w:proofErr w:type="spellStart"/>
            <w:r>
              <w:rPr>
                <w:rFonts w:ascii="Arial" w:hAnsi="Arial"/>
                <w:sz w:val="18"/>
              </w:rPr>
              <w:t>Supabase</w:t>
            </w:r>
            <w:proofErr w:type="spellEnd"/>
          </w:p>
        </w:tc>
        <w:tc>
          <w:tcPr>
            <w:tcW w:w="1276" w:type="dxa"/>
          </w:tcPr>
          <w:p w14:paraId="707F55C2" w14:textId="77777777" w:rsidR="009D4D32" w:rsidRDefault="009D4D32" w:rsidP="00D70CD4"/>
          <w:p w14:paraId="6009D987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Semanas 5 a 10</w:t>
            </w:r>
          </w:p>
        </w:tc>
        <w:tc>
          <w:tcPr>
            <w:tcW w:w="1275" w:type="dxa"/>
          </w:tcPr>
          <w:p w14:paraId="74EAF92A" w14:textId="77777777" w:rsidR="009D4D32" w:rsidRDefault="009D4D32" w:rsidP="00D70CD4"/>
          <w:p w14:paraId="7565BA63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Benjamín</w:t>
            </w:r>
          </w:p>
        </w:tc>
        <w:tc>
          <w:tcPr>
            <w:tcW w:w="1276" w:type="dxa"/>
          </w:tcPr>
          <w:p w14:paraId="5AAC6B2A" w14:textId="77777777" w:rsidR="009D4D32" w:rsidRDefault="009D4D32" w:rsidP="00D70CD4"/>
          <w:p w14:paraId="23980632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La migración 0002 agregó campos y categorías solicitadas; el RUT quedó normalizado y único.</w:t>
            </w:r>
          </w:p>
        </w:tc>
        <w:tc>
          <w:tcPr>
            <w:tcW w:w="992" w:type="dxa"/>
          </w:tcPr>
          <w:p w14:paraId="1A328123" w14:textId="77777777" w:rsidR="009D4D32" w:rsidRDefault="009D4D32" w:rsidP="00D70CD4"/>
          <w:p w14:paraId="1E90CE72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Completado</w:t>
            </w:r>
          </w:p>
        </w:tc>
        <w:tc>
          <w:tcPr>
            <w:tcW w:w="1276" w:type="dxa"/>
          </w:tcPr>
          <w:p w14:paraId="344C9DC4" w14:textId="77777777" w:rsidR="009D4D32" w:rsidRDefault="009D4D32" w:rsidP="00D70CD4"/>
          <w:p w14:paraId="7A4D4470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 reforzó la validación en cliente y servidor y la reutilización del cliente por RUT.</w:t>
            </w:r>
          </w:p>
        </w:tc>
      </w:tr>
      <w:tr w:rsidR="009D4D32" w14:paraId="4916ED4A" w14:textId="77777777" w:rsidTr="00D70CD4">
        <w:trPr>
          <w:cantSplit/>
          <w:jc w:val="center"/>
        </w:trPr>
        <w:tc>
          <w:tcPr>
            <w:tcW w:w="1328" w:type="dxa"/>
          </w:tcPr>
          <w:p w14:paraId="2C41C32A" w14:textId="77777777" w:rsidR="009D4D32" w:rsidRDefault="009D4D32" w:rsidP="00D70CD4"/>
          <w:p w14:paraId="71E8E40B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4.1 y 4.2 Desarrollo e integración de software</w:t>
            </w:r>
          </w:p>
        </w:tc>
        <w:tc>
          <w:tcPr>
            <w:tcW w:w="1077" w:type="dxa"/>
          </w:tcPr>
          <w:p w14:paraId="0E8171C6" w14:textId="77777777" w:rsidR="009D4D32" w:rsidRDefault="009D4D32" w:rsidP="00D70CD4"/>
          <w:p w14:paraId="16F666DD" w14:textId="77777777" w:rsidR="009D4D32" w:rsidRDefault="00000000" w:rsidP="00D70CD4">
            <w:pPr>
              <w:spacing w:before="60" w:after="0"/>
            </w:pPr>
            <w:proofErr w:type="spellStart"/>
            <w:r>
              <w:rPr>
                <w:rFonts w:ascii="Arial" w:hAnsi="Arial"/>
                <w:sz w:val="18"/>
              </w:rPr>
              <w:t>Cotizador</w:t>
            </w:r>
            <w:proofErr w:type="spellEnd"/>
            <w:r>
              <w:rPr>
                <w:rFonts w:ascii="Arial" w:hAnsi="Arial"/>
                <w:sz w:val="18"/>
              </w:rPr>
              <w:t xml:space="preserve"> y gestión administrativa de solicitudes</w:t>
            </w:r>
          </w:p>
        </w:tc>
        <w:tc>
          <w:tcPr>
            <w:tcW w:w="1276" w:type="dxa"/>
          </w:tcPr>
          <w:p w14:paraId="05D4ED07" w14:textId="77777777" w:rsidR="009D4D32" w:rsidRDefault="009D4D32" w:rsidP="00D70CD4"/>
          <w:p w14:paraId="5495D69F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Django, JavaScript, Cliente, Servicio y categorías solicitadas</w:t>
            </w:r>
          </w:p>
        </w:tc>
        <w:tc>
          <w:tcPr>
            <w:tcW w:w="1276" w:type="dxa"/>
          </w:tcPr>
          <w:p w14:paraId="13576AA1" w14:textId="77777777" w:rsidR="009D4D32" w:rsidRDefault="009D4D32" w:rsidP="00D70CD4"/>
          <w:p w14:paraId="1BA2664D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Semanas 6 a 10</w:t>
            </w:r>
          </w:p>
        </w:tc>
        <w:tc>
          <w:tcPr>
            <w:tcW w:w="1275" w:type="dxa"/>
          </w:tcPr>
          <w:p w14:paraId="403B5A36" w14:textId="77777777" w:rsidR="009D4D32" w:rsidRDefault="009D4D32" w:rsidP="00D70CD4"/>
          <w:p w14:paraId="400092F9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Helen y Benjamín</w:t>
            </w:r>
          </w:p>
        </w:tc>
        <w:tc>
          <w:tcPr>
            <w:tcW w:w="1276" w:type="dxa"/>
          </w:tcPr>
          <w:p w14:paraId="71132DA0" w14:textId="77777777" w:rsidR="009D4D32" w:rsidRDefault="009D4D32" w:rsidP="00D70CD4"/>
          <w:p w14:paraId="07CA44CC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El flujo público y el procesamiento administrativo fueron probados con la base compartida.</w:t>
            </w:r>
          </w:p>
        </w:tc>
        <w:tc>
          <w:tcPr>
            <w:tcW w:w="992" w:type="dxa"/>
          </w:tcPr>
          <w:p w14:paraId="75BDE859" w14:textId="77777777" w:rsidR="009D4D32" w:rsidRDefault="009D4D32" w:rsidP="00D70CD4"/>
          <w:p w14:paraId="11879EEA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Completado</w:t>
            </w:r>
          </w:p>
        </w:tc>
        <w:tc>
          <w:tcPr>
            <w:tcW w:w="1276" w:type="dxa"/>
          </w:tcPr>
          <w:p w14:paraId="1AE81ECC" w14:textId="77777777" w:rsidR="009D4D32" w:rsidRDefault="009D4D32" w:rsidP="00D70CD4"/>
          <w:p w14:paraId="55F23CE4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No se muestran códigos al cliente y los artículos se asignan desde administración.</w:t>
            </w:r>
          </w:p>
        </w:tc>
      </w:tr>
      <w:tr w:rsidR="009D4D32" w14:paraId="5C0869D0" w14:textId="77777777" w:rsidTr="00D70CD4">
        <w:trPr>
          <w:cantSplit/>
          <w:jc w:val="center"/>
        </w:trPr>
        <w:tc>
          <w:tcPr>
            <w:tcW w:w="1328" w:type="dxa"/>
          </w:tcPr>
          <w:p w14:paraId="0F9A1065" w14:textId="77777777" w:rsidR="009D4D32" w:rsidRDefault="009D4D32" w:rsidP="00D70CD4"/>
          <w:p w14:paraId="2473A45F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4.1 y 4.2 Desarrollo e integración de software</w:t>
            </w:r>
          </w:p>
        </w:tc>
        <w:tc>
          <w:tcPr>
            <w:tcW w:w="1077" w:type="dxa"/>
          </w:tcPr>
          <w:p w14:paraId="03759467" w14:textId="77777777" w:rsidR="009D4D32" w:rsidRDefault="009D4D32" w:rsidP="00D70CD4"/>
          <w:p w14:paraId="50CAD642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Autenticación, permisos e inventario</w:t>
            </w:r>
          </w:p>
        </w:tc>
        <w:tc>
          <w:tcPr>
            <w:tcW w:w="1276" w:type="dxa"/>
          </w:tcPr>
          <w:p w14:paraId="108A8D94" w14:textId="77777777" w:rsidR="009D4D32" w:rsidRDefault="009D4D32" w:rsidP="00D70CD4"/>
          <w:p w14:paraId="2E6613F3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Django Auth, roles, vistas protegidas y modelos de artículos</w:t>
            </w:r>
          </w:p>
        </w:tc>
        <w:tc>
          <w:tcPr>
            <w:tcW w:w="1276" w:type="dxa"/>
          </w:tcPr>
          <w:p w14:paraId="1D181910" w14:textId="77777777" w:rsidR="009D4D32" w:rsidRDefault="009D4D32" w:rsidP="00D70CD4"/>
          <w:p w14:paraId="40862EBD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Semanas 6 a 10</w:t>
            </w:r>
          </w:p>
        </w:tc>
        <w:tc>
          <w:tcPr>
            <w:tcW w:w="1275" w:type="dxa"/>
          </w:tcPr>
          <w:p w14:paraId="76BBDDC7" w14:textId="77777777" w:rsidR="009D4D32" w:rsidRDefault="009D4D32" w:rsidP="00D70CD4"/>
          <w:p w14:paraId="20380252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Benjamín</w:t>
            </w:r>
          </w:p>
        </w:tc>
        <w:tc>
          <w:tcPr>
            <w:tcW w:w="1276" w:type="dxa"/>
          </w:tcPr>
          <w:p w14:paraId="1FBDD457" w14:textId="77777777" w:rsidR="009D4D32" w:rsidRDefault="009D4D32" w:rsidP="00D70CD4"/>
          <w:p w14:paraId="5087CB32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El administrador puede crear productos, editar stock y consultar disponibilidad.</w:t>
            </w:r>
          </w:p>
        </w:tc>
        <w:tc>
          <w:tcPr>
            <w:tcW w:w="992" w:type="dxa"/>
          </w:tcPr>
          <w:p w14:paraId="048B22D9" w14:textId="77777777" w:rsidR="009D4D32" w:rsidRDefault="009D4D32" w:rsidP="00D70CD4"/>
          <w:p w14:paraId="68C47E99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Completado</w:t>
            </w:r>
          </w:p>
        </w:tc>
        <w:tc>
          <w:tcPr>
            <w:tcW w:w="1276" w:type="dxa"/>
          </w:tcPr>
          <w:p w14:paraId="5539B462" w14:textId="77777777" w:rsidR="009D4D32" w:rsidRDefault="009D4D32" w:rsidP="00D70CD4"/>
          <w:p w14:paraId="21C9F6A9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Falta comprobar en vivo la denegación con una cuenta no administradora.</w:t>
            </w:r>
          </w:p>
        </w:tc>
      </w:tr>
      <w:tr w:rsidR="009D4D32" w14:paraId="67684789" w14:textId="77777777" w:rsidTr="00D70CD4">
        <w:trPr>
          <w:cantSplit/>
          <w:jc w:val="center"/>
        </w:trPr>
        <w:tc>
          <w:tcPr>
            <w:tcW w:w="1328" w:type="dxa"/>
          </w:tcPr>
          <w:p w14:paraId="49D04826" w14:textId="77777777" w:rsidR="009D4D32" w:rsidRDefault="009D4D32" w:rsidP="00D70CD4"/>
          <w:p w14:paraId="566CAFBF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3.2 Modelos de datos; 4.1 y 4.2 Desarrollo</w:t>
            </w:r>
          </w:p>
        </w:tc>
        <w:tc>
          <w:tcPr>
            <w:tcW w:w="1077" w:type="dxa"/>
          </w:tcPr>
          <w:p w14:paraId="229F1957" w14:textId="77777777" w:rsidR="009D4D32" w:rsidRDefault="009D4D32" w:rsidP="00D70CD4"/>
          <w:p w14:paraId="4C9BE81C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Reservas y disponibilidad por fechas</w:t>
            </w:r>
          </w:p>
        </w:tc>
        <w:tc>
          <w:tcPr>
            <w:tcW w:w="1276" w:type="dxa"/>
          </w:tcPr>
          <w:p w14:paraId="14245B48" w14:textId="77777777" w:rsidR="009D4D32" w:rsidRDefault="009D4D32" w:rsidP="00D70CD4"/>
          <w:p w14:paraId="51CE9C37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 xml:space="preserve">Transacciones, bloqueo de filas, Servicio, </w:t>
            </w:r>
            <w:proofErr w:type="spellStart"/>
            <w:r>
              <w:rPr>
                <w:rFonts w:ascii="Arial" w:hAnsi="Arial"/>
                <w:sz w:val="18"/>
              </w:rPr>
              <w:t>DetalleServicio</w:t>
            </w:r>
            <w:proofErr w:type="spellEnd"/>
            <w:r>
              <w:rPr>
                <w:rFonts w:ascii="Arial" w:hAnsi="Arial"/>
                <w:sz w:val="18"/>
              </w:rPr>
              <w:t xml:space="preserve"> y stock trabajable</w:t>
            </w:r>
          </w:p>
        </w:tc>
        <w:tc>
          <w:tcPr>
            <w:tcW w:w="1276" w:type="dxa"/>
          </w:tcPr>
          <w:p w14:paraId="7E4BD99F" w14:textId="77777777" w:rsidR="009D4D32" w:rsidRDefault="009D4D32" w:rsidP="00D70CD4"/>
          <w:p w14:paraId="3EE89B54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Semanas 9 a 11</w:t>
            </w:r>
          </w:p>
        </w:tc>
        <w:tc>
          <w:tcPr>
            <w:tcW w:w="1275" w:type="dxa"/>
          </w:tcPr>
          <w:p w14:paraId="7C9BB503" w14:textId="77777777" w:rsidR="009D4D32" w:rsidRDefault="009D4D32" w:rsidP="00D70CD4"/>
          <w:p w14:paraId="7C7C2993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Benjamín</w:t>
            </w:r>
          </w:p>
        </w:tc>
        <w:tc>
          <w:tcPr>
            <w:tcW w:w="1276" w:type="dxa"/>
          </w:tcPr>
          <w:p w14:paraId="4253E569" w14:textId="77777777" w:rsidR="009D4D32" w:rsidRDefault="009D4D32" w:rsidP="00D70CD4"/>
          <w:p w14:paraId="2794D479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La regla crítica fue centralizada y comprobada con stock suficiente e insuficiente.</w:t>
            </w:r>
          </w:p>
        </w:tc>
        <w:tc>
          <w:tcPr>
            <w:tcW w:w="992" w:type="dxa"/>
          </w:tcPr>
          <w:p w14:paraId="13A7EBF1" w14:textId="77777777" w:rsidR="009D4D32" w:rsidRDefault="009D4D32" w:rsidP="00D70CD4"/>
          <w:p w14:paraId="2C13490E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Completado</w:t>
            </w:r>
          </w:p>
        </w:tc>
        <w:tc>
          <w:tcPr>
            <w:tcW w:w="1276" w:type="dxa"/>
          </w:tcPr>
          <w:p w14:paraId="7AE66304" w14:textId="77777777" w:rsidR="009D4D32" w:rsidRDefault="009D4D32" w:rsidP="00D70CD4"/>
          <w:p w14:paraId="737194D9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Solo los estados operativos definidos retienen stock y se recalcula al confirmar.</w:t>
            </w:r>
          </w:p>
        </w:tc>
      </w:tr>
      <w:tr w:rsidR="009D4D32" w14:paraId="7E213466" w14:textId="77777777" w:rsidTr="00D70CD4">
        <w:trPr>
          <w:cantSplit/>
          <w:jc w:val="center"/>
        </w:trPr>
        <w:tc>
          <w:tcPr>
            <w:tcW w:w="1328" w:type="dxa"/>
          </w:tcPr>
          <w:p w14:paraId="268D329B" w14:textId="77777777" w:rsidR="009D4D32" w:rsidRDefault="009D4D32" w:rsidP="00D70CD4"/>
          <w:p w14:paraId="11DB2400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4.1 y 4.2 Desarrollo e integración de software</w:t>
            </w:r>
          </w:p>
        </w:tc>
        <w:tc>
          <w:tcPr>
            <w:tcW w:w="1077" w:type="dxa"/>
          </w:tcPr>
          <w:p w14:paraId="1F00D69D" w14:textId="77777777" w:rsidR="009D4D32" w:rsidRDefault="009D4D32" w:rsidP="00D70CD4"/>
          <w:p w14:paraId="7E360ADD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Preparación, despacho, devolución y merma</w:t>
            </w:r>
          </w:p>
        </w:tc>
        <w:tc>
          <w:tcPr>
            <w:tcW w:w="1276" w:type="dxa"/>
          </w:tcPr>
          <w:p w14:paraId="7A4BCB93" w14:textId="77777777" w:rsidR="009D4D32" w:rsidRDefault="009D4D32" w:rsidP="00D70CD4"/>
          <w:p w14:paraId="48CDBA04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Modelos operativos, vistas administrativas y movimientos</w:t>
            </w:r>
          </w:p>
        </w:tc>
        <w:tc>
          <w:tcPr>
            <w:tcW w:w="1276" w:type="dxa"/>
          </w:tcPr>
          <w:p w14:paraId="17660FC9" w14:textId="77777777" w:rsidR="009D4D32" w:rsidRDefault="009D4D32" w:rsidP="00D70CD4"/>
          <w:p w14:paraId="41784DD0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Semanas 10 a 13</w:t>
            </w:r>
          </w:p>
        </w:tc>
        <w:tc>
          <w:tcPr>
            <w:tcW w:w="1275" w:type="dxa"/>
          </w:tcPr>
          <w:p w14:paraId="3F4DFC74" w14:textId="77777777" w:rsidR="009D4D32" w:rsidRDefault="009D4D32" w:rsidP="00D70CD4"/>
          <w:p w14:paraId="2DDACA74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Helen y Benjamín</w:t>
            </w:r>
          </w:p>
        </w:tc>
        <w:tc>
          <w:tcPr>
            <w:tcW w:w="1276" w:type="dxa"/>
          </w:tcPr>
          <w:p w14:paraId="3D959597" w14:textId="77777777" w:rsidR="009D4D32" w:rsidRDefault="009D4D32" w:rsidP="00D70CD4"/>
          <w:p w14:paraId="2E988657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Existen módulos base, pero todavía falta comprobar el ciclo completo con cantidades reales.</w:t>
            </w:r>
          </w:p>
        </w:tc>
        <w:tc>
          <w:tcPr>
            <w:tcW w:w="992" w:type="dxa"/>
          </w:tcPr>
          <w:p w14:paraId="2C669232" w14:textId="77777777" w:rsidR="009D4D32" w:rsidRDefault="009D4D32" w:rsidP="00D70CD4"/>
          <w:p w14:paraId="760352CA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En curso</w:t>
            </w:r>
          </w:p>
        </w:tc>
        <w:tc>
          <w:tcPr>
            <w:tcW w:w="1276" w:type="dxa"/>
          </w:tcPr>
          <w:p w14:paraId="788C0C49" w14:textId="77777777" w:rsidR="009D4D32" w:rsidRDefault="009D4D32" w:rsidP="00D70CD4"/>
          <w:p w14:paraId="2FC044EE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Priorizar preparación, devolución parcial y liberación correcta del stock.</w:t>
            </w:r>
          </w:p>
        </w:tc>
      </w:tr>
      <w:tr w:rsidR="009D4D32" w14:paraId="4908E5CA" w14:textId="77777777" w:rsidTr="00D70CD4">
        <w:trPr>
          <w:cantSplit/>
          <w:jc w:val="center"/>
        </w:trPr>
        <w:tc>
          <w:tcPr>
            <w:tcW w:w="1328" w:type="dxa"/>
          </w:tcPr>
          <w:p w14:paraId="5AE43A5E" w14:textId="77777777" w:rsidR="009D4D32" w:rsidRDefault="009D4D32" w:rsidP="00D70CD4"/>
          <w:p w14:paraId="00A0182C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1.1, 1.2 y 1.3 Pruebas y mejora</w:t>
            </w:r>
          </w:p>
        </w:tc>
        <w:tc>
          <w:tcPr>
            <w:tcW w:w="1077" w:type="dxa"/>
          </w:tcPr>
          <w:p w14:paraId="18CBF24E" w14:textId="77777777" w:rsidR="009D4D32" w:rsidRDefault="009D4D32" w:rsidP="00D70CD4"/>
          <w:p w14:paraId="631B5527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Pruebas, evidencias, Git y demostración del caso de uso</w:t>
            </w:r>
          </w:p>
        </w:tc>
        <w:tc>
          <w:tcPr>
            <w:tcW w:w="1276" w:type="dxa"/>
          </w:tcPr>
          <w:p w14:paraId="2A9EB510" w14:textId="77777777" w:rsidR="009D4D32" w:rsidRDefault="009D4D32" w:rsidP="00D70CD4"/>
          <w:p w14:paraId="2594FA96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 xml:space="preserve">28 pruebas automáticas, navegador, capturas, repositorio y </w:t>
            </w:r>
            <w:proofErr w:type="spellStart"/>
            <w:r>
              <w:rPr>
                <w:rFonts w:ascii="Arial" w:hAnsi="Arial"/>
                <w:sz w:val="18"/>
              </w:rPr>
              <w:t>Supabase</w:t>
            </w:r>
            <w:proofErr w:type="spellEnd"/>
          </w:p>
        </w:tc>
        <w:tc>
          <w:tcPr>
            <w:tcW w:w="1276" w:type="dxa"/>
          </w:tcPr>
          <w:p w14:paraId="5F5E02D0" w14:textId="77777777" w:rsidR="009D4D32" w:rsidRDefault="009D4D32" w:rsidP="00D70CD4"/>
          <w:p w14:paraId="349ED9DA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Semana 10</w:t>
            </w:r>
          </w:p>
        </w:tc>
        <w:tc>
          <w:tcPr>
            <w:tcW w:w="1275" w:type="dxa"/>
          </w:tcPr>
          <w:p w14:paraId="4D185670" w14:textId="77777777" w:rsidR="009D4D32" w:rsidRDefault="009D4D32" w:rsidP="00D70CD4"/>
          <w:p w14:paraId="39B8E326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Helen y Benjamín</w:t>
            </w:r>
          </w:p>
        </w:tc>
        <w:tc>
          <w:tcPr>
            <w:tcW w:w="1276" w:type="dxa"/>
          </w:tcPr>
          <w:p w14:paraId="04EF0831" w14:textId="77777777" w:rsidR="009D4D32" w:rsidRDefault="009D4D32" w:rsidP="00D70CD4"/>
          <w:p w14:paraId="6119FC0B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El caso de uso completo ya fue probado de manera local y con la base compartida.</w:t>
            </w:r>
          </w:p>
        </w:tc>
        <w:tc>
          <w:tcPr>
            <w:tcW w:w="992" w:type="dxa"/>
          </w:tcPr>
          <w:p w14:paraId="3CE70D56" w14:textId="77777777" w:rsidR="009D4D32" w:rsidRDefault="009D4D32" w:rsidP="00D70CD4"/>
          <w:p w14:paraId="06F75FD5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En curso</w:t>
            </w:r>
          </w:p>
        </w:tc>
        <w:tc>
          <w:tcPr>
            <w:tcW w:w="1276" w:type="dxa"/>
          </w:tcPr>
          <w:p w14:paraId="5B241BB6" w14:textId="77777777" w:rsidR="009D4D32" w:rsidRDefault="009D4D32" w:rsidP="00D70CD4"/>
          <w:p w14:paraId="1347EAD7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 xml:space="preserve">Subir documentos, asociar evidencias a </w:t>
            </w:r>
            <w:proofErr w:type="spellStart"/>
            <w:r>
              <w:rPr>
                <w:rFonts w:ascii="Arial" w:hAnsi="Arial"/>
                <w:sz w:val="18"/>
              </w:rPr>
              <w:t>commits</w:t>
            </w:r>
            <w:proofErr w:type="spellEnd"/>
            <w:r>
              <w:rPr>
                <w:rFonts w:ascii="Arial" w:hAnsi="Arial"/>
                <w:sz w:val="18"/>
              </w:rPr>
              <w:t xml:space="preserve"> y ensayar la exposición.</w:t>
            </w:r>
          </w:p>
        </w:tc>
      </w:tr>
      <w:tr w:rsidR="009D4D32" w14:paraId="37572012" w14:textId="77777777" w:rsidTr="00D70CD4">
        <w:trPr>
          <w:cantSplit/>
          <w:jc w:val="center"/>
        </w:trPr>
        <w:tc>
          <w:tcPr>
            <w:tcW w:w="1328" w:type="dxa"/>
          </w:tcPr>
          <w:p w14:paraId="75644C3F" w14:textId="77777777" w:rsidR="009D4D32" w:rsidRDefault="009D4D32" w:rsidP="00D70CD4"/>
          <w:p w14:paraId="23CE133C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3.2 Modelos de datos; 4.2 Integración</w:t>
            </w:r>
          </w:p>
        </w:tc>
        <w:tc>
          <w:tcPr>
            <w:tcW w:w="1077" w:type="dxa"/>
          </w:tcPr>
          <w:p w14:paraId="33C4B280" w14:textId="77777777" w:rsidR="009D4D32" w:rsidRDefault="009D4D32" w:rsidP="00D70CD4"/>
          <w:p w14:paraId="1C0099D7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 xml:space="preserve">Base PostgreSQL local y exportación de datos desde </w:t>
            </w:r>
            <w:proofErr w:type="spellStart"/>
            <w:r>
              <w:rPr>
                <w:rFonts w:ascii="Arial" w:hAnsi="Arial"/>
                <w:sz w:val="18"/>
              </w:rPr>
              <w:t>Supabase</w:t>
            </w:r>
            <w:proofErr w:type="spellEnd"/>
          </w:p>
        </w:tc>
        <w:tc>
          <w:tcPr>
            <w:tcW w:w="1276" w:type="dxa"/>
          </w:tcPr>
          <w:p w14:paraId="5E1A8F91" w14:textId="77777777" w:rsidR="009D4D32" w:rsidRDefault="009D4D32" w:rsidP="00D70CD4"/>
          <w:p w14:paraId="3C028BF0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PostgreSQL local, respaldo y restauración controlada</w:t>
            </w:r>
          </w:p>
        </w:tc>
        <w:tc>
          <w:tcPr>
            <w:tcW w:w="1276" w:type="dxa"/>
          </w:tcPr>
          <w:p w14:paraId="48BF3CFF" w14:textId="77777777" w:rsidR="009D4D32" w:rsidRDefault="009D4D32" w:rsidP="00D70CD4"/>
          <w:p w14:paraId="6B93CF10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Semanas 10 a 11</w:t>
            </w:r>
          </w:p>
        </w:tc>
        <w:tc>
          <w:tcPr>
            <w:tcW w:w="1275" w:type="dxa"/>
          </w:tcPr>
          <w:p w14:paraId="207B7D25" w14:textId="77777777" w:rsidR="009D4D32" w:rsidRDefault="009D4D32" w:rsidP="00D70CD4"/>
          <w:p w14:paraId="3C7CB04F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Benjamín</w:t>
            </w:r>
          </w:p>
        </w:tc>
        <w:tc>
          <w:tcPr>
            <w:tcW w:w="1276" w:type="dxa"/>
          </w:tcPr>
          <w:p w14:paraId="1684A590" w14:textId="77777777" w:rsidR="009D4D32" w:rsidRDefault="009D4D32" w:rsidP="00D70CD4"/>
          <w:p w14:paraId="79D03723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La copia local permitirá realizar pruebas controladas y reducir la dependencia de conectividad.</w:t>
            </w:r>
          </w:p>
        </w:tc>
        <w:tc>
          <w:tcPr>
            <w:tcW w:w="992" w:type="dxa"/>
          </w:tcPr>
          <w:p w14:paraId="43E031E6" w14:textId="77777777" w:rsidR="009D4D32" w:rsidRDefault="009D4D32" w:rsidP="00D70CD4"/>
          <w:p w14:paraId="0AE72BE2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No iniciado</w:t>
            </w:r>
          </w:p>
        </w:tc>
        <w:tc>
          <w:tcPr>
            <w:tcW w:w="1276" w:type="dxa"/>
          </w:tcPr>
          <w:p w14:paraId="618B4315" w14:textId="77777777" w:rsidR="009D4D32" w:rsidRDefault="009D4D32" w:rsidP="00D70CD4"/>
          <w:p w14:paraId="36996F7F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Crear la base local, exportar una copia, verificar integridad y documentar el procedimiento sin exponer credenciales.</w:t>
            </w:r>
          </w:p>
        </w:tc>
      </w:tr>
      <w:tr w:rsidR="009D4D32" w14:paraId="6EA940A4" w14:textId="77777777" w:rsidTr="00D70CD4">
        <w:trPr>
          <w:cantSplit/>
          <w:jc w:val="center"/>
        </w:trPr>
        <w:tc>
          <w:tcPr>
            <w:tcW w:w="1328" w:type="dxa"/>
          </w:tcPr>
          <w:p w14:paraId="24763093" w14:textId="77777777" w:rsidR="009D4D32" w:rsidRDefault="009D4D32" w:rsidP="00D70CD4"/>
          <w:p w14:paraId="65324FAA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2.1 y 2.2 Gestión de proyectos</w:t>
            </w:r>
          </w:p>
        </w:tc>
        <w:tc>
          <w:tcPr>
            <w:tcW w:w="1077" w:type="dxa"/>
          </w:tcPr>
          <w:p w14:paraId="56272BE9" w14:textId="77777777" w:rsidR="009D4D32" w:rsidRDefault="009D4D32" w:rsidP="00D70CD4"/>
          <w:p w14:paraId="37CC6CDA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Reportes, seguridad de producción y cierre de V1</w:t>
            </w:r>
          </w:p>
        </w:tc>
        <w:tc>
          <w:tcPr>
            <w:tcW w:w="1276" w:type="dxa"/>
          </w:tcPr>
          <w:p w14:paraId="3878AD8E" w14:textId="77777777" w:rsidR="009D4D32" w:rsidRDefault="009D4D32" w:rsidP="00D70CD4"/>
          <w:p w14:paraId="08A6E992" w14:textId="77777777" w:rsidR="009D4D32" w:rsidRDefault="00000000" w:rsidP="00D70CD4">
            <w:pPr>
              <w:spacing w:before="60" w:after="0"/>
            </w:pPr>
            <w:proofErr w:type="spellStart"/>
            <w:r>
              <w:rPr>
                <w:rFonts w:ascii="Arial" w:hAnsi="Arial"/>
                <w:sz w:val="18"/>
              </w:rPr>
              <w:t>Dashboard</w:t>
            </w:r>
            <w:proofErr w:type="spellEnd"/>
            <w:r>
              <w:rPr>
                <w:rFonts w:ascii="Arial" w:hAnsi="Arial"/>
                <w:sz w:val="18"/>
              </w:rPr>
              <w:t>, variables de entorno, Git y documentación técnica</w:t>
            </w:r>
          </w:p>
        </w:tc>
        <w:tc>
          <w:tcPr>
            <w:tcW w:w="1276" w:type="dxa"/>
          </w:tcPr>
          <w:p w14:paraId="065B365F" w14:textId="77777777" w:rsidR="009D4D32" w:rsidRDefault="009D4D32" w:rsidP="00D70CD4"/>
          <w:p w14:paraId="7441940E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Semanas 11 a 16</w:t>
            </w:r>
          </w:p>
        </w:tc>
        <w:tc>
          <w:tcPr>
            <w:tcW w:w="1275" w:type="dxa"/>
          </w:tcPr>
          <w:p w14:paraId="12D9CA1C" w14:textId="77777777" w:rsidR="009D4D32" w:rsidRDefault="009D4D32" w:rsidP="00D70CD4"/>
          <w:p w14:paraId="482B52BD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Helen y Benjamín</w:t>
            </w:r>
          </w:p>
        </w:tc>
        <w:tc>
          <w:tcPr>
            <w:tcW w:w="1276" w:type="dxa"/>
          </w:tcPr>
          <w:p w14:paraId="4111E9D6" w14:textId="77777777" w:rsidR="009D4D32" w:rsidRDefault="009D4D32" w:rsidP="00D70CD4"/>
          <w:p w14:paraId="67449407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 xml:space="preserve">Resumen y reportes reflejan reservas y stock, con una inconsistencia en monto cotizado y </w:t>
            </w:r>
            <w:proofErr w:type="gramStart"/>
            <w:r>
              <w:rPr>
                <w:rFonts w:ascii="Arial" w:hAnsi="Arial"/>
                <w:sz w:val="18"/>
              </w:rPr>
              <w:t>ticket</w:t>
            </w:r>
            <w:proofErr w:type="gramEnd"/>
            <w:r>
              <w:rPr>
                <w:rFonts w:ascii="Arial" w:hAnsi="Arial"/>
                <w:sz w:val="18"/>
              </w:rPr>
              <w:t xml:space="preserve"> promedio.</w:t>
            </w:r>
          </w:p>
        </w:tc>
        <w:tc>
          <w:tcPr>
            <w:tcW w:w="992" w:type="dxa"/>
          </w:tcPr>
          <w:p w14:paraId="4CEFAFDA" w14:textId="77777777" w:rsidR="009D4D32" w:rsidRDefault="009D4D32" w:rsidP="00D70CD4"/>
          <w:p w14:paraId="223A19D6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En curso</w:t>
            </w:r>
          </w:p>
        </w:tc>
        <w:tc>
          <w:tcPr>
            <w:tcW w:w="1276" w:type="dxa"/>
          </w:tcPr>
          <w:p w14:paraId="29FDDFD7" w14:textId="77777777" w:rsidR="009D4D32" w:rsidRDefault="009D4D32" w:rsidP="00D70CD4"/>
          <w:p w14:paraId="0B80FE52" w14:textId="77777777" w:rsidR="009D4D32" w:rsidRDefault="00000000" w:rsidP="00D70CD4">
            <w:pPr>
              <w:spacing w:before="60" w:after="0"/>
            </w:pPr>
            <w:r>
              <w:rPr>
                <w:rFonts w:ascii="Arial" w:hAnsi="Arial"/>
                <w:sz w:val="18"/>
              </w:rPr>
              <w:t>Corregir métricas, desactivar DEBUG, retirar secretos del código y cerrar módulos secundarios.</w:t>
            </w:r>
          </w:p>
        </w:tc>
      </w:tr>
    </w:tbl>
    <w:p w14:paraId="6E21BDE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9A894C6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1F7F172B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2544BF54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03606D10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2DEB76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F3F2C2C" w14:textId="378B9EC3" w:rsidR="0003309E" w:rsidRPr="00FD6E7A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58E65A8" w14:textId="60AD6FB2" w:rsidR="009D4D32" w:rsidRPr="0092558B" w:rsidRDefault="00000000">
            <w:pPr>
              <w:spacing w:before="80" w:after="0"/>
              <w:rPr>
                <w:rFonts w:cstheme="minorHAnsi"/>
              </w:rPr>
            </w:pPr>
            <w:r w:rsidRPr="0092558B">
              <w:rPr>
                <w:rFonts w:cstheme="minorHAnsi"/>
                <w:sz w:val="20"/>
              </w:rPr>
              <w:t xml:space="preserve">Facilitadores: </w:t>
            </w:r>
            <w:r w:rsidR="00D31399">
              <w:rPr>
                <w:rFonts w:cstheme="minorHAnsi"/>
                <w:sz w:val="20"/>
              </w:rPr>
              <w:t>C</w:t>
            </w:r>
            <w:r w:rsidRPr="0092558B">
              <w:rPr>
                <w:rFonts w:cstheme="minorHAnsi"/>
                <w:sz w:val="20"/>
              </w:rPr>
              <w:t>omplementariedad entre frontend, backend y documentación; acceso directo a usuarios del negocio; uso de Django con PostgreSQL/</w:t>
            </w:r>
            <w:proofErr w:type="spellStart"/>
            <w:r w:rsidRPr="0092558B">
              <w:rPr>
                <w:rFonts w:cstheme="minorHAnsi"/>
                <w:sz w:val="20"/>
              </w:rPr>
              <w:t>Supabase</w:t>
            </w:r>
            <w:proofErr w:type="spellEnd"/>
            <w:r w:rsidRPr="0092558B">
              <w:rPr>
                <w:rFonts w:cstheme="minorHAnsi"/>
                <w:sz w:val="20"/>
              </w:rPr>
              <w:t>; desarrollo incremental; y disponibilidad de pruebas automáticas. Dificultades: complejidad de las reservas superpuestas, integración de estados operativos, stock inicial en cero, métricas comerciales que no incluyen de forma consistente las reservas confirmadas y configuración sensible todavía preparada para desarrollo. Las principales dificultades del caso de uso se resolvieron mediante una migración controlada, centralización de disponibilidad, transacciones, bloqueo de registros, carga administrativa de stock y pruebas repetibles.</w:t>
            </w:r>
          </w:p>
        </w:tc>
      </w:tr>
    </w:tbl>
    <w:p w14:paraId="452F787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1BAF9BC1" w14:textId="77777777" w:rsidTr="00D70CD4">
        <w:trPr>
          <w:trHeight w:val="1266"/>
        </w:trPr>
        <w:tc>
          <w:tcPr>
            <w:tcW w:w="5000" w:type="pct"/>
            <w:vAlign w:val="center"/>
          </w:tcPr>
          <w:p w14:paraId="46B4BDFA" w14:textId="39DBDE97" w:rsidR="00FD6E7A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748D6AD5" w14:textId="77777777" w:rsidR="009D4D32" w:rsidRDefault="00000000">
            <w:pPr>
              <w:spacing w:before="80" w:after="0"/>
              <w:rPr>
                <w:rFonts w:cstheme="minorHAnsi"/>
                <w:sz w:val="20"/>
              </w:rPr>
            </w:pPr>
            <w:r w:rsidRPr="00841026">
              <w:rPr>
                <w:rFonts w:cstheme="minorHAnsi"/>
                <w:sz w:val="20"/>
              </w:rPr>
              <w:t xml:space="preserve">Se priorizó el caso de uso vertical de Semana 10 y se postergaron la aplicación móvil, la inteligencia artificial y el análisis avanzado. Se eliminó del flujo público cualquier código de seguimiento y se dejó la continuidad por medios de contacto directos. Los artículos y cantidades dejaron de crearse automáticamente y ahora se cargan o </w:t>
            </w:r>
            <w:r w:rsidRPr="00841026">
              <w:rPr>
                <w:rFonts w:cstheme="minorHAnsi"/>
                <w:sz w:val="20"/>
              </w:rPr>
              <w:lastRenderedPageBreak/>
              <w:t>ajustan desde administración. También se incorporó un estado Contactado que no retiene stock, se centralizó la disponibilidad y se estableció que la confirmación siempre debe recalcular y bloquear ante faltantes.</w:t>
            </w:r>
          </w:p>
          <w:p w14:paraId="6CB94C43" w14:textId="263328AA" w:rsidR="00D70CD4" w:rsidRPr="00841026" w:rsidRDefault="00D70CD4">
            <w:pPr>
              <w:spacing w:before="80" w:after="0"/>
              <w:rPr>
                <w:rFonts w:cstheme="minorHAnsi"/>
              </w:rPr>
            </w:pPr>
          </w:p>
        </w:tc>
      </w:tr>
    </w:tbl>
    <w:p w14:paraId="3AF706DE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1CF3EA0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0804B637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9E4B7D8" w14:textId="6C20ADED" w:rsidR="00FD6E7A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2B55720A" w14:textId="7C179630" w:rsidR="009D4D32" w:rsidRPr="00C50E23" w:rsidRDefault="00000000">
            <w:pPr>
              <w:spacing w:before="80" w:after="0"/>
              <w:rPr>
                <w:rFonts w:cstheme="minorHAnsi"/>
              </w:rPr>
            </w:pPr>
            <w:r w:rsidRPr="00C50E23">
              <w:rPr>
                <w:rFonts w:cstheme="minorHAnsi"/>
                <w:sz w:val="20"/>
              </w:rPr>
              <w:t>No está finalizado el ciclo completo de preparación, despacho, devolución parcial y merma, porque primero se priorizó asegurar la cotización, la reserva y la disponibilidad sin sobreventa. Estas tareas se abordarán en incrementos posteriores, comenzando por el ciclo operativo con sus pruebas de integración, sin afectar la demostración funcional comprometida para la Semana 10.</w:t>
            </w:r>
          </w:p>
        </w:tc>
      </w:tr>
    </w:tbl>
    <w:p w14:paraId="37CF0185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764DD" w14:textId="77777777" w:rsidR="006B6617" w:rsidRDefault="006B6617" w:rsidP="0003309E">
      <w:pPr>
        <w:spacing w:after="0" w:line="240" w:lineRule="auto"/>
      </w:pPr>
      <w:r>
        <w:separator/>
      </w:r>
    </w:p>
  </w:endnote>
  <w:endnote w:type="continuationSeparator" w:id="0">
    <w:p w14:paraId="1CF71900" w14:textId="77777777" w:rsidR="006B6617" w:rsidRDefault="006B6617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F6F87" w14:textId="77777777" w:rsidR="006B6617" w:rsidRDefault="006B6617" w:rsidP="0003309E">
      <w:pPr>
        <w:spacing w:after="0" w:line="240" w:lineRule="auto"/>
      </w:pPr>
      <w:r>
        <w:separator/>
      </w:r>
    </w:p>
  </w:footnote>
  <w:footnote w:type="continuationSeparator" w:id="0">
    <w:p w14:paraId="34690F65" w14:textId="77777777" w:rsidR="006B6617" w:rsidRDefault="006B6617" w:rsidP="0003309E">
      <w:pPr>
        <w:spacing w:after="0" w:line="240" w:lineRule="auto"/>
      </w:pPr>
      <w:r>
        <w:continuationSeparator/>
      </w:r>
    </w:p>
  </w:footnote>
  <w:footnote w:id="1">
    <w:p w14:paraId="36519FA9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59D88464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216605AF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1F4D93F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93F3B74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25BD375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9835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E6470"/>
    <w:rsid w:val="00211A6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B6617"/>
    <w:rsid w:val="00806DE0"/>
    <w:rsid w:val="0081536B"/>
    <w:rsid w:val="00841026"/>
    <w:rsid w:val="008479F5"/>
    <w:rsid w:val="0085275A"/>
    <w:rsid w:val="008F621F"/>
    <w:rsid w:val="0092558B"/>
    <w:rsid w:val="009378F7"/>
    <w:rsid w:val="009552E5"/>
    <w:rsid w:val="00976ABB"/>
    <w:rsid w:val="009D4D32"/>
    <w:rsid w:val="009E52DF"/>
    <w:rsid w:val="00B31361"/>
    <w:rsid w:val="00B4258F"/>
    <w:rsid w:val="00B8164D"/>
    <w:rsid w:val="00BE1024"/>
    <w:rsid w:val="00C20F3D"/>
    <w:rsid w:val="00C44557"/>
    <w:rsid w:val="00C50E23"/>
    <w:rsid w:val="00C5122E"/>
    <w:rsid w:val="00CE0AA8"/>
    <w:rsid w:val="00D31399"/>
    <w:rsid w:val="00D67975"/>
    <w:rsid w:val="00D70CD4"/>
    <w:rsid w:val="00D714E2"/>
    <w:rsid w:val="00DF3386"/>
    <w:rsid w:val="00E24CD5"/>
    <w:rsid w:val="00E50368"/>
    <w:rsid w:val="00EA0C09"/>
    <w:rsid w:val="00ED4037"/>
    <w:rsid w:val="00FD5149"/>
    <w:rsid w:val="00FD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28CA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table" w:styleId="Tablaconcuadrculaclara">
    <w:name w:val="Grid Table Light"/>
    <w:basedOn w:val="Tablanormal"/>
    <w:uiPriority w:val="40"/>
    <w:rsid w:val="00FD6E7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1561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CORTES AVILES, HELEN MARIA</cp:lastModifiedBy>
  <cp:revision>6</cp:revision>
  <dcterms:created xsi:type="dcterms:W3CDTF">2022-08-24T18:14:00Z</dcterms:created>
  <dcterms:modified xsi:type="dcterms:W3CDTF">2026-10-15T19:03:00Z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