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10D2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37730064" w14:textId="77777777" w:rsidTr="25FC3610">
        <w:trPr>
          <w:trHeight w:val="2192"/>
        </w:trPr>
        <w:tc>
          <w:tcPr>
            <w:tcW w:w="0" w:type="auto"/>
          </w:tcPr>
          <w:p w14:paraId="1F1FF9F8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28C562FB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51E2C190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447DB3B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32884DD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2C93156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87A746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B7667D6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40728971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1A01A5" w14:textId="1D31E4EA" w:rsidR="004F2A8B" w:rsidRPr="00106877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E57D3FE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6C868C" w14:textId="1E27A6B9" w:rsidR="00467770" w:rsidRPr="00106877" w:rsidRDefault="00000000">
            <w:pPr>
              <w:spacing w:before="80"/>
              <w:rPr>
                <w:rFonts w:cstheme="minorHAnsi"/>
                <w:sz w:val="20"/>
                <w:szCs w:val="20"/>
              </w:rPr>
            </w:pPr>
            <w:r w:rsidRPr="00106877">
              <w:rPr>
                <w:rFonts w:cstheme="minorHAnsi"/>
                <w:sz w:val="20"/>
                <w:szCs w:val="20"/>
              </w:rPr>
              <w:t xml:space="preserve">Al cierre de la Semana 10 cumplimos el caso de uso principal y los hitos necesarios para la segunda exposición. Están operativos el sitio público, el catálogo, la gestión de clientes, la autenticación administrativa, la creación y edición de inventario, el </w:t>
            </w:r>
            <w:proofErr w:type="spellStart"/>
            <w:r w:rsidRPr="00106877">
              <w:rPr>
                <w:rFonts w:cstheme="minorHAnsi"/>
                <w:sz w:val="20"/>
                <w:szCs w:val="20"/>
              </w:rPr>
              <w:t>cotizador</w:t>
            </w:r>
            <w:proofErr w:type="spellEnd"/>
            <w:r w:rsidRPr="00106877">
              <w:rPr>
                <w:rFonts w:cstheme="minorHAnsi"/>
                <w:sz w:val="20"/>
                <w:szCs w:val="20"/>
              </w:rPr>
              <w:t xml:space="preserve"> de tres pasos y la gestión de cotizaciones. También completamos la disponibilidad por fechas y la confirmación de reservas: el sistema vuelve a calcular el stock, impide confirmar si existe un faltante y refleja la operación en Reservas, Inventario, Calendario, Resumen y Reportes. Facilitaron el avance la división de tareas, la implementación incremental, el uso de Django con PostgreSQL/</w:t>
            </w:r>
            <w:proofErr w:type="spellStart"/>
            <w:r w:rsidRPr="00106877">
              <w:rPr>
                <w:rFonts w:cstheme="minorHAnsi"/>
                <w:sz w:val="20"/>
                <w:szCs w:val="20"/>
              </w:rPr>
              <w:t>Supabase</w:t>
            </w:r>
            <w:proofErr w:type="spellEnd"/>
            <w:r w:rsidRPr="00106877">
              <w:rPr>
                <w:rFonts w:cstheme="minorHAnsi"/>
                <w:sz w:val="20"/>
                <w:szCs w:val="20"/>
              </w:rPr>
              <w:t xml:space="preserve"> y la validación frecuente mediante pruebas. Permanecen en curso el ciclo posterior de preparación, despacho, devolución y merma, además de ajustes secundarios en métricas comerciales y configuración de producción.</w:t>
            </w:r>
          </w:p>
        </w:tc>
      </w:tr>
    </w:tbl>
    <w:p w14:paraId="050F9310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4E2D35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1898C94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550019C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CD2BF0C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BF7EE4C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D950DE" w14:textId="37CB3873" w:rsidR="00467770" w:rsidRPr="00106877" w:rsidRDefault="00000000">
            <w:pPr>
              <w:spacing w:before="80"/>
              <w:rPr>
                <w:rFonts w:cstheme="minorHAnsi"/>
              </w:rPr>
            </w:pPr>
            <w:r w:rsidRPr="00106877">
              <w:rPr>
                <w:rFonts w:cstheme="minorHAnsi"/>
                <w:sz w:val="20"/>
              </w:rPr>
              <w:t xml:space="preserve">Enfrentamos las dificultades priorizando un flujo completo y demostrable en lugar de desarrollar módulos aislados. Aplicamos la migración 0002 en </w:t>
            </w:r>
            <w:proofErr w:type="spellStart"/>
            <w:r w:rsidRPr="00106877">
              <w:rPr>
                <w:rFonts w:cstheme="minorHAnsi"/>
                <w:sz w:val="20"/>
              </w:rPr>
              <w:t>Supabase</w:t>
            </w:r>
            <w:proofErr w:type="spellEnd"/>
            <w:r w:rsidRPr="00106877">
              <w:rPr>
                <w:rFonts w:cstheme="minorHAnsi"/>
                <w:sz w:val="20"/>
              </w:rPr>
              <w:t xml:space="preserve">, normalizamos y validamos el RUT, centralizamos el cálculo de disponibilidad, agregamos transacciones y bloqueo de registros para evitar sobreventa y habilitamos la carga real de stock desde administración. Se crearon 28 pruebas automáticas para </w:t>
            </w:r>
            <w:proofErr w:type="spellStart"/>
            <w:r w:rsidRPr="00106877">
              <w:rPr>
                <w:rFonts w:cstheme="minorHAnsi"/>
                <w:sz w:val="20"/>
              </w:rPr>
              <w:t>cotizador</w:t>
            </w:r>
            <w:proofErr w:type="spellEnd"/>
            <w:r w:rsidRPr="00106877">
              <w:rPr>
                <w:rFonts w:cstheme="minorHAnsi"/>
                <w:sz w:val="20"/>
              </w:rPr>
              <w:t xml:space="preserve">, administración y disponibilidad, junto con recorridos manuales en navegador. Como siguiente medida técnica crearemos una base PostgreSQL local y exportaremos hacia ella una copia de los datos de </w:t>
            </w:r>
            <w:proofErr w:type="spellStart"/>
            <w:r w:rsidRPr="00106877">
              <w:rPr>
                <w:rFonts w:cstheme="minorHAnsi"/>
                <w:sz w:val="20"/>
              </w:rPr>
              <w:t>Supabase</w:t>
            </w:r>
            <w:proofErr w:type="spellEnd"/>
            <w:r w:rsidRPr="00106877">
              <w:rPr>
                <w:rFonts w:cstheme="minorHAnsi"/>
                <w:sz w:val="20"/>
              </w:rPr>
              <w:t>, con el fin de disponer de un entorno controlado, reducir la dependencia de red y ejecutar pruebas sin afectar la base compartida. Para lo pendiente mantendremos entregas pequeñas con criterio de aceptación, pruebas de integración y evidencia vinculada a cada avance en Git.</w:t>
            </w:r>
          </w:p>
        </w:tc>
      </w:tr>
    </w:tbl>
    <w:p w14:paraId="7FEAE6C6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1D3497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1B5D31C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770CF90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E82E993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DD77A7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06EFD6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F476FE9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0363762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E42E249" w14:textId="01D02A60" w:rsidR="00467770" w:rsidRPr="00106877" w:rsidRDefault="00000000">
            <w:pPr>
              <w:spacing w:before="80"/>
              <w:rPr>
                <w:rFonts w:cstheme="minorHAnsi"/>
              </w:rPr>
            </w:pPr>
            <w:r w:rsidRPr="00106877">
              <w:rPr>
                <w:rFonts w:cstheme="minorHAnsi"/>
                <w:sz w:val="20"/>
              </w:rPr>
              <w:t xml:space="preserve">Evaluamos nuestro trabajo como satisfactorio y acorde con el objetivo de la Semana 10. Destacamos que el flujo ya permite ingresar una solicitud pública, procesarla administrativamente, asignar artículos, comprobar disponibilidad, confirmar una reserva y observar la salida en distintos módulos. También valoramos la validación duplicada en cliente y servidor, la prevención de duplicados por RUT y la protección de vistas administrativas. Para mejorar debemos corregir la métrica Monto cotizado y </w:t>
            </w:r>
            <w:proofErr w:type="gramStart"/>
            <w:r w:rsidRPr="00106877">
              <w:rPr>
                <w:rFonts w:cstheme="minorHAnsi"/>
                <w:sz w:val="20"/>
              </w:rPr>
              <w:t>Ticket</w:t>
            </w:r>
            <w:proofErr w:type="gramEnd"/>
            <w:r w:rsidRPr="00106877">
              <w:rPr>
                <w:rFonts w:cstheme="minorHAnsi"/>
                <w:sz w:val="20"/>
              </w:rPr>
              <w:t xml:space="preserve"> promedio en Reportes, probar el acceso con un usuario sin rol administrador, separar secretos y DEBUG de la configuración de producción, completar las evidencias visuales y cerrar el ciclo operativo posterior a la reserva.</w:t>
            </w:r>
          </w:p>
        </w:tc>
      </w:tr>
    </w:tbl>
    <w:p w14:paraId="14B501AB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A709870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F0DAB46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4C155E8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94CBD7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73A5BE59" w14:textId="77777777" w:rsidR="00106877" w:rsidRPr="003B466F" w:rsidRDefault="0010687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29F129" w14:textId="09B7C9EA" w:rsidR="00467770" w:rsidRPr="00106877" w:rsidRDefault="006960A9">
            <w:pPr>
              <w:spacing w:before="80"/>
              <w:rPr>
                <w:rFonts w:ascii="Calibri" w:hAnsi="Calibri" w:cs="Calibri"/>
              </w:rPr>
            </w:pPr>
            <w:r w:rsidRPr="006960A9">
              <w:rPr>
                <w:rFonts w:ascii="Calibri" w:hAnsi="Calibri" w:cs="Calibri"/>
                <w:sz w:val="20"/>
              </w:rPr>
              <w:t xml:space="preserve">Nuestra principal inquietud es confirmar si las evidencias preparadas para la Semana 10 son suficientes. Nos gustaría consultar al docente si debemos incorporar, además de los documentos, Git actualizado y la demostración funcional, capturas de pantalla, resultados de pruebas automáticas o referencias a </w:t>
            </w:r>
            <w:proofErr w:type="spellStart"/>
            <w:r w:rsidRPr="006960A9">
              <w:rPr>
                <w:rFonts w:ascii="Calibri" w:hAnsi="Calibri" w:cs="Calibri"/>
                <w:sz w:val="20"/>
              </w:rPr>
              <w:t>commits</w:t>
            </w:r>
            <w:proofErr w:type="spellEnd"/>
            <w:r w:rsidRPr="006960A9">
              <w:rPr>
                <w:rFonts w:ascii="Calibri" w:hAnsi="Calibri" w:cs="Calibri"/>
                <w:sz w:val="20"/>
              </w:rPr>
              <w:t>.</w:t>
            </w:r>
          </w:p>
        </w:tc>
      </w:tr>
    </w:tbl>
    <w:p w14:paraId="2851A36A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1CE7B6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EF6EC27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1F576E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BD58361" w14:textId="7D2036EB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491E0D42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0EF81E8" w14:textId="48F63FF2" w:rsidR="00467770" w:rsidRPr="00106877" w:rsidRDefault="00000000">
            <w:pPr>
              <w:spacing w:before="80"/>
              <w:rPr>
                <w:rFonts w:cstheme="minorHAnsi"/>
              </w:rPr>
            </w:pPr>
            <w:r w:rsidRPr="00106877">
              <w:rPr>
                <w:rFonts w:cstheme="minorHAnsi"/>
                <w:sz w:val="20"/>
              </w:rPr>
              <w:t xml:space="preserve">Mantendremos la distribución principal por fortalezas. Benjamín continuará con backend, base de datos, reglas de negocio, seguridad, creación de la base PostgreSQL local y exportación controlada de los datos desde </w:t>
            </w:r>
            <w:proofErr w:type="spellStart"/>
            <w:r w:rsidRPr="00106877">
              <w:rPr>
                <w:rFonts w:cstheme="minorHAnsi"/>
                <w:sz w:val="20"/>
              </w:rPr>
              <w:t>Supabase</w:t>
            </w:r>
            <w:proofErr w:type="spellEnd"/>
            <w:r w:rsidRPr="00106877">
              <w:rPr>
                <w:rFonts w:cstheme="minorHAnsi"/>
                <w:sz w:val="20"/>
              </w:rPr>
              <w:t xml:space="preserve">. Helen continuará con interfaz, experiencia de usuario, documentación, evidencias y preparación de la exposición. Ambos revisarán integración, pruebas y demostración. Las nuevas actividades inmediatas son validar la copia local, corregir las métricas comerciales, preparar capturas y referencias a </w:t>
            </w:r>
            <w:proofErr w:type="spellStart"/>
            <w:r w:rsidRPr="00106877">
              <w:rPr>
                <w:rFonts w:cstheme="minorHAnsi"/>
                <w:sz w:val="20"/>
              </w:rPr>
              <w:t>commits</w:t>
            </w:r>
            <w:proofErr w:type="spellEnd"/>
            <w:r w:rsidRPr="00106877">
              <w:rPr>
                <w:rFonts w:cstheme="minorHAnsi"/>
                <w:sz w:val="20"/>
              </w:rPr>
              <w:t>, ejecutar un ensayo cronometrado y comprobar el acceso de un usuario sin privilegios administrativos.</w:t>
            </w:r>
          </w:p>
        </w:tc>
      </w:tr>
    </w:tbl>
    <w:p w14:paraId="7DEAB264" w14:textId="77777777" w:rsidR="00106877" w:rsidRDefault="0010687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647B1EA5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C3EE8F1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1A80268F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253898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3E57597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DCED16" w14:textId="57E7D32D" w:rsidR="00467770" w:rsidRPr="00106877" w:rsidRDefault="00000000">
            <w:pPr>
              <w:spacing w:before="80"/>
              <w:rPr>
                <w:rFonts w:ascii="Calibri" w:hAnsi="Calibri" w:cs="Calibri"/>
              </w:rPr>
            </w:pPr>
            <w:r w:rsidRPr="00106877">
              <w:rPr>
                <w:rFonts w:ascii="Calibri" w:hAnsi="Calibri" w:cs="Calibri"/>
                <w:sz w:val="20"/>
              </w:rPr>
              <w:t xml:space="preserve">El trabajo grupal ha sido colaborativo y complementario. Como aspectos positivos destacamos la comunicación para ajustar el alcance, la integración entre frontend y backend, la disposición para probar el trabajo del otro integrante y la capacidad de convertir la retroalimentación en cambios verificables. Podemos mejorar el registro de decisiones, la frecuencia de los </w:t>
            </w:r>
            <w:proofErr w:type="spellStart"/>
            <w:r w:rsidRPr="00106877">
              <w:rPr>
                <w:rFonts w:ascii="Calibri" w:hAnsi="Calibri" w:cs="Calibri"/>
                <w:sz w:val="20"/>
              </w:rPr>
              <w:t>commits</w:t>
            </w:r>
            <w:proofErr w:type="spellEnd"/>
            <w:r w:rsidRPr="00106877">
              <w:rPr>
                <w:rFonts w:ascii="Calibri" w:hAnsi="Calibri" w:cs="Calibri"/>
                <w:sz w:val="20"/>
              </w:rPr>
              <w:t>, la asociación entre pruebas y requisitos y la definición de terminado, que debe incluir funcionamiento, prueba, evidencia y revisión conjunta.</w:t>
            </w:r>
          </w:p>
        </w:tc>
      </w:tr>
    </w:tbl>
    <w:p w14:paraId="4153ECF4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B61E8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0402D" w14:textId="77777777" w:rsidR="006624B9" w:rsidRDefault="006624B9" w:rsidP="00DF38AE">
      <w:pPr>
        <w:spacing w:after="0" w:line="240" w:lineRule="auto"/>
      </w:pPr>
      <w:r>
        <w:separator/>
      </w:r>
    </w:p>
  </w:endnote>
  <w:endnote w:type="continuationSeparator" w:id="0">
    <w:p w14:paraId="76D99F43" w14:textId="77777777" w:rsidR="006624B9" w:rsidRDefault="006624B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0DF64758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A26082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CA26082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19B1F" w14:textId="77777777" w:rsidR="006624B9" w:rsidRDefault="006624B9" w:rsidP="00DF38AE">
      <w:pPr>
        <w:spacing w:after="0" w:line="240" w:lineRule="auto"/>
      </w:pPr>
      <w:r>
        <w:separator/>
      </w:r>
    </w:p>
  </w:footnote>
  <w:footnote w:type="continuationSeparator" w:id="0">
    <w:p w14:paraId="46AB2B95" w14:textId="77777777" w:rsidR="006624B9" w:rsidRDefault="006624B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2B0512F4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BA4F9A2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309A87F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0491F88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EF79467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CB4E4E4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10858042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0D2B3B26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E88E2BE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746F66DE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0CA364D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1892184B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37BAB383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C962B61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407684">
    <w:abstractNumId w:val="3"/>
  </w:num>
  <w:num w:numId="2" w16cid:durableId="21515089">
    <w:abstractNumId w:val="8"/>
  </w:num>
  <w:num w:numId="3" w16cid:durableId="204293552">
    <w:abstractNumId w:val="12"/>
  </w:num>
  <w:num w:numId="4" w16cid:durableId="1769959828">
    <w:abstractNumId w:val="28"/>
  </w:num>
  <w:num w:numId="5" w16cid:durableId="389618431">
    <w:abstractNumId w:val="30"/>
  </w:num>
  <w:num w:numId="6" w16cid:durableId="1015229765">
    <w:abstractNumId w:val="4"/>
  </w:num>
  <w:num w:numId="7" w16cid:durableId="540410413">
    <w:abstractNumId w:val="11"/>
  </w:num>
  <w:num w:numId="8" w16cid:durableId="1104807275">
    <w:abstractNumId w:val="19"/>
  </w:num>
  <w:num w:numId="9" w16cid:durableId="1266503492">
    <w:abstractNumId w:val="15"/>
  </w:num>
  <w:num w:numId="10" w16cid:durableId="376050625">
    <w:abstractNumId w:val="9"/>
  </w:num>
  <w:num w:numId="11" w16cid:durableId="213582109">
    <w:abstractNumId w:val="24"/>
  </w:num>
  <w:num w:numId="12" w16cid:durableId="2000771027">
    <w:abstractNumId w:val="35"/>
  </w:num>
  <w:num w:numId="13" w16cid:durableId="716702761">
    <w:abstractNumId w:val="29"/>
  </w:num>
  <w:num w:numId="14" w16cid:durableId="1437286507">
    <w:abstractNumId w:val="1"/>
  </w:num>
  <w:num w:numId="15" w16cid:durableId="811294317">
    <w:abstractNumId w:val="36"/>
  </w:num>
  <w:num w:numId="16" w16cid:durableId="477458244">
    <w:abstractNumId w:val="21"/>
  </w:num>
  <w:num w:numId="17" w16cid:durableId="1584947137">
    <w:abstractNumId w:val="17"/>
  </w:num>
  <w:num w:numId="18" w16cid:durableId="519855970">
    <w:abstractNumId w:val="31"/>
  </w:num>
  <w:num w:numId="19" w16cid:durableId="323319489">
    <w:abstractNumId w:val="10"/>
  </w:num>
  <w:num w:numId="20" w16cid:durableId="1581862810">
    <w:abstractNumId w:val="39"/>
  </w:num>
  <w:num w:numId="21" w16cid:durableId="2044554049">
    <w:abstractNumId w:val="34"/>
  </w:num>
  <w:num w:numId="22" w16cid:durableId="533036671">
    <w:abstractNumId w:val="13"/>
  </w:num>
  <w:num w:numId="23" w16cid:durableId="261645133">
    <w:abstractNumId w:val="14"/>
  </w:num>
  <w:num w:numId="24" w16cid:durableId="961688838">
    <w:abstractNumId w:val="5"/>
  </w:num>
  <w:num w:numId="25" w16cid:durableId="42407825">
    <w:abstractNumId w:val="16"/>
  </w:num>
  <w:num w:numId="26" w16cid:durableId="873232446">
    <w:abstractNumId w:val="20"/>
  </w:num>
  <w:num w:numId="27" w16cid:durableId="1893729359">
    <w:abstractNumId w:val="23"/>
  </w:num>
  <w:num w:numId="28" w16cid:durableId="2006319349">
    <w:abstractNumId w:val="0"/>
  </w:num>
  <w:num w:numId="29" w16cid:durableId="1289580949">
    <w:abstractNumId w:val="18"/>
  </w:num>
  <w:num w:numId="30" w16cid:durableId="1891335660">
    <w:abstractNumId w:val="22"/>
  </w:num>
  <w:num w:numId="31" w16cid:durableId="1420562861">
    <w:abstractNumId w:val="2"/>
  </w:num>
  <w:num w:numId="32" w16cid:durableId="1637249718">
    <w:abstractNumId w:val="7"/>
  </w:num>
  <w:num w:numId="33" w16cid:durableId="698627866">
    <w:abstractNumId w:val="32"/>
  </w:num>
  <w:num w:numId="34" w16cid:durableId="991368321">
    <w:abstractNumId w:val="38"/>
  </w:num>
  <w:num w:numId="35" w16cid:durableId="1296835891">
    <w:abstractNumId w:val="6"/>
  </w:num>
  <w:num w:numId="36" w16cid:durableId="26681200">
    <w:abstractNumId w:val="25"/>
  </w:num>
  <w:num w:numId="37" w16cid:durableId="337510405">
    <w:abstractNumId w:val="37"/>
  </w:num>
  <w:num w:numId="38" w16cid:durableId="1926765885">
    <w:abstractNumId w:val="27"/>
  </w:num>
  <w:num w:numId="39" w16cid:durableId="1358770779">
    <w:abstractNumId w:val="26"/>
  </w:num>
  <w:num w:numId="40" w16cid:durableId="206387008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6877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67770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4B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960A9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380A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B31EC8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c7f58a-8404-4877-b736-bea143f77ded}" enabled="1" method="Standard" siteId="{84d9a216-e285-4aac-b163-0dfd0c07454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842</Words>
  <Characters>4636</Characters>
  <Application>Microsoft Office Word</Application>
  <DocSecurity>0</DocSecurity>
  <Lines>38</Lines>
  <Paragraphs>10</Paragraphs>
  <ScaleCrop>false</ScaleCrop>
  <Company>Wal-Mart Stores, Inc.</Company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CORTES AVILES, HELEN MARIA</cp:lastModifiedBy>
  <cp:revision>44</cp:revision>
  <cp:lastPrinted>2019-12-16T20:10:00Z</cp:lastPrinted>
  <dcterms:created xsi:type="dcterms:W3CDTF">2021-12-31T12:50:00Z</dcterms:created>
  <dcterms:modified xsi:type="dcterms:W3CDTF">2026-10-15T16:21:00Z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