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610D2" w14:textId="77777777"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37730064" w14:textId="77777777" w:rsidTr="25FC3610">
        <w:trPr>
          <w:trHeight w:val="2192"/>
        </w:trPr>
        <w:tc>
          <w:tcPr>
            <w:tcW w:w="0" w:type="auto"/>
          </w:tcPr>
          <w:p w14:paraId="1F1FF9F8"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28C562FB" w14:textId="77777777"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51E2C190" w14:textId="77777777"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447DB3B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032884DD" w14:textId="77777777"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2C93156"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87A7469" w14:textId="77777777" w:rsidTr="3D28A338">
        <w:trPr>
          <w:trHeight w:val="440"/>
        </w:trPr>
        <w:tc>
          <w:tcPr>
            <w:tcW w:w="10076" w:type="dxa"/>
            <w:vAlign w:val="center"/>
          </w:tcPr>
          <w:p w14:paraId="7B7667D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40728971" w14:textId="77777777" w:rsidTr="3D28A338">
        <w:trPr>
          <w:trHeight w:val="1639"/>
        </w:trPr>
        <w:tc>
          <w:tcPr>
            <w:tcW w:w="10076" w:type="dxa"/>
            <w:shd w:val="clear" w:color="auto" w:fill="DEEAF6" w:themeFill="accent1" w:themeFillTint="33"/>
            <w:vAlign w:val="center"/>
          </w:tcPr>
          <w:p w14:paraId="4C1A01A5" w14:textId="1D31E4EA" w:rsidR="004F2A8B" w:rsidRPr="00106877"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3E57D3FE" w14:textId="77777777" w:rsidR="004F2A8B" w:rsidRPr="00874D16" w:rsidRDefault="004F2A8B" w:rsidP="3D28A338">
            <w:pPr>
              <w:jc w:val="both"/>
              <w:rPr>
                <w:rFonts w:ascii="Calibri" w:hAnsi="Calibri"/>
                <w:b/>
                <w:bCs/>
                <w:color w:val="1F4E79" w:themeColor="accent1" w:themeShade="80"/>
              </w:rPr>
            </w:pPr>
          </w:p>
          <w:p w14:paraId="4A6C868C" w14:textId="1E27A6B9" w:rsidR="00467770" w:rsidRPr="00106877" w:rsidRDefault="00000000">
            <w:pPr>
              <w:spacing w:before="80"/>
              <w:rPr>
                <w:rFonts w:cstheme="minorHAnsi"/>
                <w:sz w:val="20"/>
                <w:szCs w:val="20"/>
              </w:rPr>
            </w:pPr>
            <w:r w:rsidRPr="00106877">
              <w:rPr>
                <w:rFonts w:cstheme="minorHAnsi"/>
                <w:sz w:val="20"/>
                <w:szCs w:val="20"/>
              </w:rPr>
              <w:t>Al llegar a la Semana 10 hemos completado el caso de uso central y los hitos comprometidos para la segunda exposición. El sistema ya dispone del sitio público, catálogo, administración de clientes, autenticación, mantenimiento de inventario, cotizador en tres etapas y gestión de solicitudes. También funciona la consulta de disponibilidad por fecha y la confirmación de reservas, que vuelve a comprobar el stock, bloquea la operación cuando detecta faltantes y actualiza Reservas, Inventario, Calendario, Resumen y Reportes. Desde mi trabajo en backend y datos, ayudaron especialmente la división clara de responsabilidades, el desarrollo por incrementos, Django junto con PostgreSQL/Supabase y las pruebas realizadas durante cada avance. Aún debemos completar los procesos posteriores de preparación, despacho, devolución y merma, además de ajustar algunas métricas comerciales y la configuración para producción.</w:t>
            </w:r>
          </w:p>
        </w:tc>
      </w:tr>
    </w:tbl>
    <w:p w14:paraId="050F9310"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54E2D358" w14:textId="77777777" w:rsidTr="3D28A338">
        <w:trPr>
          <w:trHeight w:val="440"/>
        </w:trPr>
        <w:tc>
          <w:tcPr>
            <w:tcW w:w="10076" w:type="dxa"/>
            <w:vAlign w:val="center"/>
          </w:tcPr>
          <w:p w14:paraId="41898C94"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550019CE" w14:textId="77777777" w:rsidTr="3D28A338">
        <w:trPr>
          <w:trHeight w:val="1639"/>
        </w:trPr>
        <w:tc>
          <w:tcPr>
            <w:tcW w:w="10076" w:type="dxa"/>
            <w:shd w:val="clear" w:color="auto" w:fill="DEEAF6" w:themeFill="accent1" w:themeFillTint="33"/>
            <w:vAlign w:val="center"/>
          </w:tcPr>
          <w:p w14:paraId="1CD2BF0C"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5BF7EE4C" w14:textId="77777777" w:rsidR="004F2A8B" w:rsidRDefault="004F2A8B" w:rsidP="3D28A338">
            <w:pPr>
              <w:jc w:val="both"/>
              <w:rPr>
                <w:rFonts w:ascii="Calibri" w:hAnsi="Calibri"/>
                <w:b/>
                <w:bCs/>
                <w:color w:val="1F4E79" w:themeColor="accent1" w:themeShade="80"/>
              </w:rPr>
            </w:pPr>
          </w:p>
          <w:p w14:paraId="3DD950DE" w14:textId="37CB3873" w:rsidR="00467770" w:rsidRPr="00106877" w:rsidRDefault="00000000">
            <w:pPr>
              <w:spacing w:before="80"/>
              <w:rPr>
                <w:rFonts w:cstheme="minorHAnsi"/>
              </w:rPr>
            </w:pPr>
            <w:r w:rsidRPr="00106877">
              <w:rPr>
                <w:rFonts w:cstheme="minorHAnsi"/>
                <w:sz w:val="20"/>
              </w:rPr>
              <w:t>Para resolver las dificultades técnicas decidimos terminar primero un flujo integral que pudiera demostrarse, en vez de avanzar en funciones desconectadas. En mi área apliqué y revisé la migración 0002, reforcé la normalización y validación del RUT, centralicé la regla de disponibilidad y participé en la incorporación de transacciones y bloqueo de registros para prevenir la sobreventa. Asimismo, habilitamos la carga del stock real desde administración y contamos con 28 pruebas automáticas, complementadas con recorridos manuales en el navegador. El siguiente paso será crear una base PostgreSQL local y trasladar una copia controlada de los datos de Supabase, de modo que podamos probar con mayor autonomía y sin alterar la base compartida. Para el trabajo restante seguiremos usando avances pequeños, criterios de aceptación, pruebas de integración y evidencias asociadas a los cambios registrados en Git.</w:t>
            </w:r>
          </w:p>
        </w:tc>
      </w:tr>
    </w:tbl>
    <w:p w14:paraId="7FEAE6C6" w14:textId="77777777" w:rsidR="004F2A8B" w:rsidRDefault="004F2A8B" w:rsidP="3D28A338">
      <w:pPr>
        <w:spacing w:after="0" w:line="360" w:lineRule="auto"/>
        <w:jc w:val="both"/>
        <w:rPr>
          <w:color w:val="595959" w:themeColor="text1" w:themeTint="A6"/>
          <w:sz w:val="24"/>
          <w:szCs w:val="24"/>
          <w:lang w:eastAsia="ja-JP"/>
        </w:rPr>
      </w:pPr>
    </w:p>
    <w:p w14:paraId="41D34975" w14:textId="77777777" w:rsidR="004F2A8B" w:rsidRDefault="004F2A8B" w:rsidP="3D28A338">
      <w:pPr>
        <w:spacing w:after="0" w:line="360" w:lineRule="auto"/>
        <w:jc w:val="both"/>
        <w:rPr>
          <w:b/>
          <w:bCs/>
          <w:sz w:val="24"/>
          <w:szCs w:val="24"/>
        </w:rPr>
      </w:pPr>
    </w:p>
    <w:p w14:paraId="61B5D31C" w14:textId="77777777" w:rsidR="008B2AC7" w:rsidRDefault="008B2AC7" w:rsidP="3D28A338">
      <w:pPr>
        <w:spacing w:after="0" w:line="360" w:lineRule="auto"/>
        <w:jc w:val="both"/>
        <w:rPr>
          <w:b/>
          <w:bCs/>
          <w:sz w:val="24"/>
          <w:szCs w:val="24"/>
        </w:rPr>
      </w:pPr>
    </w:p>
    <w:p w14:paraId="1770CF90"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2E82E993" w14:textId="77777777" w:rsidTr="3D28A338">
        <w:trPr>
          <w:trHeight w:val="440"/>
        </w:trPr>
        <w:tc>
          <w:tcPr>
            <w:tcW w:w="10076" w:type="dxa"/>
            <w:vAlign w:val="center"/>
          </w:tcPr>
          <w:p w14:paraId="5DD77A7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06EFD647" w14:textId="77777777" w:rsidTr="3D28A338">
        <w:trPr>
          <w:trHeight w:val="1624"/>
        </w:trPr>
        <w:tc>
          <w:tcPr>
            <w:tcW w:w="10076" w:type="dxa"/>
            <w:shd w:val="clear" w:color="auto" w:fill="DEEAF6" w:themeFill="accent1" w:themeFillTint="33"/>
            <w:vAlign w:val="center"/>
          </w:tcPr>
          <w:p w14:paraId="6F476FE9"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03637624" w14:textId="77777777" w:rsidR="004F2A8B" w:rsidRDefault="004F2A8B" w:rsidP="3D28A338">
            <w:pPr>
              <w:jc w:val="both"/>
              <w:rPr>
                <w:rFonts w:ascii="Calibri" w:hAnsi="Calibri"/>
                <w:b/>
                <w:bCs/>
                <w:color w:val="1F4E79" w:themeColor="accent1" w:themeShade="80"/>
              </w:rPr>
            </w:pPr>
          </w:p>
          <w:p w14:paraId="1E42E249" w14:textId="01D02A60" w:rsidR="00467770" w:rsidRPr="00106877" w:rsidRDefault="00000000">
            <w:pPr>
              <w:spacing w:before="80"/>
              <w:rPr>
                <w:rFonts w:cstheme="minorHAnsi"/>
              </w:rPr>
            </w:pPr>
            <w:r w:rsidRPr="00106877">
              <w:rPr>
                <w:rFonts w:cstheme="minorHAnsi"/>
                <w:sz w:val="20"/>
              </w:rPr>
              <w:t xml:space="preserve">Considero que mi trabajo ha sido satisfactorio para los objetivos definidos en la Semana 10, porque el backend ya recibe una solicitud pública, valida y guarda sus datos, permite procesarla, asociar artículos, comprobar la disponibilidad y confirmar la reserva cuando existe stock. Destaco la validación tanto en el cliente como en el servidor, la prevención de clientes duplicados mediante el RUT normalizado, el control de acceso a las vistas administrativas y la lógica que evita confirmar reservas con faltantes. Para mejorar mi aporte debo revisar las métricas de Monto cotizado y </w:t>
            </w:r>
            <w:proofErr w:type="gramStart"/>
            <w:r w:rsidRPr="00106877">
              <w:rPr>
                <w:rFonts w:cstheme="minorHAnsi"/>
                <w:sz w:val="20"/>
              </w:rPr>
              <w:t>Ticket</w:t>
            </w:r>
            <w:proofErr w:type="gramEnd"/>
            <w:r w:rsidRPr="00106877">
              <w:rPr>
                <w:rFonts w:cstheme="minorHAnsi"/>
                <w:sz w:val="20"/>
              </w:rPr>
              <w:t xml:space="preserve"> promedio, comprobar el comportamiento con un usuario sin rol administrador, trasladar secretos y DEBUG fuera de la configuración de producción, apoyar el registro de evidencias y completar la lógica correspondiente a las etapas posteriores de la reserva.</w:t>
            </w:r>
          </w:p>
        </w:tc>
      </w:tr>
    </w:tbl>
    <w:p w14:paraId="14B501AB"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A709870" w14:textId="77777777" w:rsidTr="3D28A338">
        <w:trPr>
          <w:trHeight w:val="440"/>
        </w:trPr>
        <w:tc>
          <w:tcPr>
            <w:tcW w:w="10076" w:type="dxa"/>
            <w:vAlign w:val="center"/>
          </w:tcPr>
          <w:p w14:paraId="7F0DAB46"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4C155E8D" w14:textId="77777777" w:rsidTr="3D28A338">
        <w:trPr>
          <w:trHeight w:val="1639"/>
        </w:trPr>
        <w:tc>
          <w:tcPr>
            <w:tcW w:w="10076" w:type="dxa"/>
            <w:shd w:val="clear" w:color="auto" w:fill="DEEAF6" w:themeFill="accent1" w:themeFillTint="33"/>
            <w:vAlign w:val="center"/>
          </w:tcPr>
          <w:p w14:paraId="5C94CBD7"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73A5BE59" w14:textId="77777777" w:rsidR="00106877" w:rsidRPr="003B466F" w:rsidRDefault="00106877" w:rsidP="3D28A338">
            <w:pPr>
              <w:jc w:val="both"/>
              <w:rPr>
                <w:rFonts w:eastAsiaTheme="majorEastAsia"/>
                <w:color w:val="767171" w:themeColor="background2" w:themeShade="80"/>
                <w:sz w:val="24"/>
                <w:szCs w:val="24"/>
              </w:rPr>
            </w:pPr>
          </w:p>
          <w:p w14:paraId="0829F129" w14:textId="09B7C9EA" w:rsidR="00467770" w:rsidRPr="00106877" w:rsidRDefault="006960A9">
            <w:pPr>
              <w:spacing w:before="80"/>
              <w:rPr>
                <w:rFonts w:ascii="Calibri" w:hAnsi="Calibri" w:cs="Calibri"/>
              </w:rPr>
            </w:pPr>
            <w:r w:rsidRPr="006960A9">
              <w:rPr>
                <w:rFonts w:ascii="Calibri" w:hAnsi="Calibri" w:cs="Calibri"/>
                <w:sz w:val="20"/>
              </w:rPr>
              <w:t>Después de revisar el avance, quiero confirmar con el docente si las evidencias reunidas para la Semana 10 cubren completamente lo esperado. En particular, me gustaría saber si, además de entregar los documentos, mantener Git actualizado y demostrar el caso de uso funcionando, debemos adjuntar capturas, resultados de las pruebas automáticas o vínculos específicos a los commits que respaldan cada avance.</w:t>
            </w:r>
          </w:p>
        </w:tc>
      </w:tr>
    </w:tbl>
    <w:p w14:paraId="2851A36A"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1CE7B6B" w14:textId="77777777" w:rsidTr="3D28A338">
        <w:trPr>
          <w:trHeight w:val="440"/>
        </w:trPr>
        <w:tc>
          <w:tcPr>
            <w:tcW w:w="10076" w:type="dxa"/>
            <w:vAlign w:val="center"/>
          </w:tcPr>
          <w:p w14:paraId="5EF6EC27"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1F576E76" w14:textId="77777777" w:rsidTr="3D28A338">
        <w:trPr>
          <w:trHeight w:val="1639"/>
        </w:trPr>
        <w:tc>
          <w:tcPr>
            <w:tcW w:w="10076" w:type="dxa"/>
            <w:shd w:val="clear" w:color="auto" w:fill="DEEAF6" w:themeFill="accent1" w:themeFillTint="33"/>
            <w:vAlign w:val="center"/>
          </w:tcPr>
          <w:p w14:paraId="7BD58361" w14:textId="7D2036EB"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491E0D42" w14:textId="77777777" w:rsidR="004F2A8B" w:rsidRPr="00874D16" w:rsidRDefault="004F2A8B" w:rsidP="3D28A338">
            <w:pPr>
              <w:jc w:val="both"/>
              <w:rPr>
                <w:rFonts w:ascii="Calibri" w:hAnsi="Calibri"/>
                <w:b/>
                <w:bCs/>
                <w:color w:val="1F4E79" w:themeColor="accent1" w:themeShade="80"/>
              </w:rPr>
            </w:pPr>
          </w:p>
          <w:p w14:paraId="20EF81E8" w14:textId="48F63FF2" w:rsidR="00467770" w:rsidRPr="00106877" w:rsidRDefault="00000000">
            <w:pPr>
              <w:spacing w:before="80"/>
              <w:rPr>
                <w:rFonts w:cstheme="minorHAnsi"/>
              </w:rPr>
            </w:pPr>
            <w:r w:rsidRPr="00106877">
              <w:rPr>
                <w:rFonts w:cstheme="minorHAnsi"/>
                <w:sz w:val="20"/>
              </w:rPr>
              <w:t>La distribución general puede mantenerse porque aprovecha las fortalezas de cada integrante. Continuaré encargado del backend, la base de datos, las reglas de negocio, la seguridad, la preparación de PostgreSQL local y la copia controlada de información desde Supabase. Helen seguirá concentrándose en la interfaz, la experiencia de usuario, la documentación, las evidencias y la organización de la exposición. Ambos participaremos en la integración, las pruebas y la demostración. Como tareas inmediatas debemos validar la nueva base local, corregir las métricas comerciales, reunir capturas y referencias a commits, ensayar la presentación con tiempo controlado y verificar el rechazo de acceso para cuentas sin permisos administrativos.</w:t>
            </w:r>
          </w:p>
        </w:tc>
      </w:tr>
    </w:tbl>
    <w:p w14:paraId="7DEAB264" w14:textId="77777777" w:rsidR="00106877" w:rsidRDefault="0010687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647B1EA5" w14:textId="77777777" w:rsidTr="3D28A338">
        <w:trPr>
          <w:trHeight w:val="440"/>
        </w:trPr>
        <w:tc>
          <w:tcPr>
            <w:tcW w:w="10076" w:type="dxa"/>
            <w:vAlign w:val="center"/>
          </w:tcPr>
          <w:p w14:paraId="0C3EE8F1" w14:textId="77777777"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1A80268F" w14:textId="77777777" w:rsidTr="3D28A338">
        <w:trPr>
          <w:trHeight w:val="1639"/>
        </w:trPr>
        <w:tc>
          <w:tcPr>
            <w:tcW w:w="10076" w:type="dxa"/>
            <w:shd w:val="clear" w:color="auto" w:fill="DEEAF6" w:themeFill="accent1" w:themeFillTint="33"/>
            <w:vAlign w:val="center"/>
          </w:tcPr>
          <w:p w14:paraId="62538983"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23E57597" w14:textId="77777777" w:rsidR="004F2A8B" w:rsidRPr="00874D16" w:rsidRDefault="004F2A8B" w:rsidP="3D28A338">
            <w:pPr>
              <w:jc w:val="both"/>
              <w:rPr>
                <w:rFonts w:ascii="Calibri" w:hAnsi="Calibri"/>
                <w:b/>
                <w:bCs/>
                <w:color w:val="1F4E79" w:themeColor="accent1" w:themeShade="80"/>
              </w:rPr>
            </w:pPr>
          </w:p>
          <w:p w14:paraId="34DCED16" w14:textId="57E7D32D" w:rsidR="00467770" w:rsidRPr="00106877" w:rsidRDefault="00000000">
            <w:pPr>
              <w:spacing w:before="80"/>
              <w:rPr>
                <w:rFonts w:ascii="Calibri" w:hAnsi="Calibri" w:cs="Calibri"/>
              </w:rPr>
            </w:pPr>
            <w:r w:rsidRPr="00106877">
              <w:rPr>
                <w:rFonts w:ascii="Calibri" w:hAnsi="Calibri" w:cs="Calibri"/>
                <w:sz w:val="20"/>
              </w:rPr>
              <w:t>Evalúo positivamente el trabajo del equipo, porque hemos mantenido una colaboración complementaria entre frontend y backend. Destaco la comunicación para ajustar el alcance, la revisión cruzada de funcionalidades y la capacidad de transformar la retroalimentación recibida en cambios que pueden comprobarse. Como grupo todavía podemos mejorar la documentación de decisiones, la regularidad de los commits, la relación entre requisitos y pruebas y el criterio para declarar una tarea terminada. En adelante, ese criterio debería exigir funcionamiento, prueba, evidencia disponible y revisión por ambos integrantes.</w:t>
            </w:r>
          </w:p>
        </w:tc>
      </w:tr>
    </w:tbl>
    <w:p w14:paraId="4153ECF4" w14:textId="77777777" w:rsidR="004F2A8B" w:rsidRDefault="004F2A8B" w:rsidP="3D28A338">
      <w:pPr>
        <w:spacing w:after="0" w:line="360" w:lineRule="auto"/>
        <w:jc w:val="both"/>
        <w:rPr>
          <w:color w:val="595959" w:themeColor="text1" w:themeTint="A6"/>
          <w:sz w:val="24"/>
          <w:szCs w:val="24"/>
          <w:lang w:eastAsia="ja-JP"/>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61848" w14:textId="77777777" w:rsidR="00067AB1" w:rsidRDefault="00067AB1" w:rsidP="00DF38AE">
      <w:pPr>
        <w:spacing w:after="0" w:line="240" w:lineRule="auto"/>
      </w:pPr>
      <w:r>
        <w:separator/>
      </w:r>
    </w:p>
  </w:endnote>
  <w:endnote w:type="continuationSeparator" w:id="0">
    <w:p w14:paraId="1CB7E369" w14:textId="77777777" w:rsidR="00067AB1" w:rsidRDefault="00067AB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0DF64758" w14:textId="77777777"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26082"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CA26082" w14:textId="77777777"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4847" w14:textId="77777777" w:rsidR="00067AB1" w:rsidRDefault="00067AB1" w:rsidP="00DF38AE">
      <w:pPr>
        <w:spacing w:after="0" w:line="240" w:lineRule="auto"/>
      </w:pPr>
      <w:r>
        <w:separator/>
      </w:r>
    </w:p>
  </w:footnote>
  <w:footnote w:type="continuationSeparator" w:id="0">
    <w:p w14:paraId="5CEE0DA9" w14:textId="77777777" w:rsidR="00067AB1" w:rsidRDefault="00067AB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2B0512F4" w14:textId="77777777" w:rsidTr="00C5460F">
      <w:trPr>
        <w:trHeight w:val="697"/>
      </w:trPr>
      <w:tc>
        <w:tcPr>
          <w:tcW w:w="5707" w:type="dxa"/>
          <w:tcBorders>
            <w:top w:val="nil"/>
            <w:left w:val="nil"/>
            <w:bottom w:val="nil"/>
            <w:right w:val="nil"/>
          </w:tcBorders>
        </w:tcPr>
        <w:p w14:paraId="5BA4F9A2"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309A87F" w14:textId="77777777"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0491F88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6EF79467"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CB4E4E4" w14:textId="77777777"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10858042" w14:textId="77777777" w:rsidTr="009C76B3">
      <w:trPr>
        <w:trHeight w:val="1091"/>
      </w:trPr>
      <w:tc>
        <w:tcPr>
          <w:tcW w:w="675" w:type="dxa"/>
          <w:tcBorders>
            <w:top w:val="nil"/>
            <w:left w:val="nil"/>
            <w:bottom w:val="nil"/>
            <w:right w:val="nil"/>
          </w:tcBorders>
          <w:hideMark/>
        </w:tcPr>
        <w:p w14:paraId="0D2B3B26" w14:textId="7777777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4E88E2BE"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746F66DE"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70CA364D" w14:textId="77777777"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1892184B"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37BAB383" w14:textId="77777777"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6C962B61" w14:textId="77777777"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66407684">
    <w:abstractNumId w:val="3"/>
  </w:num>
  <w:num w:numId="2" w16cid:durableId="21515089">
    <w:abstractNumId w:val="8"/>
  </w:num>
  <w:num w:numId="3" w16cid:durableId="204293552">
    <w:abstractNumId w:val="12"/>
  </w:num>
  <w:num w:numId="4" w16cid:durableId="1769959828">
    <w:abstractNumId w:val="28"/>
  </w:num>
  <w:num w:numId="5" w16cid:durableId="389618431">
    <w:abstractNumId w:val="30"/>
  </w:num>
  <w:num w:numId="6" w16cid:durableId="1015229765">
    <w:abstractNumId w:val="4"/>
  </w:num>
  <w:num w:numId="7" w16cid:durableId="540410413">
    <w:abstractNumId w:val="11"/>
  </w:num>
  <w:num w:numId="8" w16cid:durableId="1104807275">
    <w:abstractNumId w:val="19"/>
  </w:num>
  <w:num w:numId="9" w16cid:durableId="1266503492">
    <w:abstractNumId w:val="15"/>
  </w:num>
  <w:num w:numId="10" w16cid:durableId="376050625">
    <w:abstractNumId w:val="9"/>
  </w:num>
  <w:num w:numId="11" w16cid:durableId="213582109">
    <w:abstractNumId w:val="24"/>
  </w:num>
  <w:num w:numId="12" w16cid:durableId="2000771027">
    <w:abstractNumId w:val="35"/>
  </w:num>
  <w:num w:numId="13" w16cid:durableId="716702761">
    <w:abstractNumId w:val="29"/>
  </w:num>
  <w:num w:numId="14" w16cid:durableId="1437286507">
    <w:abstractNumId w:val="1"/>
  </w:num>
  <w:num w:numId="15" w16cid:durableId="811294317">
    <w:abstractNumId w:val="36"/>
  </w:num>
  <w:num w:numId="16" w16cid:durableId="477458244">
    <w:abstractNumId w:val="21"/>
  </w:num>
  <w:num w:numId="17" w16cid:durableId="1584947137">
    <w:abstractNumId w:val="17"/>
  </w:num>
  <w:num w:numId="18" w16cid:durableId="519855970">
    <w:abstractNumId w:val="31"/>
  </w:num>
  <w:num w:numId="19" w16cid:durableId="323319489">
    <w:abstractNumId w:val="10"/>
  </w:num>
  <w:num w:numId="20" w16cid:durableId="1581862810">
    <w:abstractNumId w:val="39"/>
  </w:num>
  <w:num w:numId="21" w16cid:durableId="2044554049">
    <w:abstractNumId w:val="34"/>
  </w:num>
  <w:num w:numId="22" w16cid:durableId="533036671">
    <w:abstractNumId w:val="13"/>
  </w:num>
  <w:num w:numId="23" w16cid:durableId="261645133">
    <w:abstractNumId w:val="14"/>
  </w:num>
  <w:num w:numId="24" w16cid:durableId="961688838">
    <w:abstractNumId w:val="5"/>
  </w:num>
  <w:num w:numId="25" w16cid:durableId="42407825">
    <w:abstractNumId w:val="16"/>
  </w:num>
  <w:num w:numId="26" w16cid:durableId="873232446">
    <w:abstractNumId w:val="20"/>
  </w:num>
  <w:num w:numId="27" w16cid:durableId="1893729359">
    <w:abstractNumId w:val="23"/>
  </w:num>
  <w:num w:numId="28" w16cid:durableId="2006319349">
    <w:abstractNumId w:val="0"/>
  </w:num>
  <w:num w:numId="29" w16cid:durableId="1289580949">
    <w:abstractNumId w:val="18"/>
  </w:num>
  <w:num w:numId="30" w16cid:durableId="1891335660">
    <w:abstractNumId w:val="22"/>
  </w:num>
  <w:num w:numId="31" w16cid:durableId="1420562861">
    <w:abstractNumId w:val="2"/>
  </w:num>
  <w:num w:numId="32" w16cid:durableId="1637249718">
    <w:abstractNumId w:val="7"/>
  </w:num>
  <w:num w:numId="33" w16cid:durableId="698627866">
    <w:abstractNumId w:val="32"/>
  </w:num>
  <w:num w:numId="34" w16cid:durableId="991368321">
    <w:abstractNumId w:val="38"/>
  </w:num>
  <w:num w:numId="35" w16cid:durableId="1296835891">
    <w:abstractNumId w:val="6"/>
  </w:num>
  <w:num w:numId="36" w16cid:durableId="26681200">
    <w:abstractNumId w:val="25"/>
  </w:num>
  <w:num w:numId="37" w16cid:durableId="337510405">
    <w:abstractNumId w:val="37"/>
  </w:num>
  <w:num w:numId="38" w16cid:durableId="1926765885">
    <w:abstractNumId w:val="27"/>
  </w:num>
  <w:num w:numId="39" w16cid:durableId="1358770779">
    <w:abstractNumId w:val="26"/>
  </w:num>
  <w:num w:numId="40" w16cid:durableId="206387008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67AB1"/>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6877"/>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67770"/>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4B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960A9"/>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4AAB"/>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1A3A"/>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380A"/>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31EC8"/>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6ec7f58a-8404-4877-b736-bea143f77ded}" enabled="1" method="Standard" siteId="{84d9a216-e285-4aac-b163-0dfd0c074546}"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915</Words>
  <Characters>5033</Characters>
  <Application>Microsoft Office Word</Application>
  <DocSecurity>0</DocSecurity>
  <Lines>41</Lines>
  <Paragraphs>11</Paragraphs>
  <ScaleCrop>false</ScaleCrop>
  <Company>Wal-Mart Stores, Inc.</Company>
  <LinksUpToDate>false</LinksUpToDate>
  <CharactersWithSpaces>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Benjamín Romero</dc:creator>
  <cp:lastModifiedBy>CORTES AVILES, HELEN MARIA</cp:lastModifiedBy>
  <cp:revision>45</cp:revision>
  <cp:lastPrinted>2019-12-16T20:10:00Z</cp:lastPrinted>
  <dcterms:created xsi:type="dcterms:W3CDTF">2021-12-31T12:50:00Z</dcterms:created>
  <dcterms:modified xsi:type="dcterms:W3CDTF">2026-10-15T19:30:00Z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