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85A8" w14:textId="77777777" w:rsidR="001D6105" w:rsidRPr="00787669" w:rsidRDefault="00000000">
      <w:pPr>
        <w:pStyle w:val="Ttulo"/>
        <w:jc w:val="center"/>
        <w:rPr>
          <w:rFonts w:cstheme="majorHAnsi"/>
        </w:rPr>
      </w:pPr>
      <w:r w:rsidRPr="00787669">
        <w:rPr>
          <w:rFonts w:cstheme="majorHAnsi"/>
        </w:rPr>
        <w:t>Diagramas UML del flujo de cotización y reserva</w:t>
      </w:r>
    </w:p>
    <w:p w14:paraId="0FC867AF" w14:textId="77777777" w:rsidR="001D6105" w:rsidRPr="00787669" w:rsidRDefault="00000000">
      <w:pPr>
        <w:rPr>
          <w:rFonts w:asciiTheme="majorHAnsi" w:hAnsiTheme="majorHAnsi" w:cstheme="majorHAnsi"/>
        </w:rPr>
      </w:pPr>
      <w:r w:rsidRPr="00787669">
        <w:rPr>
          <w:rFonts w:asciiTheme="majorHAnsi" w:hAnsiTheme="majorHAnsi" w:cstheme="majorHAnsi"/>
          <w:b/>
        </w:rPr>
        <w:t xml:space="preserve">Proyecto: </w:t>
      </w:r>
      <w:r w:rsidRPr="00787669">
        <w:rPr>
          <w:rFonts w:asciiTheme="majorHAnsi" w:hAnsiTheme="majorHAnsi" w:cstheme="majorHAnsi"/>
        </w:rPr>
        <w:t>Plataforma integral de gestión de arriendo de vajilla para Entre Platos y Copas</w:t>
      </w:r>
    </w:p>
    <w:p w14:paraId="163E5C8C" w14:textId="0B039C26" w:rsidR="001D6105" w:rsidRPr="00787669" w:rsidRDefault="00000000">
      <w:pPr>
        <w:rPr>
          <w:rFonts w:asciiTheme="majorHAnsi" w:hAnsiTheme="majorHAnsi" w:cstheme="majorHAnsi"/>
        </w:rPr>
      </w:pPr>
      <w:r w:rsidRPr="00787669">
        <w:rPr>
          <w:rFonts w:asciiTheme="majorHAnsi" w:hAnsiTheme="majorHAnsi" w:cstheme="majorHAnsi"/>
          <w:b/>
        </w:rPr>
        <w:t xml:space="preserve">Equipo: </w:t>
      </w:r>
      <w:r w:rsidRPr="00787669">
        <w:rPr>
          <w:rFonts w:asciiTheme="majorHAnsi" w:hAnsiTheme="majorHAnsi" w:cstheme="majorHAnsi"/>
        </w:rPr>
        <w:t xml:space="preserve">Helen Cortez y Benjamín Romero | Semana 11 </w:t>
      </w:r>
    </w:p>
    <w:p w14:paraId="717134A2" w14:textId="77777777" w:rsidR="001D6105" w:rsidRPr="00787669" w:rsidRDefault="00000000">
      <w:pPr>
        <w:pStyle w:val="Ttulo1"/>
        <w:rPr>
          <w:rFonts w:cstheme="majorHAnsi"/>
        </w:rPr>
      </w:pPr>
      <w:r w:rsidRPr="00787669">
        <w:rPr>
          <w:rFonts w:cstheme="majorHAnsi"/>
        </w:rPr>
        <w:t>Propósito</w:t>
      </w:r>
    </w:p>
    <w:p w14:paraId="1EFD1986" w14:textId="77777777" w:rsidR="001D6105" w:rsidRPr="00787669" w:rsidRDefault="00000000">
      <w:pPr>
        <w:rPr>
          <w:rFonts w:asciiTheme="majorHAnsi" w:hAnsiTheme="majorHAnsi" w:cstheme="majorHAnsi"/>
        </w:rPr>
      </w:pPr>
      <w:r w:rsidRPr="00787669">
        <w:rPr>
          <w:rFonts w:asciiTheme="majorHAnsi" w:hAnsiTheme="majorHAnsi" w:cstheme="majorHAnsi"/>
        </w:rPr>
        <w:t>Representar el flujo principal comprobado desde la solicitud pública hasta la confirmación administrativa de una reserva, incluyendo responsables, datos, validaciones, decisiones, persistencia, permisos, salidas visibles y alternativas de error. Los identificadores A01-A15 se reutilizan en la ficha de avance 05.</w:t>
      </w:r>
    </w:p>
    <w:p w14:paraId="6EC8E818" w14:textId="77777777" w:rsidR="001D6105" w:rsidRPr="00787669" w:rsidRDefault="00000000">
      <w:pPr>
        <w:pStyle w:val="Ttulo1"/>
        <w:rPr>
          <w:rFonts w:cstheme="majorHAnsi"/>
        </w:rPr>
      </w:pPr>
      <w:r w:rsidRPr="00787669">
        <w:rPr>
          <w:rFonts w:cstheme="majorHAnsi"/>
        </w:rPr>
        <w:t>Diagrama de actividades UML</w:t>
      </w:r>
    </w:p>
    <w:p w14:paraId="2C7CC653" w14:textId="77777777" w:rsidR="001D6105" w:rsidRPr="00787669" w:rsidRDefault="00000000">
      <w:pPr>
        <w:jc w:val="center"/>
        <w:rPr>
          <w:rFonts w:asciiTheme="majorHAnsi" w:hAnsiTheme="majorHAnsi" w:cstheme="majorHAnsi"/>
        </w:rPr>
      </w:pPr>
      <w:r w:rsidRPr="00787669">
        <w:rPr>
          <w:rFonts w:asciiTheme="majorHAnsi" w:hAnsiTheme="majorHAnsi" w:cstheme="majorHAnsi"/>
          <w:noProof/>
        </w:rPr>
        <w:drawing>
          <wp:inline distT="0" distB="0" distL="0" distR="0" wp14:anchorId="66478647" wp14:editId="60F7470E">
            <wp:extent cx="6400800" cy="44313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ctividad_Cotizacion_Reserva_Semana_1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3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1D51" w14:textId="77777777" w:rsidR="001D6105" w:rsidRPr="00787669" w:rsidRDefault="00000000">
      <w:pPr>
        <w:jc w:val="center"/>
        <w:rPr>
          <w:rFonts w:asciiTheme="majorHAnsi" w:hAnsiTheme="majorHAnsi" w:cstheme="majorHAnsi"/>
          <w:iCs/>
        </w:rPr>
      </w:pPr>
      <w:r w:rsidRPr="00787669">
        <w:rPr>
          <w:rFonts w:asciiTheme="majorHAnsi" w:hAnsiTheme="majorHAnsi" w:cstheme="majorHAnsi"/>
          <w:iCs/>
          <w:sz w:val="18"/>
        </w:rPr>
        <w:t>Figura 1. Flujo principal con carriles y estados de implementación.</w:t>
      </w:r>
    </w:p>
    <w:p w14:paraId="765E8AFB" w14:textId="77777777" w:rsidR="001D6105" w:rsidRPr="00787669" w:rsidRDefault="00000000">
      <w:pPr>
        <w:pStyle w:val="Ttulo2"/>
        <w:rPr>
          <w:rFonts w:cstheme="majorHAnsi"/>
        </w:rPr>
      </w:pPr>
      <w:r w:rsidRPr="00787669">
        <w:rPr>
          <w:rFonts w:cstheme="majorHAnsi"/>
        </w:rPr>
        <w:t>Leyenda y alcance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7139"/>
      </w:tblGrid>
      <w:tr w:rsidR="001D6105" w:rsidRPr="00787669" w14:paraId="28C19793" w14:textId="77777777" w:rsidTr="00787669">
        <w:tc>
          <w:tcPr>
            <w:tcW w:w="2977" w:type="dxa"/>
            <w:shd w:val="clear" w:color="auto" w:fill="1F4E78"/>
            <w:vAlign w:val="center"/>
          </w:tcPr>
          <w:p w14:paraId="2406C83B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b/>
                <w:color w:val="FFFFFF"/>
                <w:sz w:val="18"/>
              </w:rPr>
              <w:t>Color</w:t>
            </w:r>
          </w:p>
        </w:tc>
        <w:tc>
          <w:tcPr>
            <w:tcW w:w="7139" w:type="dxa"/>
            <w:shd w:val="clear" w:color="auto" w:fill="1F4E78"/>
            <w:vAlign w:val="center"/>
          </w:tcPr>
          <w:p w14:paraId="333C3B74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b/>
                <w:color w:val="FFFFFF"/>
                <w:sz w:val="18"/>
              </w:rPr>
              <w:t>Interpretación</w:t>
            </w:r>
          </w:p>
        </w:tc>
      </w:tr>
      <w:tr w:rsidR="001D6105" w:rsidRPr="00787669" w14:paraId="4A3585FC" w14:textId="77777777" w:rsidTr="00787669">
        <w:tc>
          <w:tcPr>
            <w:tcW w:w="2977" w:type="dxa"/>
            <w:vAlign w:val="center"/>
          </w:tcPr>
          <w:p w14:paraId="25E0B25A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Verde</w:t>
            </w:r>
          </w:p>
        </w:tc>
        <w:tc>
          <w:tcPr>
            <w:tcW w:w="7139" w:type="dxa"/>
            <w:vAlign w:val="center"/>
          </w:tcPr>
          <w:p w14:paraId="3826F944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Actividad implementada y comprobada según la evidencia documental de Semana 10.</w:t>
            </w:r>
          </w:p>
        </w:tc>
      </w:tr>
      <w:tr w:rsidR="001D6105" w:rsidRPr="00787669" w14:paraId="541142C1" w14:textId="77777777" w:rsidTr="00787669">
        <w:tc>
          <w:tcPr>
            <w:tcW w:w="2977" w:type="dxa"/>
            <w:vAlign w:val="center"/>
          </w:tcPr>
          <w:p w14:paraId="0261FE0D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Amarillo</w:t>
            </w:r>
          </w:p>
        </w:tc>
        <w:tc>
          <w:tcPr>
            <w:tcW w:w="7139" w:type="dxa"/>
            <w:vAlign w:val="center"/>
          </w:tcPr>
          <w:p w14:paraId="045BE29D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Actividad parcial comprometida para el siguiente incremento.</w:t>
            </w:r>
          </w:p>
        </w:tc>
      </w:tr>
      <w:tr w:rsidR="001D6105" w:rsidRPr="00787669" w14:paraId="73841559" w14:textId="77777777" w:rsidTr="00787669">
        <w:tc>
          <w:tcPr>
            <w:tcW w:w="2977" w:type="dxa"/>
            <w:vAlign w:val="center"/>
          </w:tcPr>
          <w:p w14:paraId="353ACCE8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Rojo</w:t>
            </w:r>
          </w:p>
        </w:tc>
        <w:tc>
          <w:tcPr>
            <w:tcW w:w="7139" w:type="dxa"/>
            <w:vAlign w:val="center"/>
          </w:tcPr>
          <w:p w14:paraId="2BD3B2EE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Alternativa de validación, permisos o stock insuficiente.</w:t>
            </w:r>
          </w:p>
        </w:tc>
      </w:tr>
      <w:tr w:rsidR="001D6105" w:rsidRPr="00787669" w14:paraId="5723D774" w14:textId="77777777" w:rsidTr="00787669">
        <w:tc>
          <w:tcPr>
            <w:tcW w:w="2977" w:type="dxa"/>
            <w:vAlign w:val="center"/>
          </w:tcPr>
          <w:p w14:paraId="2D33DCB6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D01-D03</w:t>
            </w:r>
          </w:p>
        </w:tc>
        <w:tc>
          <w:tcPr>
            <w:tcW w:w="7139" w:type="dxa"/>
            <w:vAlign w:val="center"/>
          </w:tcPr>
          <w:p w14:paraId="39A702D1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Decisiones que determinan recorridos alternativos.</w:t>
            </w:r>
          </w:p>
        </w:tc>
      </w:tr>
    </w:tbl>
    <w:p w14:paraId="150D5A94" w14:textId="77777777" w:rsidR="001D6105" w:rsidRPr="00787669" w:rsidRDefault="00000000">
      <w:pPr>
        <w:pStyle w:val="Ttulo1"/>
        <w:rPr>
          <w:rFonts w:cstheme="majorHAnsi"/>
        </w:rPr>
      </w:pPr>
      <w:proofErr w:type="spellStart"/>
      <w:r w:rsidRPr="00787669">
        <w:rPr>
          <w:rFonts w:cstheme="majorHAnsi"/>
        </w:rPr>
        <w:lastRenderedPageBreak/>
        <w:t>Diagrama</w:t>
      </w:r>
      <w:proofErr w:type="spellEnd"/>
      <w:r w:rsidRPr="00787669">
        <w:rPr>
          <w:rFonts w:cstheme="majorHAnsi"/>
        </w:rPr>
        <w:t xml:space="preserve"> de </w:t>
      </w:r>
      <w:proofErr w:type="spellStart"/>
      <w:r w:rsidRPr="00787669">
        <w:rPr>
          <w:rFonts w:cstheme="majorHAnsi"/>
        </w:rPr>
        <w:t>secuencia</w:t>
      </w:r>
      <w:proofErr w:type="spellEnd"/>
      <w:r w:rsidRPr="00787669">
        <w:rPr>
          <w:rFonts w:cstheme="majorHAnsi"/>
        </w:rPr>
        <w:t xml:space="preserve"> </w:t>
      </w:r>
      <w:proofErr w:type="spellStart"/>
      <w:r w:rsidRPr="00787669">
        <w:rPr>
          <w:rFonts w:cstheme="majorHAnsi"/>
        </w:rPr>
        <w:t>complementario</w:t>
      </w:r>
      <w:proofErr w:type="spellEnd"/>
    </w:p>
    <w:p w14:paraId="3C58A6A6" w14:textId="77777777" w:rsidR="001D6105" w:rsidRPr="00787669" w:rsidRDefault="00000000">
      <w:pPr>
        <w:rPr>
          <w:rFonts w:asciiTheme="majorHAnsi" w:hAnsiTheme="majorHAnsi" w:cstheme="majorHAnsi"/>
        </w:rPr>
      </w:pPr>
      <w:r w:rsidRPr="00787669">
        <w:rPr>
          <w:rFonts w:asciiTheme="majorHAnsi" w:hAnsiTheme="majorHAnsi" w:cstheme="majorHAnsi"/>
        </w:rPr>
        <w:t>El diagrama de secuencia muestra cómo colaboran el cliente, el sitio público, Django, PostgreSQL/Supabase y el administrador. Complementa la vista de procesos sin reemplazar el diagrama de actividades.</w:t>
      </w:r>
    </w:p>
    <w:p w14:paraId="2FFE01B4" w14:textId="77777777" w:rsidR="001D6105" w:rsidRPr="00787669" w:rsidRDefault="00000000">
      <w:pPr>
        <w:jc w:val="center"/>
        <w:rPr>
          <w:rFonts w:asciiTheme="majorHAnsi" w:hAnsiTheme="majorHAnsi" w:cstheme="majorHAnsi"/>
        </w:rPr>
      </w:pPr>
      <w:r w:rsidRPr="00787669">
        <w:rPr>
          <w:rFonts w:asciiTheme="majorHAnsi" w:hAnsiTheme="majorHAnsi" w:cstheme="majorHAnsi"/>
          <w:noProof/>
        </w:rPr>
        <w:drawing>
          <wp:inline distT="0" distB="0" distL="0" distR="0" wp14:anchorId="096DC832" wp14:editId="53A5CD0D">
            <wp:extent cx="640080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Secuencia_Cotizacion_Reserva_Semana_1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103C" w14:textId="77777777" w:rsidR="001D6105" w:rsidRPr="00787669" w:rsidRDefault="00000000">
      <w:pPr>
        <w:jc w:val="center"/>
        <w:rPr>
          <w:rFonts w:asciiTheme="majorHAnsi" w:hAnsiTheme="majorHAnsi" w:cstheme="majorHAnsi"/>
          <w:iCs/>
        </w:rPr>
      </w:pPr>
      <w:r w:rsidRPr="00787669">
        <w:rPr>
          <w:rFonts w:asciiTheme="majorHAnsi" w:hAnsiTheme="majorHAnsi" w:cstheme="majorHAnsi"/>
          <w:iCs/>
          <w:sz w:val="18"/>
        </w:rPr>
        <w:t>Figura 2. Interacciones principales y persistencia del caso de uso.</w:t>
      </w:r>
    </w:p>
    <w:p w14:paraId="513FB054" w14:textId="77777777" w:rsidR="001D6105" w:rsidRPr="00787669" w:rsidRDefault="00000000">
      <w:pPr>
        <w:pStyle w:val="Ttulo1"/>
        <w:rPr>
          <w:rFonts w:cstheme="majorHAnsi"/>
        </w:rPr>
      </w:pPr>
      <w:r w:rsidRPr="00787669">
        <w:rPr>
          <w:rFonts w:cstheme="majorHAnsi"/>
        </w:rPr>
        <w:t>Trazabilidad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300"/>
        <w:gridCol w:w="1520"/>
        <w:gridCol w:w="5296"/>
      </w:tblGrid>
      <w:tr w:rsidR="001D6105" w:rsidRPr="00787669" w14:paraId="20805694" w14:textId="77777777" w:rsidTr="00787669">
        <w:tc>
          <w:tcPr>
            <w:tcW w:w="3300" w:type="dxa"/>
            <w:shd w:val="clear" w:color="auto" w:fill="1F4E78"/>
            <w:vAlign w:val="center"/>
          </w:tcPr>
          <w:p w14:paraId="135C5AE3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787669">
              <w:rPr>
                <w:rFonts w:asciiTheme="majorHAnsi" w:hAnsiTheme="majorHAnsi" w:cstheme="majorHAnsi"/>
                <w:b/>
                <w:color w:val="FFFFFF"/>
                <w:sz w:val="18"/>
              </w:rPr>
              <w:t>Actividades</w:t>
            </w:r>
            <w:proofErr w:type="spellEnd"/>
          </w:p>
        </w:tc>
        <w:tc>
          <w:tcPr>
            <w:tcW w:w="1520" w:type="dxa"/>
            <w:shd w:val="clear" w:color="auto" w:fill="1F4E78"/>
            <w:vAlign w:val="center"/>
          </w:tcPr>
          <w:p w14:paraId="59177E2C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b/>
                <w:color w:val="FFFFFF"/>
                <w:sz w:val="18"/>
              </w:rPr>
              <w:t>Funcionalidades</w:t>
            </w:r>
          </w:p>
        </w:tc>
        <w:tc>
          <w:tcPr>
            <w:tcW w:w="5296" w:type="dxa"/>
            <w:shd w:val="clear" w:color="auto" w:fill="1F4E78"/>
            <w:vAlign w:val="center"/>
          </w:tcPr>
          <w:p w14:paraId="7550314D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b/>
                <w:color w:val="FFFFFF"/>
                <w:sz w:val="18"/>
              </w:rPr>
              <w:t>Resultado</w:t>
            </w:r>
          </w:p>
        </w:tc>
      </w:tr>
      <w:tr w:rsidR="001D6105" w:rsidRPr="00787669" w14:paraId="4E99EA6D" w14:textId="77777777" w:rsidTr="00787669">
        <w:tc>
          <w:tcPr>
            <w:tcW w:w="3300" w:type="dxa"/>
            <w:vAlign w:val="center"/>
          </w:tcPr>
          <w:p w14:paraId="76862C20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A01-A05</w:t>
            </w:r>
          </w:p>
        </w:tc>
        <w:tc>
          <w:tcPr>
            <w:tcW w:w="1520" w:type="dxa"/>
            <w:vAlign w:val="center"/>
          </w:tcPr>
          <w:p w14:paraId="1457C8F4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F02-F03</w:t>
            </w:r>
          </w:p>
        </w:tc>
        <w:tc>
          <w:tcPr>
            <w:tcW w:w="5296" w:type="dxa"/>
            <w:vAlign w:val="center"/>
          </w:tcPr>
          <w:p w14:paraId="06C4FFE7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Cotización validada y persistida; confirmación visible para el cliente.</w:t>
            </w:r>
          </w:p>
        </w:tc>
      </w:tr>
      <w:tr w:rsidR="001D6105" w:rsidRPr="00787669" w14:paraId="02E9AB16" w14:textId="77777777" w:rsidTr="00787669">
        <w:tc>
          <w:tcPr>
            <w:tcW w:w="3300" w:type="dxa"/>
            <w:vAlign w:val="center"/>
          </w:tcPr>
          <w:p w14:paraId="01C34991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A06-D02-A07</w:t>
            </w:r>
          </w:p>
        </w:tc>
        <w:tc>
          <w:tcPr>
            <w:tcW w:w="1520" w:type="dxa"/>
            <w:vAlign w:val="center"/>
          </w:tcPr>
          <w:p w14:paraId="3BE9FDB8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F04</w:t>
            </w:r>
          </w:p>
        </w:tc>
        <w:tc>
          <w:tcPr>
            <w:tcW w:w="5296" w:type="dxa"/>
            <w:vAlign w:val="center"/>
          </w:tcPr>
          <w:p w14:paraId="1AB73E9C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Acceso administrativo protegido y alternativa de rechazo.</w:t>
            </w:r>
          </w:p>
        </w:tc>
      </w:tr>
      <w:tr w:rsidR="001D6105" w:rsidRPr="00787669" w14:paraId="43410B69" w14:textId="77777777" w:rsidTr="00787669">
        <w:tc>
          <w:tcPr>
            <w:tcW w:w="3300" w:type="dxa"/>
            <w:vAlign w:val="center"/>
          </w:tcPr>
          <w:p w14:paraId="5955183F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A08-A13</w:t>
            </w:r>
          </w:p>
        </w:tc>
        <w:tc>
          <w:tcPr>
            <w:tcW w:w="1520" w:type="dxa"/>
            <w:vAlign w:val="center"/>
          </w:tcPr>
          <w:p w14:paraId="30901E01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F05-F07 y F09</w:t>
            </w:r>
          </w:p>
        </w:tc>
        <w:tc>
          <w:tcPr>
            <w:tcW w:w="5296" w:type="dxa"/>
            <w:vAlign w:val="center"/>
          </w:tcPr>
          <w:p w14:paraId="23DBD32C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Asignación, disponibilidad, confirmación y actualización de salidas.</w:t>
            </w:r>
          </w:p>
        </w:tc>
      </w:tr>
      <w:tr w:rsidR="001D6105" w:rsidRPr="00787669" w14:paraId="62DFE0E8" w14:textId="77777777" w:rsidTr="00787669">
        <w:tc>
          <w:tcPr>
            <w:tcW w:w="3300" w:type="dxa"/>
            <w:vAlign w:val="center"/>
          </w:tcPr>
          <w:p w14:paraId="315F9F7A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A14-A15</w:t>
            </w:r>
          </w:p>
        </w:tc>
        <w:tc>
          <w:tcPr>
            <w:tcW w:w="1520" w:type="dxa"/>
            <w:vAlign w:val="center"/>
          </w:tcPr>
          <w:p w14:paraId="3C75C71D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F08</w:t>
            </w:r>
          </w:p>
        </w:tc>
        <w:tc>
          <w:tcPr>
            <w:tcW w:w="5296" w:type="dxa"/>
            <w:vAlign w:val="center"/>
          </w:tcPr>
          <w:p w14:paraId="0D647B6E" w14:textId="77777777" w:rsidR="001D6105" w:rsidRPr="00787669" w:rsidRDefault="00000000">
            <w:pPr>
              <w:rPr>
                <w:rFonts w:asciiTheme="majorHAnsi" w:hAnsiTheme="majorHAnsi" w:cstheme="majorHAnsi"/>
              </w:rPr>
            </w:pPr>
            <w:r w:rsidRPr="00787669">
              <w:rPr>
                <w:rFonts w:asciiTheme="majorHAnsi" w:hAnsiTheme="majorHAnsi" w:cstheme="majorHAnsi"/>
                <w:sz w:val="18"/>
              </w:rPr>
              <w:t>Ciclo operativo parcial que debe cerrarse en el siguiente incremento.</w:t>
            </w:r>
          </w:p>
        </w:tc>
      </w:tr>
    </w:tbl>
    <w:p w14:paraId="41C41C18" w14:textId="77777777" w:rsidR="001D6105" w:rsidRPr="00787669" w:rsidRDefault="00000000">
      <w:pPr>
        <w:pStyle w:val="Ttulo1"/>
        <w:rPr>
          <w:rFonts w:cstheme="majorHAnsi"/>
        </w:rPr>
      </w:pPr>
      <w:proofErr w:type="spellStart"/>
      <w:r w:rsidRPr="00787669">
        <w:rPr>
          <w:rFonts w:cstheme="majorHAnsi"/>
        </w:rPr>
        <w:t>Criterios</w:t>
      </w:r>
      <w:proofErr w:type="spellEnd"/>
      <w:r w:rsidRPr="00787669">
        <w:rPr>
          <w:rFonts w:cstheme="majorHAnsi"/>
        </w:rPr>
        <w:t xml:space="preserve"> para </w:t>
      </w:r>
      <w:proofErr w:type="spellStart"/>
      <w:r w:rsidRPr="00787669">
        <w:rPr>
          <w:rFonts w:cstheme="majorHAnsi"/>
        </w:rPr>
        <w:t>reproducir</w:t>
      </w:r>
      <w:proofErr w:type="spellEnd"/>
      <w:r w:rsidRPr="00787669">
        <w:rPr>
          <w:rFonts w:cstheme="majorHAnsi"/>
        </w:rPr>
        <w:t xml:space="preserve"> el flujo</w:t>
      </w:r>
    </w:p>
    <w:p w14:paraId="1B768935" w14:textId="77777777" w:rsidR="001D6105" w:rsidRPr="00787669" w:rsidRDefault="00000000">
      <w:pPr>
        <w:pStyle w:val="Listaconvietas"/>
        <w:rPr>
          <w:rFonts w:asciiTheme="majorHAnsi" w:hAnsiTheme="majorHAnsi" w:cstheme="majorHAnsi"/>
        </w:rPr>
      </w:pPr>
      <w:r w:rsidRPr="00787669">
        <w:rPr>
          <w:rFonts w:asciiTheme="majorHAnsi" w:hAnsiTheme="majorHAnsi" w:cstheme="majorHAnsi"/>
        </w:rPr>
        <w:t>Crear una solicitud válida y comprobar que Cliente, Servicio y categorías queden registrados.</w:t>
      </w:r>
    </w:p>
    <w:p w14:paraId="2D7A6A7B" w14:textId="77777777" w:rsidR="001D6105" w:rsidRPr="00787669" w:rsidRDefault="00000000">
      <w:pPr>
        <w:pStyle w:val="Listaconvietas"/>
        <w:rPr>
          <w:rFonts w:asciiTheme="majorHAnsi" w:hAnsiTheme="majorHAnsi" w:cstheme="majorHAnsi"/>
        </w:rPr>
      </w:pPr>
      <w:r w:rsidRPr="00787669">
        <w:rPr>
          <w:rFonts w:asciiTheme="majorHAnsi" w:hAnsiTheme="majorHAnsi" w:cstheme="majorHAnsi"/>
        </w:rPr>
        <w:t>Ingresar como administrador, abrir la solicitud y asignar artículos y cantidades.</w:t>
      </w:r>
    </w:p>
    <w:p w14:paraId="4C53BB50" w14:textId="77777777" w:rsidR="001D6105" w:rsidRPr="00787669" w:rsidRDefault="00000000">
      <w:pPr>
        <w:pStyle w:val="Listaconvietas"/>
        <w:rPr>
          <w:rFonts w:asciiTheme="majorHAnsi" w:hAnsiTheme="majorHAnsi" w:cstheme="majorHAnsi"/>
        </w:rPr>
      </w:pPr>
      <w:r w:rsidRPr="00787669">
        <w:rPr>
          <w:rFonts w:asciiTheme="majorHAnsi" w:hAnsiTheme="majorHAnsi" w:cstheme="majorHAnsi"/>
        </w:rPr>
        <w:t>Confirmar con stock suficiente y verificar Reservas, Inventario, Calendario, Resumen y Reportes.</w:t>
      </w:r>
    </w:p>
    <w:p w14:paraId="4345C29B" w14:textId="77777777" w:rsidR="001D6105" w:rsidRPr="00787669" w:rsidRDefault="00000000">
      <w:pPr>
        <w:pStyle w:val="Listaconvietas"/>
        <w:rPr>
          <w:rFonts w:asciiTheme="majorHAnsi" w:hAnsiTheme="majorHAnsi" w:cstheme="majorHAnsi"/>
        </w:rPr>
      </w:pPr>
      <w:r w:rsidRPr="00787669">
        <w:rPr>
          <w:rFonts w:asciiTheme="majorHAnsi" w:hAnsiTheme="majorHAnsi" w:cstheme="majorHAnsi"/>
        </w:rPr>
        <w:t>Repetir con datos inválidos, cuenta sin rol administrador y stock insuficiente; en cada caso el sistema debe rechazar la operación sin perder datos ni comprometer stock.</w:t>
      </w:r>
    </w:p>
    <w:sectPr w:rsidR="001D6105" w:rsidRPr="0078766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637929">
    <w:abstractNumId w:val="8"/>
  </w:num>
  <w:num w:numId="2" w16cid:durableId="789589239">
    <w:abstractNumId w:val="6"/>
  </w:num>
  <w:num w:numId="3" w16cid:durableId="113250817">
    <w:abstractNumId w:val="5"/>
  </w:num>
  <w:num w:numId="4" w16cid:durableId="1746803759">
    <w:abstractNumId w:val="4"/>
  </w:num>
  <w:num w:numId="5" w16cid:durableId="1330597899">
    <w:abstractNumId w:val="7"/>
  </w:num>
  <w:num w:numId="6" w16cid:durableId="809395925">
    <w:abstractNumId w:val="3"/>
  </w:num>
  <w:num w:numId="7" w16cid:durableId="1381319986">
    <w:abstractNumId w:val="2"/>
  </w:num>
  <w:num w:numId="8" w16cid:durableId="770051170">
    <w:abstractNumId w:val="1"/>
  </w:num>
  <w:num w:numId="9" w16cid:durableId="122587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DA6"/>
    <w:rsid w:val="001D6105"/>
    <w:rsid w:val="0029639D"/>
    <w:rsid w:val="00326F90"/>
    <w:rsid w:val="007849EF"/>
    <w:rsid w:val="00787669"/>
    <w:rsid w:val="00A36E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734F30"/>
  <w14:defaultImageDpi w14:val="300"/>
  <w15:docId w15:val="{A329A532-92A3-4C8C-B718-755D6FD6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ec7f58a-8404-4877-b736-bea143f77ded}" enabled="1" method="Standard" siteId="{84d9a216-e285-4aac-b163-0dfd0c07454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324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CORTES AVILES, HELEN MARIA</cp:lastModifiedBy>
  <cp:revision>3</cp:revision>
  <dcterms:created xsi:type="dcterms:W3CDTF">2013-12-23T23:15:00Z</dcterms:created>
  <dcterms:modified xsi:type="dcterms:W3CDTF">2026-10-22T17:53:00Z</dcterms:modified>
  <cp:category/>
</cp:coreProperties>
</file>