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ind/>
        <w:rPr/>
      </w:pPr>
      <w:r>
        <w:rPr>
          <w:b/>
          <w:bCs/>
          <w:color w:val="b23a3a"/>
          <w:sz w:val="18"/>
          <w:szCs w:val="18"/>
        </w:rPr>
        <w:t xml:space="preserve">EXPEDIENTE VGN-0001 · SERVICIO DE ADUANAS INTERGALÁCTICO</w:t>
      </w:r>
      <w:r/>
    </w:p>
    <w:p>
      <w:pPr>
        <w:pStyle w:val="705"/>
        <w:pBdr/>
        <w:spacing w:after="40"/>
        <w:ind/>
        <w:rPr/>
      </w:pPr>
      <w:r>
        <w:rPr>
          <w:b/>
          <w:bCs/>
          <w:color w:val="14161f"/>
          <w:sz w:val="40"/>
          <w:szCs w:val="40"/>
        </w:rPr>
        <w:t xml:space="preserve">Desarrollo robusto y validación estricta de tipos con Pydantic</w:t>
      </w:r>
      <w:r/>
    </w:p>
    <w:p>
      <w:pPr>
        <w:pBdr/>
        <w:spacing w:after="280"/>
        <w:ind/>
        <w:rPr/>
      </w:pPr>
      <w:r>
        <w:rPr>
          <w:i/>
          <w:iCs/>
          <w:color w:val="6b6650"/>
          <w:sz w:val="19"/>
          <w:szCs w:val="19"/>
        </w:rPr>
        <w:t xml:space="preserve">Base teórica — Bloque 1 · Masterclass</w:t>
      </w:r>
      <w:r/>
    </w:p>
    <w:p>
      <w:pPr>
        <w:pStyle w:val="707"/>
        <w:pBdr/>
        <w:spacing w:after="140" w:before="280"/>
        <w:ind/>
        <w:rPr/>
      </w:pPr>
      <w:r>
        <w:rPr>
          <w:b/>
          <w:bCs/>
          <w:color w:val="14161f"/>
          <w:sz w:val="26"/>
          <w:szCs w:val="26"/>
        </w:rPr>
        <w:t xml:space="preserve">1. El problema: Python confía demasiado</w:t>
      </w:r>
      <w:r/>
    </w:p>
    <w:p>
      <w:pPr>
        <w:pBdr/>
        <w:spacing w:after="160"/>
        <w:ind/>
        <w:rPr/>
      </w:pPr>
      <w:r>
        <w:rPr>
          <w:color w:val="26241c"/>
          <w:sz w:val="21"/>
          <w:szCs w:val="21"/>
        </w:rPr>
        <w:t xml:space="preserve">Un type hint como edad: int es una nota para hum</w:t>
      </w:r>
      <w:r>
        <w:rPr>
          <w:color w:val="26241c"/>
          <w:sz w:val="21"/>
          <w:szCs w:val="21"/>
        </w:rPr>
        <w:t xml:space="preserve">anos y editores, pero Python no la comprueba en tiempo de ejecución. Si una función espera un entero y recibe un texto, Python no se queja al momento — el error aparece más adelante, en un punto del programa que no tiene relación directa con la causa real.</w:t>
      </w:r>
      <w:r/>
    </w:p>
    <w:p>
      <w:pPr>
        <w:pBdr>
          <w:top w:val="single" w:color="1c1f2c" w:sz="2" w:space="0"/>
          <w:left w:val="single" w:color="1c1f2c" w:sz="2" w:space="0"/>
          <w:bottom w:val="single" w:color="1c1f2c" w:sz="2" w:space="0"/>
          <w:right w:val="single" w:color="1c1f2c" w:sz="2" w:space="0"/>
        </w:pBdr>
        <w:shd w:val="clear" w:color="auto" w:fill="1c1f2c"/>
        <w:spacing w:after="200"/>
        <w:ind/>
        <w:rPr/>
      </w:pPr>
      <w:r>
        <w:rPr>
          <w:rFonts w:ascii="Courier New" w:hAnsi="Courier New" w:eastAsia="Courier New" w:cs="Courier New"/>
          <w:color w:val="d7e0d2"/>
          <w:sz w:val="17"/>
          <w:szCs w:val="17"/>
        </w:rPr>
        <w:t xml:space="preserve">def registrar_pasajero(edad: int):</w:t>
      </w:r>
      <w:r>
        <w:rPr>
          <w:rFonts w:ascii="Courier New" w:hAnsi="Courier New" w:eastAsia="Courier New" w:cs="Courier New"/>
          <w:color w:val="d7e0d2"/>
          <w:sz w:val="17"/>
          <w:szCs w:val="17"/>
        </w:rPr>
        <w:br/>
        <w:t xml:space="preserve">    return edad * 2</w:t>
      </w:r>
      <w:r>
        <w:rPr>
          <w:rFonts w:ascii="Courier New" w:hAnsi="Courier New" w:eastAsia="Courier New" w:cs="Courier New"/>
          <w:color w:val="d7e0d2"/>
          <w:sz w:val="17"/>
          <w:szCs w:val="17"/>
        </w:rPr>
        <w:br/>
      </w:r>
      <w:r>
        <w:rPr>
          <w:rFonts w:ascii="Courier New" w:hAnsi="Courier New" w:eastAsia="Courier New" w:cs="Courier New"/>
          <w:color w:val="d7e0d2"/>
          <w:sz w:val="17"/>
          <w:szCs w:val="17"/>
        </w:rPr>
        <w:br/>
        <w:t xml:space="preserve">registrar_pasajero("no soy un número")</w:t>
      </w:r>
      <w:r>
        <w:rPr>
          <w:rFonts w:ascii="Courier New" w:hAnsi="Courier New" w:eastAsia="Courier New" w:cs="Courier New"/>
          <w:color w:val="d7e0d2"/>
          <w:sz w:val="17"/>
          <w:szCs w:val="17"/>
        </w:rPr>
        <w:br/>
        <w:t xml:space="preserve"># no explota aquí... explota más adelante</w:t>
      </w:r>
      <w:r/>
    </w:p>
    <w:p>
      <w:pPr>
        <w:pStyle w:val="707"/>
        <w:pBdr/>
        <w:spacing w:after="140" w:before="280"/>
        <w:ind/>
        <w:rPr/>
      </w:pPr>
      <w:r>
        <w:rPr>
          <w:b/>
          <w:bCs/>
          <w:color w:val="14161f"/>
          <w:sz w:val="26"/>
          <w:szCs w:val="26"/>
        </w:rPr>
        <w:t xml:space="preserve">2. La solución: Pydantic como inspector automático</w:t>
      </w:r>
      <w:r/>
    </w:p>
    <w:p>
      <w:pPr>
        <w:pBdr/>
        <w:spacing w:after="160"/>
        <w:ind/>
        <w:rPr/>
      </w:pPr>
      <w:r>
        <w:rPr>
          <w:color w:val="26241c"/>
          <w:sz w:val="21"/>
          <w:szCs w:val="21"/>
        </w:rPr>
        <w:t xml:space="preserve">Pydantic es una librería que valida y fuerza tipos de datos usando los type hints ya existentes en el código. Cuando se crea una instan</w:t>
      </w:r>
      <w:r>
        <w:rPr>
          <w:color w:val="26241c"/>
          <w:sz w:val="21"/>
          <w:szCs w:val="21"/>
        </w:rPr>
        <w:t xml:space="preserve">cia de un modelo, Pydantic revisa cada campo: si el tipo no coincide pero es convertible (por ejemplo, el texto "30" en un campo int), lo convierte automáticamente; si no es convertible, lanza un error claro indicando exactamente qué campo falló y por qué.</w:t>
      </w:r>
      <w:r/>
    </w:p>
    <w:p>
      <w:pPr>
        <w:pStyle w:val="707"/>
        <w:pBdr/>
        <w:spacing w:after="140" w:before="280"/>
        <w:ind/>
        <w:rPr/>
      </w:pPr>
      <w:r>
        <w:rPr>
          <w:b/>
          <w:bCs/>
          <w:color w:val="14161f"/>
          <w:sz w:val="26"/>
          <w:szCs w:val="26"/>
        </w:rPr>
        <w:t xml:space="preserve">3. Conceptos clave</w:t>
      </w:r>
      <w:r/>
    </w:p>
    <w:tbl>
      <w:tblPr>
        <w:tblW w:w="93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6800"/>
      </w:tblGrid>
      <w:tr>
        <w:trPr/>
        <w:tc>
          <w:tcPr>
            <w:shd w:val="clear" w:color="auto" w:fill="14161f"/>
            <w:tcBorders/>
            <w:tcW w:w="2500" w:type="dxa"/>
          </w:tcPr>
          <w:p>
            <w:pPr>
              <w:pBdr/>
              <w:spacing/>
              <w:ind/>
              <w:rPr/>
            </w:pPr>
            <w:r>
              <w:rPr>
                <w:b/>
                <w:bCs/>
                <w:color w:val="ffffff"/>
                <w:sz w:val="19"/>
                <w:szCs w:val="19"/>
              </w:rPr>
              <w:t xml:space="preserve">Concepto</w:t>
            </w:r>
            <w:r/>
          </w:p>
        </w:tc>
        <w:tc>
          <w:tcPr>
            <w:shd w:val="clear" w:color="auto" w:fill="14161f"/>
            <w:tcBorders/>
            <w:tcW w:w="6800" w:type="dxa"/>
          </w:tcPr>
          <w:p>
            <w:pPr>
              <w:pBdr/>
              <w:spacing/>
              <w:ind/>
              <w:rPr/>
            </w:pPr>
            <w:r>
              <w:rPr>
                <w:b/>
                <w:bCs/>
                <w:color w:val="ffffff"/>
                <w:sz w:val="19"/>
                <w:szCs w:val="19"/>
              </w:rPr>
              <w:t xml:space="preserve">Qué hace</w:t>
            </w:r>
            <w:r/>
          </w:p>
        </w:tc>
      </w:tr>
      <w:tr>
        <w:trPr/>
        <w:tc>
          <w:tcPr>
            <w:shd w:val="clear" w:color="auto" w:fill="ffffff"/>
            <w:tcBorders/>
            <w:tcW w:w="2500" w:type="dxa"/>
          </w:tcPr>
          <w:p>
            <w:pPr>
              <w:pBdr/>
              <w:spacing/>
              <w:ind/>
              <w:rPr/>
            </w:pPr>
            <w:r>
              <w:rPr>
                <w:b w:val="0"/>
                <w:bCs w:val="0"/>
                <w:color w:val="26241c"/>
                <w:sz w:val="19"/>
                <w:szCs w:val="19"/>
              </w:rPr>
              <w:t xml:space="preserve">BaseModel</w:t>
            </w:r>
            <w:r/>
          </w:p>
        </w:tc>
        <w:tc>
          <w:tcPr>
            <w:shd w:val="clear" w:color="auto" w:fill="ffffff"/>
            <w:tcBorders/>
            <w:tcW w:w="6800" w:type="dxa"/>
          </w:tcPr>
          <w:p>
            <w:pPr>
              <w:pBdr/>
              <w:spacing/>
              <w:ind/>
              <w:rPr/>
            </w:pPr>
            <w:r>
              <w:rPr>
                <w:b w:val="0"/>
                <w:bCs w:val="0"/>
                <w:color w:val="26241c"/>
                <w:sz w:val="19"/>
                <w:szCs w:val="19"/>
              </w:rPr>
              <w:t xml:space="preserve">Clase base de la que se hereda para definir el “esquema” de datos</w:t>
            </w:r>
            <w:r/>
          </w:p>
        </w:tc>
      </w:tr>
      <w:tr>
        <w:trPr/>
        <w:tc>
          <w:tcPr>
            <w:shd w:val="clear" w:color="auto" w:fill="f4f0e4"/>
            <w:tcBorders/>
            <w:tcW w:w="2500" w:type="dxa"/>
          </w:tcPr>
          <w:p>
            <w:pPr>
              <w:pBdr/>
              <w:spacing/>
              <w:ind/>
              <w:rPr/>
            </w:pPr>
            <w:r>
              <w:rPr>
                <w:b w:val="0"/>
                <w:bCs w:val="0"/>
                <w:color w:val="26241c"/>
                <w:sz w:val="19"/>
                <w:szCs w:val="19"/>
              </w:rPr>
              <w:t xml:space="preserve">Type hints</w:t>
            </w:r>
            <w:r/>
          </w:p>
        </w:tc>
        <w:tc>
          <w:tcPr>
            <w:shd w:val="clear" w:color="auto" w:fill="f4f0e4"/>
            <w:tcBorders/>
            <w:tcW w:w="6800" w:type="dxa"/>
          </w:tcPr>
          <w:p>
            <w:pPr>
              <w:pBdr/>
              <w:spacing/>
              <w:ind/>
              <w:rPr/>
            </w:pPr>
            <w:r>
              <w:rPr>
                <w:b w:val="0"/>
                <w:bCs w:val="0"/>
                <w:color w:val="26241c"/>
                <w:sz w:val="19"/>
                <w:szCs w:val="19"/>
              </w:rPr>
              <w:t xml:space="preserve">Definen el tipo esperado de cada campo (str, int, list[str]...)</w:t>
            </w:r>
            <w:r/>
          </w:p>
        </w:tc>
      </w:tr>
      <w:tr>
        <w:trPr/>
        <w:tc>
          <w:tcPr>
            <w:shd w:val="clear" w:color="auto" w:fill="ffffff"/>
            <w:tcBorders/>
            <w:tcW w:w="2500" w:type="dxa"/>
          </w:tcPr>
          <w:p>
            <w:pPr>
              <w:pBdr/>
              <w:spacing/>
              <w:ind/>
              <w:rPr/>
            </w:pPr>
            <w:r>
              <w:rPr>
                <w:b w:val="0"/>
                <w:bCs w:val="0"/>
                <w:color w:val="26241c"/>
                <w:sz w:val="19"/>
                <w:szCs w:val="19"/>
              </w:rPr>
              <w:t xml:space="preserve">Coerción de tipos</w:t>
            </w:r>
            <w:r/>
          </w:p>
        </w:tc>
        <w:tc>
          <w:tcPr>
            <w:shd w:val="clear" w:color="auto" w:fill="ffffff"/>
            <w:tcBorders/>
            <w:tcW w:w="6800" w:type="dxa"/>
          </w:tcPr>
          <w:p>
            <w:pPr>
              <w:pBdr/>
              <w:spacing/>
              <w:ind/>
              <w:rPr/>
            </w:pPr>
            <w:r>
              <w:rPr>
                <w:b w:val="0"/>
                <w:bCs w:val="0"/>
                <w:color w:val="26241c"/>
                <w:sz w:val="19"/>
                <w:szCs w:val="19"/>
              </w:rPr>
              <w:t xml:space="preserve">Convierte automáticamente tipos compatibles (“20” → 20)</w:t>
            </w:r>
            <w:r/>
          </w:p>
        </w:tc>
      </w:tr>
      <w:tr>
        <w:trPr/>
        <w:tc>
          <w:tcPr>
            <w:shd w:val="clear" w:color="auto" w:fill="f4f0e4"/>
            <w:tcBorders/>
            <w:tcW w:w="2500" w:type="dxa"/>
          </w:tcPr>
          <w:p>
            <w:pPr>
              <w:pBdr/>
              <w:spacing/>
              <w:ind/>
              <w:rPr/>
            </w:pPr>
            <w:r>
              <w:rPr>
                <w:b w:val="0"/>
                <w:bCs w:val="0"/>
                <w:color w:val="26241c"/>
                <w:sz w:val="19"/>
                <w:szCs w:val="19"/>
              </w:rPr>
              <w:t xml:space="preserve">ValidationError</w:t>
            </w:r>
            <w:r/>
          </w:p>
        </w:tc>
        <w:tc>
          <w:tcPr>
            <w:shd w:val="clear" w:color="auto" w:fill="f4f0e4"/>
            <w:tcBorders/>
            <w:tcW w:w="6800" w:type="dxa"/>
          </w:tcPr>
          <w:p>
            <w:pPr>
              <w:pBdr/>
              <w:spacing/>
              <w:ind/>
              <w:rPr/>
            </w:pPr>
            <w:r>
              <w:rPr>
                <w:b w:val="0"/>
                <w:bCs w:val="0"/>
                <w:color w:val="26241c"/>
                <w:sz w:val="19"/>
                <w:szCs w:val="19"/>
              </w:rPr>
              <w:t xml:space="preserve">Excepción lanzada cuando un dato no encaja ni es convertible</w:t>
            </w:r>
            <w:r/>
          </w:p>
        </w:tc>
      </w:tr>
      <w:tr>
        <w:trPr/>
        <w:tc>
          <w:tcPr>
            <w:shd w:val="clear" w:color="auto" w:fill="ffffff"/>
            <w:tcBorders/>
            <w:tcW w:w="2500" w:type="dxa"/>
          </w:tcPr>
          <w:p>
            <w:pPr>
              <w:pBdr/>
              <w:spacing/>
              <w:ind/>
              <w:rPr/>
            </w:pPr>
            <w:r>
              <w:rPr>
                <w:b w:val="0"/>
                <w:bCs w:val="0"/>
                <w:color w:val="26241c"/>
                <w:sz w:val="19"/>
                <w:szCs w:val="19"/>
              </w:rPr>
              <w:t xml:space="preserve">Field()</w:t>
            </w:r>
            <w:r/>
          </w:p>
        </w:tc>
        <w:tc>
          <w:tcPr>
            <w:shd w:val="clear" w:color="auto" w:fill="ffffff"/>
            <w:tcBorders/>
            <w:tcW w:w="6800" w:type="dxa"/>
          </w:tcPr>
          <w:p>
            <w:pPr>
              <w:pBdr/>
              <w:spacing/>
              <w:ind/>
              <w:rPr/>
            </w:pPr>
            <w:r>
              <w:rPr>
                <w:b w:val="0"/>
                <w:bCs w:val="0"/>
                <w:color w:val="26241c"/>
                <w:sz w:val="19"/>
                <w:szCs w:val="19"/>
              </w:rPr>
              <w:t xml:space="preserve">Añade restricciones: mínimos, máximos, longitud, valores por defecto</w:t>
            </w:r>
            <w:r/>
          </w:p>
        </w:tc>
      </w:tr>
      <w:tr>
        <w:trPr/>
        <w:tc>
          <w:tcPr>
            <w:shd w:val="clear" w:color="auto" w:fill="f4f0e4"/>
            <w:tcBorders/>
            <w:tcW w:w="2500" w:type="dxa"/>
          </w:tcPr>
          <w:p>
            <w:pPr>
              <w:pBdr/>
              <w:spacing/>
              <w:ind/>
              <w:rPr/>
            </w:pPr>
            <w:r>
              <w:rPr>
                <w:b w:val="0"/>
                <w:bCs w:val="0"/>
                <w:color w:val="26241c"/>
                <w:sz w:val="19"/>
                <w:szCs w:val="19"/>
              </w:rPr>
              <w:t xml:space="preserve">@field_validator</w:t>
            </w:r>
            <w:r/>
          </w:p>
        </w:tc>
        <w:tc>
          <w:tcPr>
            <w:shd w:val="clear" w:color="auto" w:fill="f4f0e4"/>
            <w:tcBorders/>
            <w:tcW w:w="6800" w:type="dxa"/>
          </w:tcPr>
          <w:p>
            <w:pPr>
              <w:pBdr/>
              <w:spacing/>
              <w:ind/>
              <w:rPr/>
            </w:pPr>
            <w:r>
              <w:rPr>
                <w:b w:val="0"/>
                <w:bCs w:val="0"/>
                <w:color w:val="26241c"/>
                <w:sz w:val="19"/>
                <w:szCs w:val="19"/>
              </w:rPr>
              <w:t xml:space="preserve">Lógica de validación personalizada para un campo concreto</w:t>
            </w:r>
            <w:r/>
          </w:p>
        </w:tc>
      </w:tr>
      <w:tr>
        <w:trPr/>
        <w:tc>
          <w:tcPr>
            <w:shd w:val="clear" w:color="auto" w:fill="ffffff"/>
            <w:tcBorders/>
            <w:tcW w:w="2500" w:type="dxa"/>
          </w:tcPr>
          <w:p>
            <w:pPr>
              <w:pBdr/>
              <w:spacing/>
              <w:ind/>
              <w:rPr/>
            </w:pPr>
            <w:r>
              <w:rPr>
                <w:b w:val="0"/>
                <w:bCs w:val="0"/>
                <w:color w:val="26241c"/>
                <w:sz w:val="19"/>
                <w:szCs w:val="19"/>
              </w:rPr>
              <w:t xml:space="preserve">Modelos anidados</w:t>
            </w:r>
            <w:r/>
          </w:p>
        </w:tc>
        <w:tc>
          <w:tcPr>
            <w:shd w:val="clear" w:color="auto" w:fill="ffffff"/>
            <w:tcBorders/>
            <w:tcW w:w="6800" w:type="dxa"/>
          </w:tcPr>
          <w:p>
            <w:pPr>
              <w:pBdr/>
              <w:spacing/>
              <w:ind/>
              <w:rPr/>
            </w:pPr>
            <w:r>
              <w:rPr>
                <w:b w:val="0"/>
                <w:bCs w:val="0"/>
                <w:color w:val="26241c"/>
                <w:sz w:val="19"/>
                <w:szCs w:val="19"/>
              </w:rPr>
              <w:t xml:space="preserve">Un BaseModel puede contener otro BaseModel como campo</w:t>
            </w:r>
            <w:r/>
          </w:p>
        </w:tc>
      </w:tr>
    </w:tbl>
    <w:p>
      <w:pPr>
        <w:pBdr/>
        <w:spacing w:after="200"/>
        <w:ind/>
        <w:rPr/>
      </w:pPr>
      <w:r/>
      <w:r/>
    </w:p>
    <w:p>
      <w:pPr>
        <w:pStyle w:val="707"/>
        <w:pBdr/>
        <w:spacing w:after="140" w:before="280"/>
        <w:ind/>
        <w:rPr/>
      </w:pPr>
      <w:r>
        <w:rPr>
          <w:b/>
          <w:bCs/>
          <w:color w:val="14161f"/>
          <w:sz w:val="26"/>
          <w:szCs w:val="26"/>
        </w:rPr>
        <w:t xml:space="preserve">4. Ejemplo mínimo</w:t>
      </w:r>
      <w:r/>
    </w:p>
    <w:p>
      <w:pPr>
        <w:pBdr>
          <w:top w:val="single" w:color="1c1f2c" w:sz="2" w:space="0"/>
          <w:left w:val="single" w:color="1c1f2c" w:sz="2" w:space="0"/>
          <w:bottom w:val="single" w:color="1c1f2c" w:sz="2" w:space="0"/>
          <w:right w:val="single" w:color="1c1f2c" w:sz="2" w:space="0"/>
        </w:pBdr>
        <w:shd w:val="clear" w:color="auto" w:fill="1c1f2c"/>
        <w:spacing w:after="200"/>
        <w:ind/>
        <w:rPr/>
      </w:pPr>
      <w:r>
        <w:rPr>
          <w:rFonts w:ascii="Courier New" w:hAnsi="Courier New" w:eastAsia="Courier New" w:cs="Courier New"/>
          <w:color w:val="d7e0d2"/>
          <w:sz w:val="17"/>
          <w:szCs w:val="17"/>
        </w:rPr>
        <w:t xml:space="preserve">class PasajeroGalactico(BaseModel):</w:t>
      </w:r>
      <w:r>
        <w:rPr>
          <w:rFonts w:ascii="Courier New" w:hAnsi="Courier New" w:eastAsia="Courier New" w:cs="Courier New"/>
          <w:color w:val="d7e0d2"/>
          <w:sz w:val="17"/>
          <w:szCs w:val="17"/>
        </w:rPr>
        <w:br/>
        <w:t xml:space="preserve">    nombre: str = Field(..., min_length=1, max_length=50)</w:t>
      </w:r>
      <w:r>
        <w:rPr>
          <w:rFonts w:ascii="Courier New" w:hAnsi="Courier New" w:eastAsia="Courier New" w:cs="Courier New"/>
          <w:color w:val="d7e0d2"/>
          <w:sz w:val="17"/>
          <w:szCs w:val="17"/>
        </w:rPr>
        <w:br/>
        <w:t xml:space="preserve">    edad: int = Field(..., gt=0, le=1000)</w:t>
      </w:r>
      <w:r>
        <w:rPr>
          <w:rFonts w:ascii="Courier New" w:hAnsi="Courier New" w:eastAsia="Courier New" w:cs="Courier New"/>
          <w:color w:val="d7e0d2"/>
          <w:sz w:val="17"/>
          <w:szCs w:val="17"/>
        </w:rPr>
        <w:br/>
        <w:t xml:space="preserve">    especie: Literal["humano", "vogon", "androide"]</w:t>
      </w:r>
      <w:r>
        <w:rPr>
          <w:rFonts w:ascii="Courier New" w:hAnsi="Courier New" w:eastAsia="Courier New" w:cs="Courier New"/>
          <w:color w:val="d7e0d2"/>
          <w:sz w:val="17"/>
          <w:szCs w:val="17"/>
        </w:rPr>
        <w:br/>
      </w:r>
      <w:r>
        <w:rPr>
          <w:rFonts w:ascii="Courier New" w:hAnsi="Courier New" w:eastAsia="Courier New" w:cs="Courier New"/>
          <w:color w:val="d7e0d2"/>
          <w:sz w:val="17"/>
          <w:szCs w:val="17"/>
        </w:rPr>
        <w:br/>
        <w:t xml:space="preserve">    @field_validator("nombre")</w:t>
      </w:r>
      <w:r>
        <w:rPr>
          <w:rFonts w:ascii="Courier New" w:hAnsi="Courier New" w:eastAsia="Courier New" w:cs="Courier New"/>
          <w:color w:val="d7e0d2"/>
          <w:sz w:val="17"/>
          <w:szCs w:val="17"/>
        </w:rPr>
        <w:br/>
        <w:t xml:space="preserve">    @classmethod</w:t>
      </w:r>
      <w:r>
        <w:rPr>
          <w:rFonts w:ascii="Courier New" w:hAnsi="Courier New" w:eastAsia="Courier New" w:cs="Courier New"/>
          <w:color w:val="d7e0d2"/>
          <w:sz w:val="17"/>
          <w:szCs w:val="17"/>
        </w:rPr>
        <w:br/>
        <w:t xml:space="preserve">    def nombre_no_vacio(cls, v):</w:t>
      </w:r>
      <w:r>
        <w:rPr>
          <w:rFonts w:ascii="Courier New" w:hAnsi="Courier New" w:eastAsia="Courier New" w:cs="Courier New"/>
          <w:color w:val="d7e0d2"/>
          <w:sz w:val="17"/>
          <w:szCs w:val="17"/>
        </w:rPr>
        <w:br/>
        <w:t xml:space="preserve">        if v.strip() == "":</w:t>
      </w:r>
      <w:r>
        <w:rPr>
          <w:rFonts w:ascii="Courier New" w:hAnsi="Courier New" w:eastAsia="Courier New" w:cs="Courier New"/>
          <w:color w:val="d7e0d2"/>
          <w:sz w:val="17"/>
          <w:szCs w:val="17"/>
        </w:rPr>
        <w:br/>
        <w:t xml:space="preserve">            raise ValueError("el nombre no puede estar vacío")</w:t>
      </w:r>
      <w:r>
        <w:rPr>
          <w:rFonts w:ascii="Courier New" w:hAnsi="Courier New" w:eastAsia="Courier New" w:cs="Courier New"/>
          <w:color w:val="d7e0d2"/>
          <w:sz w:val="17"/>
          <w:szCs w:val="17"/>
        </w:rPr>
        <w:br/>
        <w:t xml:space="preserve">        return v.strip().title()</w:t>
      </w:r>
      <w:r/>
    </w:p>
    <w:p>
      <w:pPr>
        <w:pStyle w:val="707"/>
        <w:pBdr/>
        <w:spacing w:after="140" w:before="280"/>
        <w:ind/>
        <w:rPr/>
      </w:pPr>
      <w:r>
        <w:rPr>
          <w:b/>
          <w:bCs/>
          <w:color w:val="14161f"/>
          <w:sz w:val="26"/>
          <w:szCs w:val="26"/>
        </w:rPr>
        <w:t xml:space="preserve">5. ¿Dónde se usa en la vida real?</w:t>
      </w:r>
      <w:r/>
    </w:p>
    <w:p>
      <w:pPr>
        <w:pBdr/>
        <w:spacing w:after="160"/>
        <w:ind/>
        <w:rPr/>
      </w:pPr>
      <w:r>
        <w:rPr>
          <w:color w:val="26241c"/>
          <w:sz w:val="21"/>
          <w:szCs w:val="21"/>
        </w:rPr>
        <w:t xml:space="preserve">APIs: FastAPI usa Pydantic internamente pa</w:t>
      </w:r>
      <w:r>
        <w:rPr>
          <w:color w:val="26241c"/>
          <w:sz w:val="21"/>
          <w:szCs w:val="21"/>
        </w:rPr>
        <w:t xml:space="preserve">ra validar cada request y response. Configuración: validar variables de entorno o archivos YAML/JSON antes de arrancar una aplicación. Pipelines de Machine Learning: comprobar que los datos de entrada tienen la forma correcta antes de pasarlos a un modelo.</w:t>
      </w:r>
      <w:r/>
    </w:p>
    <w:p>
      <w:pPr>
        <w:pStyle w:val="707"/>
        <w:pBdr/>
        <w:spacing w:after="140" w:before="280"/>
        <w:ind/>
        <w:rPr/>
      </w:pPr>
      <w:r>
        <w:rPr>
          <w:b/>
          <w:bCs/>
          <w:color w:val="14161f"/>
          <w:sz w:val="26"/>
          <w:szCs w:val="26"/>
        </w:rPr>
        <w:t xml:space="preserve">6. Ficha de criterio ético</w:t>
      </w:r>
      <w:r/>
    </w:p>
    <w:p>
      <w:pPr>
        <w:pBdr/>
        <w:spacing w:after="160"/>
        <w:ind/>
        <w:rPr/>
      </w:pPr>
      <w:r>
        <w:rPr>
          <w:color w:val="26241c"/>
          <w:sz w:val="21"/>
          <w:szCs w:val="21"/>
        </w:rPr>
        <w:t xml:space="preserve">La validación estricta de tipos no es neutral: las reglas que definimos (longitudes mínimas, patrones de texto, </w:t>
      </w:r>
      <w:r>
        <w:rPr>
          <w:color w:val="26241c"/>
          <w:sz w:val="21"/>
          <w:szCs w:val="21"/>
        </w:rPr>
        <w:t xml:space="preserve">formatos “válidos”) reflejan supuestos sobre cómo deberían verse los datos, y pueden excluir casos legítimos que no encajan en ese molde — por ejemplo, un validador de nombres pensado solo para el alfabeto latino puede rechazar nombres con otros alfabetos,</w:t>
      </w:r>
      <w:r>
        <w:rPr>
          <w:color w:val="26241c"/>
          <w:sz w:val="21"/>
          <w:szCs w:val="21"/>
        </w:rPr>
        <w:t xml:space="preserve"> o un patrón de teléfono diseñado para un país puede bloquear números internacionales válidos. Un pipeline que descarta silenciosamente los registros que no pasan la validación puede introducir sesgos sistemáticos en los datos que llegan a un modelo de ML.</w:t>
      </w:r>
      <w:r/>
    </w:p>
    <w:p>
      <w:pPr>
        <w:pStyle w:val="707"/>
        <w:pBdr/>
        <w:spacing w:after="140" w:before="280"/>
        <w:ind/>
        <w:rPr/>
      </w:pPr>
      <w:r>
        <w:rPr>
          <w:b/>
          <w:bCs/>
          <w:color w:val="14161f"/>
          <w:sz w:val="26"/>
          <w:szCs w:val="26"/>
        </w:rPr>
        <w:t xml:space="preserve">7. Coste computacional</w:t>
      </w:r>
      <w:r/>
    </w:p>
    <w:p>
      <w:pPr>
        <w:pBdr/>
        <w:spacing w:after="160"/>
        <w:ind/>
        <w:rPr/>
      </w:pPr>
      <w:r>
        <w:rPr>
          <w:color w:val="26241c"/>
          <w:sz w:val="21"/>
          <w:szCs w:val="21"/>
        </w:rPr>
        <w:t xml:space="preserve">Validar datos tiene un pequeño overhead frente a no validar nada, pero en la inmensa mayo</w:t>
      </w:r>
      <w:r>
        <w:rPr>
          <w:color w:val="26241c"/>
          <w:sz w:val="21"/>
          <w:szCs w:val="21"/>
        </w:rPr>
        <w:t xml:space="preserve">ría de casos (APIs, configuración, pipelines de datos) es insignificante frente al beneficio de detectar errores pronto. La excepción son bucles de altísima frecuencia, donde conviene validar una sola vez al entrar los datos y no en cada iteración interna.</w:t>
      </w:r>
      <w:r/>
    </w:p>
    <w:sectPr>
      <w:footnotePr/>
      <w:endnotePr/>
      <w:type w:val="nextPage"/>
      <w:pgSz w:h="16838" w:orient="portrait" w:w="11906"/>
      <w:pgMar w:top="1000" w:right="1100" w:bottom="1000" w:left="110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06"/>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07"/>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08"/>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09"/>
    <w:uiPriority w:val="9"/>
    <w:pPr>
      <w:pBdr/>
      <w:spacing/>
      <w:ind/>
    </w:pPr>
    <w:rPr>
      <w:rFonts w:ascii="Arial" w:hAnsi="Arial" w:eastAsia="Arial" w:cs="Arial"/>
      <w:i/>
      <w:iCs/>
      <w:color w:val="0f4761" w:themeColor="accent1" w:themeShade="BF"/>
    </w:rPr>
  </w:style>
  <w:style w:type="character" w:styleId="154">
    <w:name w:val="Heading 5 Char"/>
    <w:basedOn w:val="148"/>
    <w:link w:val="710"/>
    <w:uiPriority w:val="9"/>
    <w:pPr>
      <w:pBdr/>
      <w:spacing/>
      <w:ind/>
    </w:pPr>
    <w:rPr>
      <w:rFonts w:ascii="Arial" w:hAnsi="Arial" w:eastAsia="Arial" w:cs="Arial"/>
      <w:color w:val="0f4761" w:themeColor="accent1" w:themeShade="BF"/>
    </w:rPr>
  </w:style>
  <w:style w:type="character" w:styleId="155">
    <w:name w:val="Heading 6 Char"/>
    <w:basedOn w:val="148"/>
    <w:link w:val="711"/>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05"/>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05">
    <w:name w:val="Title"/>
    <w:qFormat/>
    <w:pPr>
      <w:pBdr/>
      <w:spacing/>
      <w:ind/>
    </w:pPr>
    <w:rPr>
      <w:sz w:val="56"/>
      <w:szCs w:val="56"/>
    </w:rPr>
  </w:style>
  <w:style w:type="paragraph" w:styleId="706">
    <w:name w:val="Heading 1"/>
    <w:qFormat/>
    <w:pPr>
      <w:pBdr/>
      <w:spacing/>
      <w:ind/>
    </w:pPr>
    <w:rPr>
      <w:color w:val="2e74b5"/>
      <w:sz w:val="32"/>
      <w:szCs w:val="32"/>
    </w:rPr>
  </w:style>
  <w:style w:type="paragraph" w:styleId="707">
    <w:name w:val="Heading 2"/>
    <w:qFormat/>
    <w:pPr>
      <w:pBdr/>
      <w:spacing/>
      <w:ind/>
    </w:pPr>
    <w:rPr>
      <w:color w:val="2e74b5"/>
      <w:sz w:val="26"/>
      <w:szCs w:val="26"/>
    </w:rPr>
  </w:style>
  <w:style w:type="paragraph" w:styleId="708">
    <w:name w:val="Heading 3"/>
    <w:qFormat/>
    <w:pPr>
      <w:pBdr/>
      <w:spacing/>
      <w:ind/>
    </w:pPr>
    <w:rPr>
      <w:color w:val="1f4d78"/>
      <w:sz w:val="24"/>
      <w:szCs w:val="24"/>
    </w:rPr>
  </w:style>
  <w:style w:type="paragraph" w:styleId="709">
    <w:name w:val="Heading 4"/>
    <w:qFormat/>
    <w:pPr>
      <w:pBdr/>
      <w:spacing/>
      <w:ind/>
    </w:pPr>
    <w:rPr>
      <w:i/>
      <w:iCs/>
      <w:color w:val="2e74b5"/>
    </w:rPr>
  </w:style>
  <w:style w:type="paragraph" w:styleId="710">
    <w:name w:val="Heading 5"/>
    <w:qFormat/>
    <w:pPr>
      <w:pBdr/>
      <w:spacing/>
      <w:ind/>
    </w:pPr>
    <w:rPr>
      <w:color w:val="2e74b5"/>
    </w:rPr>
  </w:style>
  <w:style w:type="paragraph" w:styleId="711">
    <w:name w:val="Heading 6"/>
    <w:qFormat/>
    <w:pPr>
      <w:pBdr/>
      <w:spacing/>
      <w:ind/>
    </w:pPr>
    <w:rPr>
      <w:color w:val="1f4d78"/>
    </w:rPr>
  </w:style>
  <w:style w:type="paragraph" w:styleId="712">
    <w:name w:val="Strong"/>
    <w:qFormat/>
    <w:pPr>
      <w:pBdr/>
      <w:spacing/>
      <w:ind/>
    </w:pPr>
    <w:rPr>
      <w:b/>
      <w:bCs/>
    </w:rPr>
  </w:style>
  <w:style w:type="paragraph" w:styleId="713">
    <w:name w:val="List Paragraph"/>
    <w:qFormat/>
    <w:pPr>
      <w:pBdr/>
      <w:spacing/>
      <w:ind/>
    </w:pPr>
  </w:style>
  <w:style w:type="character" w:styleId="714">
    <w:name w:val="Hyperlink"/>
    <w:uiPriority w:val="99"/>
    <w:unhideWhenUsed/>
    <w:pPr>
      <w:pBdr/>
      <w:spacing/>
      <w:ind/>
    </w:pPr>
    <w:rPr>
      <w:color w:val="0563c1"/>
      <w:u w:val="single"/>
    </w:rPr>
  </w:style>
  <w:style w:type="character" w:styleId="715">
    <w:name w:val="footnote reference"/>
    <w:uiPriority w:val="99"/>
    <w:semiHidden/>
    <w:unhideWhenUsed/>
    <w:pPr>
      <w:pBdr/>
      <w:spacing/>
      <w:ind/>
    </w:pPr>
    <w:rPr>
      <w:vertAlign w:val="superscript"/>
    </w:rPr>
  </w:style>
  <w:style w:type="paragraph" w:styleId="716">
    <w:name w:val="footnote text"/>
    <w:link w:val="717"/>
    <w:uiPriority w:val="99"/>
    <w:semiHidden/>
    <w:unhideWhenUsed/>
    <w:pPr>
      <w:pBdr/>
      <w:spacing w:after="0" w:line="240" w:lineRule="auto"/>
      <w:ind/>
    </w:pPr>
    <w:rPr>
      <w:sz w:val="20"/>
      <w:szCs w:val="20"/>
    </w:rPr>
  </w:style>
  <w:style w:type="character" w:styleId="717">
    <w:name w:val="Footnote Text Char"/>
    <w:link w:val="716"/>
    <w:uiPriority w:val="99"/>
    <w:semiHidden/>
    <w:unhideWhenUsed/>
    <w:pPr>
      <w:pBdr/>
      <w:spacing/>
      <w:ind/>
    </w:pPr>
    <w:rPr>
      <w:sz w:val="20"/>
      <w:szCs w:val="20"/>
    </w:rPr>
  </w:style>
  <w:style w:type="character" w:styleId="718">
    <w:name w:val="endnote reference"/>
    <w:uiPriority w:val="99"/>
    <w:semiHidden/>
    <w:unhideWhenUsed/>
    <w:pPr>
      <w:pBdr/>
      <w:spacing/>
      <w:ind/>
    </w:pPr>
    <w:rPr>
      <w:vertAlign w:val="superscript"/>
    </w:rPr>
  </w:style>
  <w:style w:type="paragraph" w:styleId="719">
    <w:name w:val="endnote text"/>
    <w:link w:val="720"/>
    <w:uiPriority w:val="99"/>
    <w:semiHidden/>
    <w:unhideWhenUsed/>
    <w:pPr>
      <w:pBdr/>
      <w:spacing w:after="0" w:line="240" w:lineRule="auto"/>
      <w:ind/>
    </w:pPr>
    <w:rPr>
      <w:sz w:val="20"/>
      <w:szCs w:val="20"/>
    </w:rPr>
  </w:style>
  <w:style w:type="character" w:styleId="720">
    <w:name w:val="Endnote Text Char"/>
    <w:link w:val="719"/>
    <w:uiPriority w:val="99"/>
    <w:semiHidden/>
    <w:unhideWhenUsed/>
    <w:pPr>
      <w:pBdr/>
      <w:spacing/>
      <w:ind/>
    </w:pPr>
    <w:rPr>
      <w:sz w:val="20"/>
      <w:szCs w:val="20"/>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2026-09-04T17:56:38Z</dcterms:created>
  <dcterms:modified xsi:type="dcterms:W3CDTF">2026-09-04T18:20:26Z</dcterms:modified>
</cp:coreProperties>
</file>