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b/>
          <w:color w:val="20CA38"/>
          <w:sz w:val="20"/>
        </w:rPr>
        <w:t>MANUAL TÉCNICO Y OPERATIVO</w:t>
      </w:r>
    </w:p>
    <w:p>
      <w:pPr>
        <w:spacing w:after="160"/>
        <w:jc w:val="center"/>
      </w:pPr>
      <w:r>
        <w:rPr>
          <w:b/>
          <w:color w:val="1C2325"/>
          <w:sz w:val="60"/>
        </w:rPr>
        <w:t>BGW720 Reflash Analytics</w:t>
      </w:r>
    </w:p>
    <w:p>
      <w:pPr>
        <w:spacing w:after="680"/>
        <w:jc w:val="center"/>
      </w:pPr>
      <w:r>
        <w:rPr>
          <w:color w:val="079551"/>
          <w:sz w:val="28"/>
        </w:rPr>
        <w:t>Implementación, arquitectura, datos en vivo y mantenimiento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968"/>
        <w:gridCol w:w="2836"/>
      </w:tblGrid>
      <w:tr>
        <w:trPr>
          <w:tblHeader w:val="true"/>
        </w:trPr>
        <w:tc>
          <w:tcPr>
            <w:tcW w:type="dxa" w:w="172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496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Tecnologías</w:t>
            </w:r>
          </w:p>
        </w:tc>
        <w:tc>
          <w:tcPr>
            <w:tcW w:type="dxa" w:w="2836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Next.js + Fastify + SQL Server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Validada para implementación</w:t>
            </w:r>
          </w:p>
        </w:tc>
      </w:tr>
    </w:tbl>
    <w:p>
      <w:pPr>
        <w:spacing w:after="20"/>
      </w:pPr>
    </w:p>
    <w:p>
      <w:pPr>
        <w:spacing w:after="1600"/>
      </w:pPr>
    </w:p>
    <w:p>
      <w:pPr>
        <w:spacing w:after="160"/>
        <w:jc w:val="center"/>
      </w:pPr>
      <w:r>
        <w:rPr>
          <w:b/>
          <w:color w:val="079551"/>
          <w:sz w:val="21"/>
        </w:rPr>
        <w:t>Sin autenticación de ChatGPT • Sin datos demostrativos • Solo lectura</w:t>
      </w:r>
    </w:p>
    <w:p>
      <w:pPr>
        <w:jc w:val="center"/>
      </w:pPr>
      <w:r>
        <w:rPr>
          <w:color w:val="657389"/>
          <w:sz w:val="20"/>
        </w:rPr>
        <w:t>Agosto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Propósito y alcance</w:t>
      </w:r>
    </w:p>
    <w:p>
      <w:pPr>
        <w:pStyle w:val="ListBullet"/>
      </w:pPr>
      <w:r>
        <w:t>2. Arquitectura general</w:t>
      </w:r>
    </w:p>
    <w:p>
      <w:pPr>
        <w:pStyle w:val="ListBullet"/>
      </w:pPr>
      <w:r>
        <w:t>3. Requisitos e instalación</w:t>
      </w:r>
    </w:p>
    <w:p>
      <w:pPr>
        <w:pStyle w:val="ListBullet"/>
      </w:pPr>
      <w:r>
        <w:t>4. Implementación en SQL Server</w:t>
      </w:r>
    </w:p>
    <w:p>
      <w:pPr>
        <w:pStyle w:val="ListBullet"/>
      </w:pPr>
      <w:r>
        <w:t>5. Configuración del backend</w:t>
      </w:r>
    </w:p>
    <w:p>
      <w:pPr>
        <w:pStyle w:val="ListBullet"/>
      </w:pPr>
      <w:r>
        <w:t>6. API y detalle de cada llamada</w:t>
      </w:r>
    </w:p>
    <w:p>
      <w:pPr>
        <w:pStyle w:val="ListBullet"/>
      </w:pPr>
      <w:r>
        <w:t>7. Flujo de actualización de datos</w:t>
      </w:r>
    </w:p>
    <w:p>
      <w:pPr>
        <w:pStyle w:val="ListBullet"/>
      </w:pPr>
      <w:r>
        <w:t>8. Frontend y modificación visual</w:t>
      </w:r>
    </w:p>
    <w:p>
      <w:pPr>
        <w:pStyle w:val="ListBullet"/>
      </w:pPr>
      <w:r>
        <w:t>9. Métricas y reglas de negocio</w:t>
      </w:r>
    </w:p>
    <w:p>
      <w:pPr>
        <w:pStyle w:val="ListBullet"/>
      </w:pPr>
      <w:r>
        <w:t>10. Ejecución, pruebas y compilación</w:t>
      </w:r>
    </w:p>
    <w:p>
      <w:pPr>
        <w:pStyle w:val="ListBullet"/>
      </w:pPr>
      <w:r>
        <w:t>11. Despliegue</w:t>
      </w:r>
    </w:p>
    <w:p>
      <w:pPr>
        <w:pStyle w:val="ListBullet"/>
      </w:pPr>
      <w:r>
        <w:t>12. Seguridad y permisos</w:t>
      </w:r>
    </w:p>
    <w:p>
      <w:pPr>
        <w:pStyle w:val="ListBullet"/>
      </w:pPr>
      <w:r>
        <w:t>13. Diagnóstico de errores</w:t>
      </w:r>
    </w:p>
    <w:p>
      <w:pPr>
        <w:pStyle w:val="ListBullet"/>
      </w:pPr>
      <w:r>
        <w:t>14. Mantenimiento y extensiones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32"/>
      </w:tblGrid>
      <w:tr>
        <w:trPr>
          <w:cantSplit/>
        </w:trPr>
        <w:tc>
          <w:tcPr>
            <w:tcW w:type="dxa" w:w="9532"/>
            <w:tcMar>
              <w:top w:w="80" w:type="dxa"/>
              <w:start w:w="120" w:type="dxa"/>
              <w:bottom w:w="80" w:type="dxa"/>
              <w:end w:w="120" w:type="dxa"/>
            </w:tcMar>
            <w:shd w:fill="EAF8ED"/>
          </w:tcPr>
          <w:p>
            <w:pPr>
              <w:spacing w:after="0"/>
            </w:pPr>
            <w:r>
              <w:rPr>
                <w:b/>
                <w:color w:val="079551"/>
              </w:rPr>
              <w:t xml:space="preserve">Lectura recomendada: </w:t>
            </w:r>
            <w:r>
              <w:t>Para una primera implementación, siga las secciones 3, 4, 5 y 10 en orden. Para cambios visuales, consulte la sección 8.</w:t>
            </w:r>
          </w:p>
        </w:tc>
      </w:tr>
    </w:tbl>
    <w:p>
      <w:pPr>
        <w:spacing w:after="20"/>
      </w:pPr>
    </w:p>
    <w:p>
      <w:pPr>
        <w:pStyle w:val="Heading1"/>
      </w:pPr>
      <w:r>
        <w:t>1. Propósito y alcance</w:t>
      </w:r>
    </w:p>
    <w:p>
      <w:r>
        <w:t>BGW720 Reflash Analytics es un dashboard web para consultar en vivo el desempeño del proceso de reflash. La aplicación lee datos de SQL Server al aplicar un rango de fechas y presenta producción total, First Test Yield (FTY), Last Test Yield (LTY), fallas finales, tendencia diaria, fallas por estación y razones de fallo.</w:t>
      </w:r>
    </w:p>
    <w:p>
      <w:r>
        <w:t>La V4 se entrega como un solo repositorio con dos aplicaciones coordinadas: frontend y backend. No depende de ChatGPT, no solicita inicio de sesión y no reemplaza errores de conexión con datos simulados.</w:t>
      </w:r>
    </w:p>
    <w:p>
      <w:pPr>
        <w:pStyle w:val="Heading2"/>
      </w:pPr>
      <w:r>
        <w:t>Alcance funcional</w:t>
      </w:r>
    </w:p>
    <w:p>
      <w:pPr>
        <w:pStyle w:val="ListBullet"/>
      </w:pPr>
      <w:r>
        <w:t>Consulta parametrizada por fecha; ambas fechas son inclusivas para el usuario.</w:t>
      </w:r>
    </w:p>
    <w:p>
      <w:pPr>
        <w:pStyle w:val="ListBullet"/>
      </w:pPr>
      <w:r>
        <w:t>KPIs calculados a partir de registros diarios devueltos por SQL Server.</w:t>
      </w:r>
    </w:p>
    <w:p>
      <w:pPr>
        <w:pStyle w:val="ListBullet"/>
      </w:pPr>
      <w:r>
        <w:t>Clasificación por última prueba de cada serial para estaciones y razones de fallo.</w:t>
      </w:r>
    </w:p>
    <w:p>
      <w:pPr>
        <w:pStyle w:val="ListBullet"/>
      </w:pPr>
      <w:r>
        <w:t>Actualización bajo demanda, sin dataset importado ni refresh programado.</w:t>
      </w:r>
    </w:p>
    <w:p>
      <w:pPr>
        <w:pStyle w:val="ListBullet"/>
      </w:pPr>
      <w:r>
        <w:t>Diseño responsive para laptop, tablet y teléfono.</w:t>
      </w:r>
    </w:p>
    <w:p>
      <w:pPr>
        <w:pStyle w:val="ListBullet"/>
      </w:pPr>
      <w:r>
        <w:t>API de solo lectura; el navegador nunca envía SQL al servidor.</w:t>
      </w:r>
    </w:p>
    <w:p>
      <w:pPr>
        <w:pStyle w:val="Heading1"/>
      </w:pPr>
      <w:r>
        <w:t>2. Arquitectura general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24"/>
        <w:gridCol w:w="4708"/>
      </w:tblGrid>
      <w:tr>
        <w:trPr>
          <w:tblHeader w:val="true"/>
        </w:trPr>
        <w:tc>
          <w:tcPr>
            <w:tcW w:type="dxa" w:w="1800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024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70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SQL Server</w:t>
            </w:r>
          </w:p>
        </w:tc>
        <w:tc>
          <w:tcPr>
            <w:tcW w:type="dxa" w:w="4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Tabla fuente, vistas, agregación y procedimientos.</w:t>
            </w:r>
          </w:p>
        </w:tc>
      </w:tr>
      <w:tr>
        <w:tc>
          <w:tcPr>
            <w:tcW w:type="dxa" w:w="18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302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Node.js, Fastify, TypeScript, mssql</w:t>
            </w:r>
          </w:p>
        </w:tc>
        <w:tc>
          <w:tcPr>
            <w:tcW w:type="dxa" w:w="470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 fechas, ejecuta consultas aprobadas y devuelve JSON.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Next.js, React, TypeScript, CSS</w:t>
            </w:r>
          </w:p>
        </w:tc>
        <w:tc>
          <w:tcPr>
            <w:tcW w:type="dxa" w:w="47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Solicita datos, calcula KPIs agregados y renderiza la interfaz.</w:t>
            </w:r>
          </w:p>
        </w:tc>
      </w:tr>
      <w:tr>
        <w:tc>
          <w:tcPr>
            <w:tcW w:type="dxa" w:w="18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Navegador</w:t>
            </w:r>
          </w:p>
        </w:tc>
        <w:tc>
          <w:tcPr>
            <w:tcW w:type="dxa" w:w="302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HTTP</w:t>
            </w:r>
          </w:p>
        </w:tc>
        <w:tc>
          <w:tcPr>
            <w:tcW w:type="dxa" w:w="470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Envía GET por rango y muestra estados connecting/live/offline.</w:t>
            </w:r>
          </w:p>
        </w:tc>
      </w:tr>
    </w:tbl>
    <w:p>
      <w:pPr>
        <w:spacing w:after="20"/>
      </w:pPr>
    </w:p>
    <w:p>
      <w:pPr>
        <w:pStyle w:val="Heading2"/>
      </w:pPr>
      <w:r>
        <w:t>Flujo de una solicitud</w:t>
      </w:r>
    </w:p>
    <w:p>
      <w:pPr>
        <w:pStyle w:val="ListNumber"/>
        <w:numPr>
          <w:numId w:val="10"/>
        </w:numPr>
      </w:pPr>
      <w:r>
        <w:t>El usuario selecciona From y To en el frontend.</w:t>
      </w:r>
    </w:p>
    <w:p>
      <w:pPr>
        <w:pStyle w:val="ListNumber"/>
        <w:numPr>
          <w:numId w:val="10"/>
        </w:numPr>
      </w:pPr>
      <w:r>
        <w:t>React actualiza appliedRange y dispara tres llamadas GET en paralelo.</w:t>
      </w:r>
    </w:p>
    <w:p>
      <w:pPr>
        <w:pStyle w:val="ListNumber"/>
        <w:numPr>
          <w:numId w:val="10"/>
        </w:numPr>
      </w:pPr>
      <w:r>
        <w:t>Fastify valida que las fechas tengan formato YYYY-MM-DD y que StartDate no sea posterior a EndDate.</w:t>
      </w:r>
    </w:p>
    <w:p>
      <w:pPr>
        <w:pStyle w:val="ListNumber"/>
        <w:numPr>
          <w:numId w:val="10"/>
        </w:numPr>
      </w:pPr>
      <w:r>
        <w:t>El servicio usa parámetros sql.Date y ejecuta procedimientos o una consulta fija.</w:t>
      </w:r>
    </w:p>
    <w:p>
      <w:pPr>
        <w:pStyle w:val="ListNumber"/>
        <w:numPr>
          <w:numId w:val="10"/>
        </w:numPr>
      </w:pPr>
      <w:r>
        <w:t>SQL Server procesa TblBGW720Reflash mediante las vistas y devuelve recordsets.</w:t>
      </w:r>
    </w:p>
    <w:p>
      <w:pPr>
        <w:pStyle w:val="ListNumber"/>
        <w:numPr>
          <w:numId w:val="10"/>
        </w:numPr>
      </w:pPr>
      <w:r>
        <w:t>El backend serializa los recordsets como JSON y el frontend actualiza todos los visuales.</w:t>
      </w:r>
    </w:p>
    <w:p>
      <w:pPr>
        <w:pStyle w:val="CodeBlock"/>
        <w:shd w:fill="F1F5F2"/>
      </w:pPr>
      <w:r>
        <w:t>Browser :5173  →  Fastify API :3000  →  SQL Server</w:t>
        <w:br/>
        <w:t xml:space="preserve">                 ←       JSON rows       ←</w:t>
      </w:r>
    </w:p>
    <w:p>
      <w:pPr>
        <w:pStyle w:val="Heading2"/>
      </w:pPr>
      <w:r>
        <w:t>Estructura del repositorio</w:t>
      </w:r>
    </w:p>
    <w:p>
      <w:pPr>
        <w:pStyle w:val="CodeBlock"/>
        <w:shd w:fill="F1F5F2"/>
      </w:pPr>
      <w:r>
        <w:t>test-analytics-dashboard-v4/</w:t>
        <w:br/>
        <w:t>├── backend/</w:t>
        <w:br/>
        <w:t>│   ├── database/</w:t>
        <w:br/>
        <w:t>│   └── src/{config,routes,services}/</w:t>
        <w:br/>
        <w:t>├── frontend/</w:t>
        <w:br/>
        <w:t>│   ├── app/</w:t>
        <w:br/>
        <w:t>│   ├── components/</w:t>
        <w:br/>
        <w:t>│   ├── lib/</w:t>
        <w:br/>
        <w:t>│   └── types/</w:t>
        <w:br/>
        <w:t>├── scripts/dev.mjs</w:t>
        <w:br/>
        <w:t>└── package.json</w:t>
      </w:r>
    </w:p>
    <w:p>
      <w:pPr>
        <w:pStyle w:val="Heading1"/>
      </w:pPr>
      <w:r>
        <w:t>3. Requisitos e instalación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92"/>
        <w:gridCol w:w="3240"/>
      </w:tblGrid>
      <w:tr>
        <w:trPr>
          <w:tblHeader w:val="true"/>
        </w:trPr>
        <w:tc>
          <w:tcPr>
            <w:tcW w:type="dxa" w:w="1800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492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Versión/condición</w:t>
            </w:r>
          </w:p>
        </w:tc>
        <w:tc>
          <w:tcPr>
            <w:tcW w:type="dxa" w:w="3240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Node.js</w:t>
            </w:r>
          </w:p>
        </w:tc>
        <w:tc>
          <w:tcPr>
            <w:tcW w:type="dxa" w:w="4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20.9 o superior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node --version</w:t>
            </w:r>
          </w:p>
        </w:tc>
      </w:tr>
      <w:tr>
        <w:tc>
          <w:tcPr>
            <w:tcW w:type="dxa" w:w="18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npm</w:t>
            </w:r>
          </w:p>
        </w:tc>
        <w:tc>
          <w:tcPr>
            <w:tcW w:type="dxa" w:w="449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Incluido con Node.js</w:t>
            </w:r>
          </w:p>
        </w:tc>
        <w:tc>
          <w:tcPr>
            <w:tcW w:type="dxa" w:w="324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npm --version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SQL Server</w:t>
            </w:r>
          </w:p>
        </w:tc>
        <w:tc>
          <w:tcPr>
            <w:tcW w:type="dxa" w:w="4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Acceso a la base que contiene TblBGW720Reflash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Conectar desde SSMS</w:t>
            </w:r>
          </w:p>
        </w:tc>
      </w:tr>
      <w:tr>
        <w:tc>
          <w:tcPr>
            <w:tcW w:type="dxa" w:w="18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Red/VPN</w:t>
            </w:r>
          </w:p>
        </w:tc>
        <w:tc>
          <w:tcPr>
            <w:tcW w:type="dxa" w:w="449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Acceso al host y puerto SQL</w:t>
            </w:r>
          </w:p>
        </w:tc>
        <w:tc>
          <w:tcPr>
            <w:tcW w:type="dxa" w:w="324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Test-NetConnection servidor -Port 1433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SSMS</w:t>
            </w:r>
          </w:p>
        </w:tc>
        <w:tc>
          <w:tcPr>
            <w:tcW w:type="dxa" w:w="4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Recomendado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los cuatro scripts numerados</w:t>
            </w:r>
          </w:p>
        </w:tc>
      </w:tr>
    </w:tbl>
    <w:p>
      <w:pPr>
        <w:spacing w:after="20"/>
      </w:pPr>
    </w:p>
    <w:p>
      <w:pPr>
        <w:pStyle w:val="Heading2"/>
      </w:pPr>
      <w:r>
        <w:t>Instalación inicial en Windows</w:t>
      </w:r>
    </w:p>
    <w:p>
      <w:pPr>
        <w:pStyle w:val="ListNumber"/>
        <w:numPr>
          <w:numId w:val="11"/>
        </w:numPr>
      </w:pPr>
      <w:r>
        <w:t>Descomprima el ZIP en una ruta corta, por ejemplo C:\Projects\test-analytics-dashboard-v4.</w:t>
      </w:r>
    </w:p>
    <w:p>
      <w:pPr>
        <w:pStyle w:val="ListNumber"/>
        <w:numPr>
          <w:numId w:val="11"/>
        </w:numPr>
      </w:pPr>
      <w:r>
        <w:t>Abra la carpeta raíz en Visual Studio Code.</w:t>
      </w:r>
    </w:p>
    <w:p>
      <w:pPr>
        <w:pStyle w:val="ListNumber"/>
        <w:numPr>
          <w:numId w:val="11"/>
        </w:numPr>
      </w:pPr>
      <w:r>
        <w:t>Cree backend/.env a partir de backend/.env.example.</w:t>
      </w:r>
    </w:p>
    <w:p>
      <w:pPr>
        <w:pStyle w:val="ListNumber"/>
        <w:numPr>
          <w:numId w:val="11"/>
        </w:numPr>
      </w:pPr>
      <w:r>
        <w:t>Ejecute los objetos de base de datos en el orden indicado en la sección 4.</w:t>
      </w:r>
    </w:p>
    <w:p>
      <w:pPr>
        <w:pStyle w:val="ListNumber"/>
        <w:numPr>
          <w:numId w:val="11"/>
        </w:numPr>
      </w:pPr>
      <w:r>
        <w:t>En la terminal raíz ejecute npm run setup.</w:t>
      </w:r>
    </w:p>
    <w:p>
      <w:pPr>
        <w:pStyle w:val="ListNumber"/>
        <w:numPr>
          <w:numId w:val="11"/>
        </w:numPr>
      </w:pPr>
      <w:r>
        <w:t>Ejecute npm run dev y abra http://localhost:5173.</w:t>
      </w:r>
    </w:p>
    <w:p>
      <w:pPr>
        <w:pStyle w:val="CodeBlock"/>
        <w:shd w:fill="F1F5F2"/>
      </w:pPr>
      <w:r>
        <w:t>Copy-Item backend/.env.example backend/.env</w:t>
        <w:br/>
        <w:t>npm run setup</w:t>
        <w:br/>
        <w:t>npm run dev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32"/>
      </w:tblGrid>
      <w:tr>
        <w:trPr>
          <w:cantSplit/>
        </w:trPr>
        <w:tc>
          <w:tcPr>
            <w:tcW w:type="dxa" w:w="9532"/>
            <w:tcMar>
              <w:top w:w="80" w:type="dxa"/>
              <w:start w:w="120" w:type="dxa"/>
              <w:bottom w:w="80" w:type="dxa"/>
              <w:end w:w="120" w:type="dxa"/>
            </w:tcMar>
            <w:shd w:fill="FFF7E5"/>
          </w:tcPr>
          <w:p>
            <w:pPr>
              <w:spacing w:after="0"/>
            </w:pPr>
            <w:r>
              <w:rPr>
                <w:b/>
                <w:color w:val="B59525"/>
              </w:rPr>
              <w:t xml:space="preserve">Node 24 en Windows: </w:t>
            </w:r>
            <w:r>
              <w:t>La V4 usa cmd.exe para iniciar npm en Windows y evita el error spawn EINVAL observado al ejecutar npm.cmd directamente.</w:t>
            </w:r>
          </w:p>
        </w:tc>
      </w:tr>
    </w:tbl>
    <w:p>
      <w:pPr>
        <w:spacing w:after="20"/>
      </w:pPr>
    </w:p>
    <w:p>
      <w:pPr>
        <w:pStyle w:val="Heading1"/>
      </w:pPr>
      <w:r>
        <w:t>4. Implementación en SQL Server</w:t>
      </w:r>
    </w:p>
    <w:p>
      <w:r>
        <w:t>Seleccione en SSMS la base que contiene dbo.TblBGW720Reflash y ejecute: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5688"/>
        <w:gridCol w:w="3052"/>
      </w:tblGrid>
      <w:tr>
        <w:trPr>
          <w:tblHeader w:val="true"/>
        </w:trPr>
        <w:tc>
          <w:tcPr>
            <w:tcW w:type="dxa" w:w="792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type="dxa" w:w="568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052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Objeto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database/views/01_vw_BGW720ReflashTestResults.sql</w:t>
            </w:r>
          </w:p>
        </w:tc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vw_BGW720ReflashTestResults</w:t>
            </w:r>
          </w:p>
        </w:tc>
      </w:tr>
      <w:tr>
        <w:tc>
          <w:tcPr>
            <w:tcW w:type="dxa" w:w="79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6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database/views/02_vw_BGW720ReflashTestSummary.sql</w:t>
            </w:r>
          </w:p>
        </w:tc>
        <w:tc>
          <w:tcPr>
            <w:tcW w:type="dxa" w:w="305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vw_BGW720ReflashTestSummary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database/procedures/01_sp_BGW720GetTestSummary.sql</w:t>
            </w:r>
          </w:p>
        </w:tc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sp_BGW720GetTestSummary</w:t>
            </w:r>
          </w:p>
        </w:tc>
      </w:tr>
      <w:tr>
        <w:tc>
          <w:tcPr>
            <w:tcW w:type="dxa" w:w="79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6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database/procedures/02_sp_BGW720GetFailuresByStation.sql</w:t>
            </w:r>
          </w:p>
        </w:tc>
        <w:tc>
          <w:tcPr>
            <w:tcW w:type="dxa" w:w="305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sp_BGW720GetFailuresByStation</w:t>
            </w:r>
          </w:p>
        </w:tc>
      </w:tr>
    </w:tbl>
    <w:p>
      <w:pPr>
        <w:spacing w:after="20"/>
      </w:pPr>
    </w:p>
    <w:p>
      <w:pPr>
        <w:pStyle w:val="Heading2"/>
      </w:pPr>
      <w:r>
        <w:t>Qué hace cada objeto</w:t>
      </w:r>
    </w:p>
    <w:p>
      <w:pPr>
        <w:pStyle w:val="Heading3"/>
      </w:pPr>
      <w:r>
        <w:t>vw_BGW720ReflashTestResults</w:t>
      </w:r>
    </w:p>
    <w:p>
      <w:r>
        <w:t>Expone las columnas aprobadas de TblBGW720Reflash y elimina filas con SN nulo. Es la fuente de fallas por estación y razones de fallo.</w:t>
      </w:r>
    </w:p>
    <w:p>
      <w:pPr>
        <w:pStyle w:val="Heading3"/>
      </w:pPr>
      <w:r>
        <w:t>vw_BGW720ReflashTestSummary</w:t>
      </w:r>
    </w:p>
    <w:p>
      <w:r>
        <w:t>Ordena todas las pruebas por serial en ambos sentidos. rn_asc = 1 identifica la primera prueba y rn_desc = 1 la última. Esto resuelve correctamente seriales con una sola prueba, que son simultáneamente FIRST y LAST. Luego agrupa por fecha de primera prueba.</w:t>
      </w:r>
    </w:p>
    <w:p>
      <w:pPr>
        <w:pStyle w:val="Heading3"/>
      </w:pPr>
      <w:r>
        <w:t>sp_BGW720GetTestSummary</w:t>
      </w:r>
    </w:p>
    <w:p>
      <w:r>
        <w:t>Filtra la vista resumen por fecha y devuelve las filas ordenadas ascendentemente. StartDate y EndDate se reciben como DATE.</w:t>
      </w:r>
    </w:p>
    <w:p>
      <w:pPr>
        <w:pStyle w:val="Heading3"/>
      </w:pPr>
      <w:r>
        <w:t>sp_BGW720GetFailuresByStation</w:t>
      </w:r>
    </w:p>
    <w:p>
      <w:r>
        <w:t>Dentro del rango seleccionado, conserva la prueba más reciente de cada SN. Solo cuenta el serial si esa prueba es FAIL y agrupa por ComputerID.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32"/>
      </w:tblGrid>
      <w:tr>
        <w:trPr>
          <w:cantSplit/>
        </w:trPr>
        <w:tc>
          <w:tcPr>
            <w:tcW w:type="dxa" w:w="9532"/>
            <w:tcMar>
              <w:top w:w="80" w:type="dxa"/>
              <w:start w:w="120" w:type="dxa"/>
              <w:bottom w:w="80" w:type="dxa"/>
              <w:end w:w="120" w:type="dxa"/>
            </w:tcMar>
            <w:shd w:fill="EAF8ED"/>
          </w:tcPr>
          <w:p>
            <w:pPr>
              <w:spacing w:after="0"/>
            </w:pPr>
            <w:r>
              <w:rPr>
                <w:b/>
                <w:color w:val="079551"/>
              </w:rPr>
              <w:t xml:space="preserve">Idempotencia: </w:t>
            </w:r>
            <w:r>
              <w:t>Todos los scripts usan CREATE OR ALTER. Se pueden volver a ejecutar para instalar o actualizar los objetos sin eliminarlos previamente.</w:t>
            </w:r>
          </w:p>
        </w:tc>
      </w:tr>
    </w:tbl>
    <w:p>
      <w:pPr>
        <w:spacing w:after="20"/>
      </w:pPr>
    </w:p>
    <w:p>
      <w:pPr>
        <w:pStyle w:val="Heading2"/>
      </w:pPr>
      <w:r>
        <w:t>Prueba en SSMS</w:t>
      </w:r>
    </w:p>
    <w:p>
      <w:pPr>
        <w:pStyle w:val="CodeBlock"/>
        <w:shd w:fill="F1F5F2"/>
      </w:pPr>
      <w:r>
        <w:t>EXEC dbo.sp_BGW720GetTestSummary</w:t>
        <w:br/>
        <w:t xml:space="preserve">  @StartDate = '2026-08-01', @EndDate = '2026-08-24';</w:t>
        <w:br/>
        <w:br/>
        <w:t>EXEC dbo.sp_BGW720GetFailuresByStation</w:t>
        <w:br/>
        <w:t xml:space="preserve">  @StartDate = '2026-08-01', @EndDate = '2026-08-24';</w:t>
      </w:r>
    </w:p>
    <w:p>
      <w:pPr>
        <w:pStyle w:val="Heading1"/>
      </w:pPr>
      <w:r>
        <w:t>5. Configuración del backend</w:t>
      </w:r>
    </w:p>
    <w:p>
      <w:pPr>
        <w:pStyle w:val="CodeBlock"/>
        <w:shd w:fill="F1F5F2"/>
      </w:pPr>
      <w:r>
        <w:t>PORT=3000</w:t>
        <w:br/>
        <w:t>NODE_ENV=development</w:t>
        <w:br/>
        <w:t>DB_SERVER=SERVER_OR_IP</w:t>
        <w:br/>
        <w:t>DB_PORT=1433</w:t>
        <w:br/>
        <w:t>DB_DATABASE=DATABASE_NAME</w:t>
        <w:br/>
        <w:t>DB_USER=SQL_USER</w:t>
        <w:br/>
        <w:t>DB_PASSWORD=SQL_PASSWORD</w:t>
        <w:br/>
        <w:t>DB_ENCRYPT=true</w:t>
        <w:br/>
        <w:t>DB_TRUST_SERVER_CERTIFICATE=true</w:t>
        <w:br/>
        <w:t>DB_POOL_MAX=10</w:t>
        <w:br/>
        <w:t>DB_POOL_MIN=0</w:t>
        <w:br/>
        <w:t>DB_POOL_IDLE_TIMEOUT=30000</w:t>
        <w:br/>
        <w:t>CORS_ORIGIN=http://localhost:5173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364"/>
      </w:tblGrid>
      <w:tr>
        <w:trPr>
          <w:tblHeader w:val="true"/>
        </w:trPr>
        <w:tc>
          <w:tcPr>
            <w:tcW w:type="dxa" w:w="316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364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DB_SERVER / DB_PORT</w:t>
            </w:r>
          </w:p>
        </w:tc>
        <w:tc>
          <w:tcPr>
            <w:tcW w:type="dxa" w:w="6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Host e instancia accesible de SQL Server.</w:t>
            </w:r>
          </w:p>
        </w:tc>
      </w:tr>
      <w:tr>
        <w:tc>
          <w:tcPr>
            <w:tcW w:type="dxa" w:w="316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DB_DATABASE</w:t>
            </w:r>
          </w:p>
        </w:tc>
        <w:tc>
          <w:tcPr>
            <w:tcW w:type="dxa" w:w="636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donde están la tabla, vistas y procedimientos.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DB_USER / DB_PASSWORD</w:t>
            </w:r>
          </w:p>
        </w:tc>
        <w:tc>
          <w:tcPr>
            <w:tcW w:type="dxa" w:w="6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Credenciales SQL; nunca deben subirse a Git.</w:t>
            </w:r>
          </w:p>
        </w:tc>
      </w:tr>
      <w:tr>
        <w:tc>
          <w:tcPr>
            <w:tcW w:type="dxa" w:w="316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DB_ENCRYPT</w:t>
            </w:r>
          </w:p>
        </w:tc>
        <w:tc>
          <w:tcPr>
            <w:tcW w:type="dxa" w:w="636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Activa cifrado de la conexión.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DB_TRUST_SERVER_CERTIFICATE</w:t>
            </w:r>
          </w:p>
        </w:tc>
        <w:tc>
          <w:tcPr>
            <w:tcW w:type="dxa" w:w="6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Útil en desarrollo con certificado interno; validar política en producción.</w:t>
            </w:r>
          </w:p>
        </w:tc>
      </w:tr>
      <w:tr>
        <w:tc>
          <w:tcPr>
            <w:tcW w:type="dxa" w:w="316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DB_POOL_*</w:t>
            </w:r>
          </w:p>
        </w:tc>
        <w:tc>
          <w:tcPr>
            <w:tcW w:type="dxa" w:w="636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Controla tamaño y tiempo de inactividad del pool.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CORS_ORIGIN</w:t>
            </w:r>
          </w:p>
        </w:tc>
        <w:tc>
          <w:tcPr>
            <w:tcW w:type="dxa" w:w="6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Único origen del frontend autorizado para llamar el API.</w:t>
            </w:r>
          </w:p>
        </w:tc>
      </w:tr>
    </w:tbl>
    <w:p>
      <w:pPr>
        <w:spacing w:after="20"/>
      </w:pPr>
    </w:p>
    <w:p>
      <w:pPr>
        <w:pStyle w:val="Heading2"/>
      </w:pPr>
      <w:r>
        <w:t>Pool de conexiones</w:t>
      </w:r>
    </w:p>
    <w:p>
      <w:r>
        <w:t>getDbPool() crea una única promesa de conexión y la reutiliza entre solicitudes. Si la conexión inicial falla, se limpia la promesa para permitir un nuevo intento posterior. No se crea una conexión nueva para cada endpoint.</w:t>
      </w:r>
    </w:p>
    <w:p>
      <w:pPr>
        <w:pStyle w:val="Heading1"/>
      </w:pPr>
      <w:r>
        <w:t>6. API y detalle de cada llamada</w:t>
      </w:r>
    </w:p>
    <w:p>
      <w:r>
        <w:t>Los endpoints de datos requieren startDate y endDate en formato YYYY-MM-DD. Un rango inválido responde HTTP 400. Una excepción no controlada de SQL Server responde HTTP 500 mediante Fastify.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48"/>
        <w:gridCol w:w="2664"/>
        <w:gridCol w:w="2620"/>
      </w:tblGrid>
      <w:tr>
        <w:trPr>
          <w:tblHeader w:val="true"/>
        </w:trPr>
        <w:tc>
          <w:tcPr>
            <w:tcW w:type="dxa" w:w="424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2664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620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Uso visual</w:t>
            </w:r>
          </w:p>
        </w:tc>
      </w:tr>
      <w:tr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/health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Servidor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Disponibilidad del proceso API.</w:t>
            </w:r>
          </w:p>
        </w:tc>
      </w:tr>
      <w:tr>
        <w:tc>
          <w:tcPr>
            <w:tcW w:type="dxa" w:w="424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/health/db</w:t>
            </w:r>
          </w:p>
        </w:tc>
        <w:tc>
          <w:tcPr>
            <w:tcW w:type="dxa" w:w="266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 1</w:t>
            </w:r>
          </w:p>
        </w:tc>
        <w:tc>
          <w:tcPr>
            <w:tcW w:type="dxa" w:w="262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Disponibilidad real de SQL Server.</w:t>
            </w:r>
          </w:p>
        </w:tc>
      </w:tr>
      <w:tr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/api/dashboard/summary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sp_BGW720GetTestSummary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KPIs, tendencia y tabla diaria.</w:t>
            </w:r>
          </w:p>
        </w:tc>
      </w:tr>
      <w:tr>
        <w:tc>
          <w:tcPr>
            <w:tcW w:type="dxa" w:w="424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/api/dashboard/failures-by-station</w:t>
            </w:r>
          </w:p>
        </w:tc>
        <w:tc>
          <w:tcPr>
            <w:tcW w:type="dxa" w:w="266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sp_BGW720GetFailuresByStation</w:t>
            </w:r>
          </w:p>
        </w:tc>
        <w:tc>
          <w:tcPr>
            <w:tcW w:type="dxa" w:w="262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Ranking y barras por estación.</w:t>
            </w:r>
          </w:p>
        </w:tc>
      </w:tr>
      <w:tr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/api/dashboard/failure-reasons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 fija parametrizada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Top cinco razones.</w:t>
            </w:r>
          </w:p>
        </w:tc>
      </w:tr>
      <w:tr>
        <w:tc>
          <w:tcPr>
            <w:tcW w:type="dxa" w:w="424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/api/dashboard/trend</w:t>
            </w:r>
          </w:p>
        </w:tc>
        <w:tc>
          <w:tcPr>
            <w:tcW w:type="dxa" w:w="266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sp_BGW720GetTestSummary</w:t>
            </w:r>
          </w:p>
        </w:tc>
        <w:tc>
          <w:tcPr>
            <w:tcW w:type="dxa" w:w="262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reutilizable; el frontend actual usa summary.</w:t>
            </w:r>
          </w:p>
        </w:tc>
      </w:tr>
    </w:tbl>
    <w:p>
      <w:pPr>
        <w:spacing w:after="20"/>
      </w:pPr>
    </w:p>
    <w:p>
      <w:pPr>
        <w:pStyle w:val="Heading2"/>
      </w:pPr>
      <w:r>
        <w:t>Llamadas realizadas por el frontend</w:t>
      </w:r>
    </w:p>
    <w:p>
      <w:pPr>
        <w:pStyle w:val="CodeBlock"/>
        <w:shd w:fill="F1F5F2"/>
      </w:pPr>
      <w:r>
        <w:t>Promise.all([</w:t>
        <w:br/>
        <w:t xml:space="preserve">  GET /api/dashboard/summary?startDate=...&amp;endDate=...,</w:t>
        <w:br/>
        <w:t xml:space="preserve">  GET /api/dashboard/failures-by-station?startDate=...&amp;endDate=...,</w:t>
        <w:br/>
        <w:t xml:space="preserve">  GET /api/dashboard/failure-reasons?startDate=...&amp;endDate=...</w:t>
        <w:br/>
        <w:t>])</w:t>
      </w:r>
    </w:p>
    <w:p>
      <w:r>
        <w:t>Promise.all inicia las tres llamadas juntas. El dashboard se actualiza solo cuando las tres terminan correctamente, de modo que todos los visuales correspondan al mismo rango.</w:t>
      </w:r>
    </w:p>
    <w:p>
      <w:pPr>
        <w:pStyle w:val="Heading2"/>
      </w:pPr>
      <w:r>
        <w:t>Contratos de respuesta</w:t>
      </w:r>
    </w:p>
    <w:p>
      <w:pPr>
        <w:pStyle w:val="CodeBlock"/>
        <w:shd w:fill="F1F5F2"/>
      </w:pPr>
      <w:r>
        <w:t>SummaryRow: { TestDate, Total, FT_Pass, FT_Fail, FT_Yield, LT_Pass, LT_Fail, LT_Yield }</w:t>
        <w:br/>
        <w:t>StationRow: { Station, Failures }</w:t>
        <w:br/>
        <w:t>ReasonRow:  { FailureReason, Failures }</w:t>
      </w:r>
    </w:p>
    <w:p>
      <w:pPr>
        <w:pStyle w:val="Heading2"/>
      </w:pPr>
      <w:r>
        <w:t>Consulta de razones de fallo</w:t>
      </w:r>
    </w:p>
    <w:p>
      <w:r>
        <w:t>Esta consulta no acepta SQL enviado desde el navegador. El texto SQL está fijo en dashboardService.ts y solo StartDate/EndDate son parámetros sql.Date. Dentro del rango, ROW_NUMBER selecciona la última prueba por SN; solo los últimos resultados FAIL se agrupan por descripción, código o Unknown.</w:t>
      </w:r>
    </w:p>
    <w:p>
      <w:pPr>
        <w:pStyle w:val="Heading1"/>
      </w:pPr>
      <w:r>
        <w:t>7. Flujo de actualización de datos</w:t>
      </w:r>
    </w:p>
    <w:p>
      <w:r>
        <w:t>La V4 trabaja en modo live bajo demanda. No copia datos a archivos locales, no importa un dataset y no mantiene caché de resultados.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212"/>
        <w:gridCol w:w="2376"/>
      </w:tblGrid>
      <w:tr>
        <w:trPr>
          <w:tblHeader w:val="true"/>
        </w:trPr>
        <w:tc>
          <w:tcPr>
            <w:tcW w:type="dxa" w:w="1944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5212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Qué ocurre</w:t>
            </w:r>
          </w:p>
        </w:tc>
        <w:tc>
          <w:tcPr>
            <w:tcW w:type="dxa" w:w="2376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Lectura SQL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Carga inicial</w:t>
            </w:r>
          </w:p>
        </w:tc>
        <w:tc>
          <w:tcPr>
            <w:tcW w:type="dxa" w:w="5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 aplica automáticamente el rango de los últimos 30 días.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 llamadas</w:t>
            </w:r>
          </w:p>
        </w:tc>
      </w:tr>
      <w:tr>
        <w:tc>
          <w:tcPr>
            <w:tcW w:type="dxa" w:w="19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Apply filters</w:t>
            </w:r>
          </w:p>
        </w:tc>
        <w:tc>
          <w:tcPr>
            <w:tcW w:type="dxa" w:w="521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 valida y aplica el rango escrito.</w:t>
            </w:r>
          </w:p>
        </w:tc>
        <w:tc>
          <w:tcPr>
            <w:tcW w:type="dxa" w:w="2376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 llamadas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7D / 30D / 90D</w:t>
            </w:r>
          </w:p>
        </w:tc>
        <w:tc>
          <w:tcPr>
            <w:tcW w:type="dxa" w:w="5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 calculan nuevas fechas y se aplican inmediatamente.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 llamadas</w:t>
            </w:r>
          </w:p>
        </w:tc>
      </w:tr>
      <w:tr>
        <w:tc>
          <w:tcPr>
            <w:tcW w:type="dxa" w:w="19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Cambio en SQL</w:t>
            </w:r>
          </w:p>
        </w:tc>
        <w:tc>
          <w:tcPr>
            <w:tcW w:type="dxa" w:w="5212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 hay push automático al navegador.</w:t>
            </w:r>
          </w:p>
        </w:tc>
        <w:tc>
          <w:tcPr>
            <w:tcW w:type="dxa" w:w="2376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Visible en la próxima consulta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Recarga del navegador</w:t>
            </w:r>
          </w:p>
        </w:tc>
        <w:tc>
          <w:tcPr>
            <w:tcW w:type="dxa" w:w="5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 vuelve a consultar el rango inicial.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 llamadas</w:t>
            </w:r>
          </w:p>
        </w:tc>
      </w:tr>
    </w:tbl>
    <w:p>
      <w:pPr>
        <w:spacing w:after="20"/>
      </w:pP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32"/>
      </w:tblGrid>
      <w:tr>
        <w:trPr>
          <w:cantSplit/>
        </w:trPr>
        <w:tc>
          <w:tcPr>
            <w:tcW w:type="dxa" w:w="9532"/>
            <w:tcMar>
              <w:top w:w="80" w:type="dxa"/>
              <w:start w:w="120" w:type="dxa"/>
              <w:bottom w:w="80" w:type="dxa"/>
              <w:end w:w="120" w:type="dxa"/>
            </w:tcMar>
            <w:shd w:fill="EAF8ED"/>
          </w:tcPr>
          <w:p>
            <w:pPr>
              <w:spacing w:after="0"/>
            </w:pPr>
            <w:r>
              <w:rPr>
                <w:b/>
                <w:color w:val="079551"/>
              </w:rPr>
              <w:t xml:space="preserve">Significado de live: </w:t>
            </w:r>
            <w:r>
              <w:t>Los resultados reflejan el estado de SQL Server al momento de cada solicitud. Live no significa streaming continuo ni polling automático.</w:t>
            </w:r>
          </w:p>
        </w:tc>
      </w:tr>
    </w:tbl>
    <w:p>
      <w:pPr>
        <w:spacing w:after="20"/>
      </w:pPr>
    </w:p>
    <w:p>
      <w:pPr>
        <w:pStyle w:val="Heading2"/>
      </w:pPr>
      <w:r>
        <w:t>Estados visuales</w:t>
      </w:r>
    </w:p>
    <w:p>
      <w:pPr>
        <w:pStyle w:val="ListBullet"/>
      </w:pPr>
      <w:r>
        <w:t>connecting: la solicitud está en progreso; los cards reducen temporalmente su opacidad.</w:t>
      </w:r>
    </w:p>
    <w:p>
      <w:pPr>
        <w:pStyle w:val="ListBullet"/>
      </w:pPr>
      <w:r>
        <w:t>live: las tres respuestas fueron exitosas y se muestra la hora de actualización.</w:t>
      </w:r>
    </w:p>
    <w:p>
      <w:pPr>
        <w:pStyle w:val="ListBullet"/>
      </w:pPr>
      <w:r>
        <w:t>offline: se limpian los datos y se muestra el error; nunca se presentan datos demo como si fueran reales.</w:t>
      </w:r>
    </w:p>
    <w:p>
      <w:pPr>
        <w:pStyle w:val="Heading1"/>
      </w:pPr>
      <w:r>
        <w:t>8. Frontend y modificación visual</w:t>
      </w:r>
    </w:p>
    <w:p>
      <w:r>
        <w:t>El frontend no usa un index.html tradicional. Next.js convierte los componentes TSX/JSX en HTML. Cada etiqueta article, section, table o svg que ve en los componentes termina renderizada como HTML real en el navegador.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788"/>
      </w:tblGrid>
      <w:tr>
        <w:trPr>
          <w:tblHeader w:val="true"/>
        </w:trPr>
        <w:tc>
          <w:tcPr>
            <w:tcW w:type="dxa" w:w="3744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78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Qué editar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app/page.tsx</w:t>
            </w:r>
          </w:p>
        </w:tc>
        <w:tc>
          <w:tcPr>
            <w:tcW w:type="dxa" w:w="5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Coordinación, carga, estado y composición de la página.</w:t>
            </w:r>
          </w:p>
        </w:tc>
      </w:tr>
      <w:tr>
        <w:tc>
          <w:tcPr>
            <w:tcW w:type="dxa" w:w="37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app/globals.css</w:t>
            </w:r>
          </w:p>
        </w:tc>
        <w:tc>
          <w:tcPr>
            <w:tcW w:type="dxa" w:w="57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Paleta, tamaños, layout, responsive y estilos.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components/KpiCards.tsx</w:t>
            </w:r>
          </w:p>
        </w:tc>
        <w:tc>
          <w:tcPr>
            <w:tcW w:type="dxa" w:w="5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Cards Total units, FTY, LTY y Final failures.</w:t>
            </w:r>
          </w:p>
        </w:tc>
      </w:tr>
      <w:tr>
        <w:tc>
          <w:tcPr>
            <w:tcW w:type="dxa" w:w="37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components/TrendChart.tsx</w:t>
            </w:r>
          </w:p>
        </w:tc>
        <w:tc>
          <w:tcPr>
            <w:tcW w:type="dxa" w:w="57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SVG de tendencia y leyenda.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components/FailurePanels.tsx</w:t>
            </w:r>
          </w:p>
        </w:tc>
        <w:tc>
          <w:tcPr>
            <w:tcW w:type="dxa" w:w="5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Ranking de estaciones y razones de fallo.</w:t>
            </w:r>
          </w:p>
        </w:tc>
      </w:tr>
      <w:tr>
        <w:tc>
          <w:tcPr>
            <w:tcW w:type="dxa" w:w="37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components/DailyResultsTable.tsx</w:t>
            </w:r>
          </w:p>
        </w:tc>
        <w:tc>
          <w:tcPr>
            <w:tcW w:type="dxa" w:w="57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Columnas y filas de resultados diarios.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components/DateFilters.tsx</w:t>
            </w:r>
          </w:p>
        </w:tc>
        <w:tc>
          <w:tcPr>
            <w:tcW w:type="dxa" w:w="5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Campos de fecha y botones 7D/30D/90D.</w:t>
            </w:r>
          </w:p>
        </w:tc>
      </w:tr>
      <w:tr>
        <w:tc>
          <w:tcPr>
            <w:tcW w:type="dxa" w:w="37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components/Sidebar.tsx</w:t>
            </w:r>
          </w:p>
        </w:tc>
        <w:tc>
          <w:tcPr>
            <w:tcW w:type="dxa" w:w="57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Marca, menú y estado de conexión.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lib/dashboard-api.ts</w:t>
            </w:r>
          </w:p>
        </w:tc>
        <w:tc>
          <w:tcPr>
            <w:tcW w:type="dxa" w:w="5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URL base y llamadas HTTP.</w:t>
            </w:r>
          </w:p>
        </w:tc>
      </w:tr>
      <w:tr>
        <w:tc>
          <w:tcPr>
            <w:tcW w:type="dxa" w:w="37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types/dashboard.ts</w:t>
            </w:r>
          </w:p>
        </w:tc>
        <w:tc>
          <w:tcPr>
            <w:tcW w:type="dxa" w:w="57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esperados de cada respuesta.</w:t>
            </w:r>
          </w:p>
        </w:tc>
      </w:tr>
    </w:tbl>
    <w:p>
      <w:pPr>
        <w:spacing w:after="20"/>
      </w:pPr>
    </w:p>
    <w:p>
      <w:pPr>
        <w:pStyle w:val="Heading2"/>
      </w:pPr>
      <w:r>
        <w:t>Ejemplo: modificar un card</w:t>
      </w:r>
    </w:p>
    <w:p>
      <w:pPr>
        <w:pStyle w:val="CodeBlock"/>
        <w:shd w:fill="F1F5F2"/>
      </w:pPr>
      <w:r>
        <w:t>&lt;article className="kpi-card accent-primary"&gt;</w:t>
        <w:br/>
        <w:t xml:space="preserve">  &lt;div className="kpi-head"&gt;&lt;span&gt;Total units&lt;/span&gt;&lt;/div&gt;</w:t>
        <w:br/>
        <w:t xml:space="preserve">  &lt;strong&gt;{compactNumber.format(metrics.total)}&lt;/strong&gt;</w:t>
        <w:br/>
        <w:t xml:space="preserve">  &lt;p&gt;{fullNumber.format(metrics.total)} serial numbers tested&lt;/p&gt;</w:t>
        <w:br/>
        <w:t>&lt;/article&gt;</w:t>
      </w:r>
    </w:p>
    <w:p>
      <w:pPr>
        <w:pStyle w:val="Heading2"/>
      </w:pPr>
      <w:r>
        <w:t>Paleta</w:t>
      </w:r>
    </w:p>
    <w:p>
      <w:pPr>
        <w:pStyle w:val="CodeBlock"/>
        <w:shd w:fill="F1F5F2"/>
      </w:pPr>
      <w:r>
        <w:t>:root {</w:t>
        <w:br/>
        <w:t xml:space="preserve">  --blue: #079551;</w:t>
        <w:br/>
        <w:t xml:space="preserve">  --cyan: #20CA38;</w:t>
        <w:br/>
        <w:t xml:space="preserve">  --green: #47953B;</w:t>
        <w:br/>
        <w:t xml:space="preserve">  --orange: #F4D25A;</w:t>
        <w:br/>
        <w:t xml:space="preserve">  --table-accent: #20CA38;</w:t>
        <w:br/>
        <w:t>}</w:t>
      </w:r>
    </w:p>
    <w:p>
      <w:r>
        <w:t>Los nombres blue/cyan son variables históricas internas, no implican que el diseño sea azul. Las clases visuales ya usan nombres neutrales: accent-primary, accent-secondary, accent-success y accent-warning.</w:t>
      </w:r>
    </w:p>
    <w:p>
      <w:pPr>
        <w:pStyle w:val="Heading2"/>
      </w:pPr>
      <w:r>
        <w:t>Responsive</w:t>
      </w:r>
    </w:p>
    <w:p>
      <w:r>
        <w:t>globals.css contiene breakpoints en 1120 px, 760 px y 460 px. Estos cambian los cuatro cards a dos o una columna, colapsan el sidebar y convierten los paneles principales en una sola columna.</w:t>
      </w:r>
    </w:p>
    <w:p>
      <w:pPr>
        <w:pStyle w:val="Heading1"/>
      </w:pPr>
      <w:r>
        <w:t>9. Métricas y reglas de negocio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580"/>
      </w:tblGrid>
      <w:tr>
        <w:trPr>
          <w:tblHeader w:val="true"/>
        </w:trPr>
        <w:tc>
          <w:tcPr>
            <w:tcW w:type="dxa" w:w="2951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6580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Fórmula/definición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Total units</w:t>
            </w:r>
          </w:p>
        </w:tc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Suma de Total en las filas diarias del rango.</w:t>
            </w:r>
          </w:p>
        </w:tc>
      </w:tr>
      <w:tr>
        <w:tc>
          <w:tcPr>
            <w:tcW w:type="dxa" w:w="2951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FTY</w:t>
            </w:r>
          </w:p>
        </w:tc>
        <w:tc>
          <w:tcPr>
            <w:tcW w:type="dxa" w:w="658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FT_Pass ÷ (FT_Pass + FT_Fail) × 100.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LTY</w:t>
            </w:r>
          </w:p>
        </w:tc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LT_Pass ÷ (LT_Pass + LT_Fail) × 100.</w:t>
            </w:r>
          </w:p>
        </w:tc>
      </w:tr>
      <w:tr>
        <w:tc>
          <w:tcPr>
            <w:tcW w:type="dxa" w:w="2951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Final failures</w:t>
            </w:r>
          </w:p>
        </w:tc>
        <w:tc>
          <w:tcPr>
            <w:tcW w:type="dxa" w:w="658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Suma de LT_Fail.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Recovery</w:t>
            </w:r>
          </w:p>
        </w:tc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LT_Yield − FT_Yield, expresado en puntos porcentuales.</w:t>
            </w:r>
          </w:p>
        </w:tc>
      </w:tr>
      <w:tr>
        <w:tc>
          <w:tcPr>
            <w:tcW w:type="dxa" w:w="2951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Failure by station</w:t>
            </w:r>
          </w:p>
        </w:tc>
        <w:tc>
          <w:tcPr>
            <w:tcW w:type="dxa" w:w="658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Seriales cuya última prueba dentro del rango es FAIL, agrupados por ComputerID.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Failure reason</w:t>
            </w:r>
          </w:p>
        </w:tc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Seriales cuya última prueba dentro del rango es FAIL, agrupados por descripción/código.</w:t>
            </w:r>
          </w:p>
        </w:tc>
      </w:tr>
    </w:tbl>
    <w:p>
      <w:pPr>
        <w:spacing w:after="20"/>
      </w:pP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32"/>
      </w:tblGrid>
      <w:tr>
        <w:trPr>
          <w:cantSplit/>
        </w:trPr>
        <w:tc>
          <w:tcPr>
            <w:tcW w:type="dxa" w:w="9532"/>
            <w:tcMar>
              <w:top w:w="80" w:type="dxa"/>
              <w:start w:w="120" w:type="dxa"/>
              <w:bottom w:w="80" w:type="dxa"/>
              <w:end w:w="120" w:type="dxa"/>
            </w:tcMar>
            <w:shd w:fill="FFF7E5"/>
          </w:tcPr>
          <w:p>
            <w:pPr>
              <w:spacing w:after="0"/>
            </w:pPr>
            <w:r>
              <w:rPr>
                <w:b/>
                <w:color w:val="B59525"/>
              </w:rPr>
              <w:t xml:space="preserve">Criterio de fecha: </w:t>
            </w:r>
            <w:r>
              <w:t>El resumen diario asigna el serial a TestDate según FirstTestDate. Las consultas de estación y razones seleccionan pruebas CreatedDate dentro del rango. Esta diferencia es intencional y debe mantenerse documentada al comparar totales.</w:t>
            </w:r>
          </w:p>
        </w:tc>
      </w:tr>
    </w:tbl>
    <w:p>
      <w:pPr>
        <w:spacing w:after="20"/>
      </w:pPr>
    </w:p>
    <w:p>
      <w:pPr>
        <w:pStyle w:val="Heading1"/>
      </w:pPr>
      <w:r>
        <w:t>10. Ejecución, pruebas y compilación</w:t>
      </w:r>
    </w:p>
    <w:p>
      <w:pPr>
        <w:pStyle w:val="Heading2"/>
      </w:pPr>
      <w:r>
        <w:t>Comandos desde la raíz</w:t>
      </w:r>
    </w:p>
    <w:p>
      <w:pPr>
        <w:pStyle w:val="CodeBlock"/>
        <w:shd w:fill="F1F5F2"/>
      </w:pPr>
      <w:r>
        <w:t>npm run setup       # instala backend y frontend</w:t>
        <w:br/>
        <w:t>npm run dev         # inicia API :3000 y UI :5173</w:t>
        <w:br/>
        <w:t>npm run typecheck   # valida TypeScript en ambos</w:t>
        <w:br/>
        <w:t>npm run build       # compila ambos para producción</w:t>
      </w:r>
    </w:p>
    <w:p>
      <w:pPr>
        <w:pStyle w:val="Heading2"/>
      </w:pPr>
      <w:r>
        <w:t>Pruebas manuales mínimas</w:t>
      </w:r>
    </w:p>
    <w:p>
      <w:pPr>
        <w:pStyle w:val="ListNumber"/>
        <w:numPr>
          <w:numId w:val="12"/>
        </w:numPr>
      </w:pPr>
      <w:r>
        <w:t>Abrir http://localhost:3000/health y confirmar status ok.</w:t>
      </w:r>
    </w:p>
    <w:p>
      <w:pPr>
        <w:pStyle w:val="ListNumber"/>
        <w:numPr>
          <w:numId w:val="12"/>
        </w:numPr>
      </w:pPr>
      <w:r>
        <w:t>Abrir http://localhost:3000/health/db y confirmar database connected.</w:t>
      </w:r>
    </w:p>
    <w:p>
      <w:pPr>
        <w:pStyle w:val="ListNumber"/>
        <w:numPr>
          <w:numId w:val="12"/>
        </w:numPr>
      </w:pPr>
      <w:r>
        <w:t>Probar los tres endpoints con un rango que tenga datos.</w:t>
      </w:r>
    </w:p>
    <w:p>
      <w:pPr>
        <w:pStyle w:val="ListNumber"/>
        <w:numPr>
          <w:numId w:val="12"/>
        </w:numPr>
      </w:pPr>
      <w:r>
        <w:t>Abrir http://localhost:5173 y confirmar Live data.</w:t>
      </w:r>
    </w:p>
    <w:p>
      <w:pPr>
        <w:pStyle w:val="ListNumber"/>
        <w:numPr>
          <w:numId w:val="12"/>
        </w:numPr>
      </w:pPr>
      <w:r>
        <w:t>Comparar Total, FTY y LTY contra el resultado directo del procedimiento en SSMS.</w:t>
      </w:r>
    </w:p>
    <w:p>
      <w:pPr>
        <w:pStyle w:val="ListNumber"/>
        <w:numPr>
          <w:numId w:val="12"/>
        </w:numPr>
      </w:pPr>
      <w:r>
        <w:t>Aplicar un rango sin datos y confirmar que se muestran estados vacíos, no errores ni demo.</w:t>
      </w:r>
    </w:p>
    <w:p>
      <w:pPr>
        <w:pStyle w:val="ListNumber"/>
        <w:numPr>
          <w:numId w:val="12"/>
        </w:numPr>
      </w:pPr>
      <w:r>
        <w:t>Detener el backend y confirmar API offline.</w:t>
      </w:r>
    </w:p>
    <w:p>
      <w:pPr>
        <w:pStyle w:val="ListNumber"/>
        <w:numPr>
          <w:numId w:val="12"/>
        </w:numPr>
      </w:pPr>
      <w:r>
        <w:t>Validar desktop y viewport móvil.</w:t>
      </w:r>
    </w:p>
    <w:p>
      <w:pPr>
        <w:pStyle w:val="Heading1"/>
      </w:pPr>
      <w:r>
        <w:t>11. Despliegue</w:t>
      </w:r>
    </w:p>
    <w:p>
      <w:pPr>
        <w:pStyle w:val="Heading2"/>
      </w:pPr>
      <w:r>
        <w:t>Opción A: dos procesos en el mismo servidor</w:t>
      </w:r>
    </w:p>
    <w:p>
      <w:r>
        <w:t>Es la forma más directa. El repositorio permanece unido, pero el backend escucha en 3000 y Next.js en 5173. Un reverse proxy corporativo puede exponerlos bajo HTTPS.</w:t>
      </w:r>
    </w:p>
    <w:p>
      <w:pPr>
        <w:pStyle w:val="CodeBlock"/>
        <w:shd w:fill="F1F5F2"/>
      </w:pPr>
      <w:r>
        <w:t>npm run build</w:t>
        <w:br/>
        <w:t># Terminal/servicio 1</w:t>
        <w:br/>
        <w:t>npm run start --prefix backend</w:t>
        <w:br/>
        <w:t># Terminal/servicio 2</w:t>
        <w:br/>
        <w:t>npm run start --prefix frontend</w:t>
      </w:r>
    </w:p>
    <w:p>
      <w:pPr>
        <w:pStyle w:val="Heading2"/>
      </w:pPr>
      <w:r>
        <w:t>Variables de producción</w:t>
      </w:r>
    </w:p>
    <w:p>
      <w:pPr>
        <w:pStyle w:val="ListBullet"/>
      </w:pPr>
      <w:r>
        <w:t>CORS_ORIGIN debe ser la URL HTTPS exacta del frontend.</w:t>
      </w:r>
    </w:p>
    <w:p>
      <w:pPr>
        <w:pStyle w:val="ListBullet"/>
      </w:pPr>
      <w:r>
        <w:t>NEXT_PUBLIC_API_BASE_URL debe ser la URL HTTPS accesible del backend.</w:t>
      </w:r>
    </w:p>
    <w:p>
      <w:pPr>
        <w:pStyle w:val="ListBullet"/>
      </w:pPr>
      <w:r>
        <w:t>DB_TRUST_SERVER_CERTIFICATE debe ajustarse a la política y certificado del entorno.</w:t>
      </w:r>
    </w:p>
    <w:p>
      <w:pPr>
        <w:pStyle w:val="ListBullet"/>
      </w:pPr>
      <w:r>
        <w:t>Las credenciales deben almacenarse como secretos del servidor, no dentro del ZIP o repositorio.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32"/>
      </w:tblGrid>
      <w:tr>
        <w:trPr>
          <w:cantSplit/>
        </w:trPr>
        <w:tc>
          <w:tcPr>
            <w:tcW w:type="dxa" w:w="9532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b/>
                <w:color w:val="BB4A4A"/>
              </w:rPr>
              <w:t xml:space="preserve">Build del frontend: </w:t>
            </w:r>
            <w:r>
              <w:t>NEXT_PUBLIC_API_BASE_URL es pública y se incorpora al bundle del navegador. No coloque secretos en variables NEXT_PUBLIC_*.</w:t>
            </w:r>
          </w:p>
        </w:tc>
      </w:tr>
    </w:tbl>
    <w:p>
      <w:pPr>
        <w:spacing w:after="20"/>
      </w:pPr>
    </w:p>
    <w:p>
      <w:pPr>
        <w:pStyle w:val="Heading1"/>
      </w:pPr>
      <w:r>
        <w:t>12. Seguridad y permisos</w:t>
      </w:r>
    </w:p>
    <w:p>
      <w:r>
        <w:t>La V4 no implementa autenticación. Por tanto, el acceso debe limitarse mediante red interna, VPN, firewall o un proveedor de identidad colocado delante de la aplicación si se publica fuera de una red confiable.</w:t>
      </w:r>
    </w:p>
    <w:p>
      <w:pPr>
        <w:pStyle w:val="Heading2"/>
      </w:pPr>
      <w:r>
        <w:t>Permisos mínimos del usuario SQL</w:t>
      </w:r>
    </w:p>
    <w:p>
      <w:pPr>
        <w:pStyle w:val="ListBullet"/>
      </w:pPr>
      <w:r>
        <w:t>EXECUTE sobre dbo.sp_BGW720GetTestSummary.</w:t>
      </w:r>
    </w:p>
    <w:p>
      <w:pPr>
        <w:pStyle w:val="ListBullet"/>
      </w:pPr>
      <w:r>
        <w:t>EXECUTE sobre dbo.sp_BGW720GetFailuresByStation.</w:t>
      </w:r>
    </w:p>
    <w:p>
      <w:pPr>
        <w:pStyle w:val="ListBullet"/>
      </w:pPr>
      <w:r>
        <w:t>SELECT sobre dbo.vw_BGW720ReflashTestResults para failure-reasons.</w:t>
      </w:r>
    </w:p>
    <w:p>
      <w:pPr>
        <w:pStyle w:val="ListBullet"/>
      </w:pPr>
      <w:r>
        <w:t>Sin permisos INSERT, UPDATE, DELETE, ALTER o CONTROL para la cuenta del API.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32"/>
      </w:tblGrid>
      <w:tr>
        <w:trPr>
          <w:cantSplit/>
        </w:trPr>
        <w:tc>
          <w:tcPr>
            <w:tcW w:type="dxa" w:w="9532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b/>
                <w:color w:val="BB4A4A"/>
              </w:rPr>
              <w:t xml:space="preserve">Credenciales: </w:t>
            </w:r>
            <w:r>
              <w:t>backend/.env está ignorado por Git. No lo adjunte a correos, tickets ni repositorios. Entregue .env.example sin valores reales.</w:t>
            </w:r>
          </w:p>
        </w:tc>
      </w:tr>
    </w:tbl>
    <w:p>
      <w:pPr>
        <w:spacing w:after="20"/>
      </w:pPr>
    </w:p>
    <w:p>
      <w:pPr>
        <w:pStyle w:val="Heading1"/>
      </w:pPr>
      <w:r>
        <w:t>13. Diagnóstico de errores</w:t>
      </w:r>
    </w:p>
    <w:tbl>
      <w:tblPr>
        <w:tblStyle w:val="TableGrid"/>
        <w:tblW w:type="dxa" w:w="953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00"/>
        <w:gridCol w:w="3988"/>
      </w:tblGrid>
      <w:tr>
        <w:trPr>
          <w:tblHeader w:val="true"/>
        </w:trPr>
        <w:tc>
          <w:tcPr>
            <w:tcW w:type="dxa" w:w="1944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600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988"/>
            <w:shd w:fill="0795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spawn EINVAL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npm.cmd iniciado directamente en Windows/Node 24</w:t>
            </w:r>
          </w:p>
        </w:tc>
        <w:tc>
          <w:tcPr>
            <w:tcW w:type="dxa" w:w="3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Usar la V4; dev.mjs ejecuta npm mediante cmd.exe.</w:t>
            </w:r>
          </w:p>
        </w:tc>
      </w:tr>
      <w:tr>
        <w:tc>
          <w:tcPr>
            <w:tcW w:type="dxa" w:w="19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API offline</w:t>
            </w:r>
          </w:p>
        </w:tc>
        <w:tc>
          <w:tcPr>
            <w:tcW w:type="dxa" w:w="36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apagado, CORS o URL incorrecta</w:t>
            </w:r>
          </w:p>
        </w:tc>
        <w:tc>
          <w:tcPr>
            <w:tcW w:type="dxa" w:w="39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terminal, /health y NEXT_PUBLIC_API_BASE_URL.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 unavailable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Credenciales, VPN, puerto o certificado</w:t>
            </w:r>
          </w:p>
        </w:tc>
        <w:tc>
          <w:tcPr>
            <w:tcW w:type="dxa" w:w="3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Revisar backend/.env y conectividad.</w:t>
            </w:r>
          </w:p>
        </w:tc>
      </w:tr>
      <w:tr>
        <w:tc>
          <w:tcPr>
            <w:tcW w:type="dxa" w:w="19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Login failed for user</w:t>
            </w:r>
          </w:p>
        </w:tc>
        <w:tc>
          <w:tcPr>
            <w:tcW w:type="dxa" w:w="36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Usuario/clave o modo SQL incorrectos</w:t>
            </w:r>
          </w:p>
        </w:tc>
        <w:tc>
          <w:tcPr>
            <w:tcW w:type="dxa" w:w="39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Validar credenciales en SSMS.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Invalid object name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 en otra base o incompletos</w:t>
            </w:r>
          </w:p>
        </w:tc>
        <w:tc>
          <w:tcPr>
            <w:tcW w:type="dxa" w:w="3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DB_DATABASE y ejecutar los cuatro scripts.</w:t>
            </w:r>
          </w:p>
        </w:tc>
      </w:tr>
      <w:tr>
        <w:tc>
          <w:tcPr>
            <w:tcW w:type="dxa" w:w="19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HTTP 400</w:t>
            </w:r>
          </w:p>
        </w:tc>
        <w:tc>
          <w:tcPr>
            <w:tcW w:type="dxa" w:w="36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Fecha inválida o StartDate &gt; EndDate</w:t>
            </w:r>
          </w:p>
        </w:tc>
        <w:tc>
          <w:tcPr>
            <w:tcW w:type="dxa" w:w="39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Enviar YYYY-MM-DD y corregir rango.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CORS error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Origen no autorizado</w:t>
            </w:r>
          </w:p>
        </w:tc>
        <w:tc>
          <w:tcPr>
            <w:tcW w:type="dxa" w:w="3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Igualar CORS_ORIGIN con la URL del frontend.</w:t>
            </w:r>
          </w:p>
        </w:tc>
      </w:tr>
      <w:tr>
        <w:tc>
          <w:tcPr>
            <w:tcW w:type="dxa" w:w="1944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Dashboard vacío</w:t>
            </w:r>
          </w:p>
        </w:tc>
        <w:tc>
          <w:tcPr>
            <w:tcW w:type="dxa" w:w="3600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Rango sin datos o estados distintos de PASS/FAIL</w:t>
            </w:r>
          </w:p>
        </w:tc>
        <w:tc>
          <w:tcPr>
            <w:tcW w:type="dxa" w:w="3988"/>
            <w:vAlign w:val="center"/>
            <w:shd w:fill="F7FB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Probar procedimientos y revisar valores fuente.</w:t>
            </w:r>
          </w:p>
        </w:tc>
      </w:tr>
    </w:tbl>
    <w:p>
      <w:pPr>
        <w:spacing w:after="20"/>
      </w:pPr>
    </w:p>
    <w:p>
      <w:pPr>
        <w:pStyle w:val="Heading1"/>
      </w:pPr>
      <w:r>
        <w:t>14. Mantenimiento y extensiones</w:t>
      </w:r>
    </w:p>
    <w:p>
      <w:pPr>
        <w:pStyle w:val="Heading2"/>
      </w:pPr>
      <w:r>
        <w:t>Agregar un nuevo KPI</w:t>
      </w:r>
    </w:p>
    <w:p>
      <w:pPr>
        <w:pStyle w:val="ListNumber"/>
        <w:numPr>
          <w:numId w:val="13"/>
        </w:numPr>
      </w:pPr>
      <w:r>
        <w:t>Agregar el campo en la vista/procedimiento o crear una fuente aprobada.</w:t>
      </w:r>
    </w:p>
    <w:p>
      <w:pPr>
        <w:pStyle w:val="ListNumber"/>
        <w:numPr>
          <w:numId w:val="13"/>
        </w:numPr>
      </w:pPr>
      <w:r>
        <w:t>Actualizar dashboardService.ts y, si aplica, dashboard.ts.</w:t>
      </w:r>
    </w:p>
    <w:p>
      <w:pPr>
        <w:pStyle w:val="ListNumber"/>
        <w:numPr>
          <w:numId w:val="13"/>
        </w:numPr>
      </w:pPr>
      <w:r>
        <w:t>Actualizar el tipo correspondiente en frontend/types/dashboard.ts.</w:t>
      </w:r>
    </w:p>
    <w:p>
      <w:pPr>
        <w:pStyle w:val="ListNumber"/>
        <w:numPr>
          <w:numId w:val="13"/>
        </w:numPr>
      </w:pPr>
      <w:r>
        <w:t>Calcular la métrica en app/page.tsx.</w:t>
      </w:r>
    </w:p>
    <w:p>
      <w:pPr>
        <w:pStyle w:val="ListNumber"/>
        <w:numPr>
          <w:numId w:val="13"/>
        </w:numPr>
      </w:pPr>
      <w:r>
        <w:t>Agregar el card en components/KpiCards.tsx y su estilo en globals.css.</w:t>
      </w:r>
    </w:p>
    <w:p>
      <w:pPr>
        <w:pStyle w:val="ListNumber"/>
        <w:numPr>
          <w:numId w:val="13"/>
        </w:numPr>
      </w:pPr>
      <w:r>
        <w:t>Ejecutar typecheck, build y comparar contra SSMS.</w:t>
      </w:r>
    </w:p>
    <w:p>
      <w:pPr>
        <w:pStyle w:val="Heading2"/>
      </w:pPr>
      <w:r>
        <w:t>Agregar un endpoint</w:t>
      </w:r>
    </w:p>
    <w:p>
      <w:r>
        <w:t>Mantenga las consultas fijas y parametrizadas. No acepte texto SQL desde el navegador. Añada validación Zod, función de servicio, ruta, tipo de respuesta, llamada en dashboard-api.ts y estado vacío/error en el componente consumidor.</w:t>
      </w:r>
    </w:p>
    <w:p>
      <w:pPr>
        <w:pStyle w:val="Heading2"/>
      </w:pPr>
      <w:r>
        <w:t>Refresh automático futuro</w:t>
      </w:r>
    </w:p>
    <w:p>
      <w:r>
        <w:t>Puede añadirse polling con setInterval en el frontend, pero debe abortar solicitudes anteriores, pausar cuando la pestaña no esté visible y mostrar claramente la última actualización. Para producción intensiva, evalúe caché de corta duración y límites por endpoint.</w:t>
      </w:r>
    </w:p>
    <w:p>
      <w:pPr>
        <w:pStyle w:val="Heading2"/>
      </w:pPr>
      <w:r>
        <w:t>Control de cambios recomendado</w:t>
      </w:r>
    </w:p>
    <w:p>
      <w:pPr>
        <w:pStyle w:val="ListNumber"/>
        <w:numPr>
          <w:numId w:val="14"/>
        </w:numPr>
      </w:pPr>
      <w:r>
        <w:t>Versionar cambios SQL junto con el código.</w:t>
      </w:r>
    </w:p>
    <w:p>
      <w:pPr>
        <w:pStyle w:val="ListNumber"/>
        <w:numPr>
          <w:numId w:val="14"/>
        </w:numPr>
      </w:pPr>
      <w:r>
        <w:t>Registrar cambios de reglas de negocio en este manual.</w:t>
      </w:r>
    </w:p>
    <w:p>
      <w:pPr>
        <w:pStyle w:val="ListNumber"/>
        <w:numPr>
          <w:numId w:val="14"/>
        </w:numPr>
      </w:pPr>
      <w:r>
        <w:t>No modificar columnas de respuesta sin actualizar los tipos del frontend.</w:t>
      </w:r>
    </w:p>
    <w:p>
      <w:pPr>
        <w:pStyle w:val="ListNumber"/>
        <w:numPr>
          <w:numId w:val="14"/>
        </w:numPr>
      </w:pPr>
      <w:r>
        <w:t>Crear una versión nueva del ZIP y conservar la anterior para rollback.</w:t>
      </w:r>
    </w:p>
    <w:p>
      <w:pPr>
        <w:pStyle w:val="ListNumber"/>
        <w:numPr>
          <w:numId w:val="14"/>
        </w:numPr>
      </w:pPr>
      <w:r>
        <w:t>Ejecutar npm run typecheck y npm run build antes de cada entrega.</w:t>
      </w:r>
    </w:p>
    <w:p>
      <w:pPr>
        <w:pStyle w:val="Heading1"/>
      </w:pPr>
      <w:r>
        <w:t>Checklist final de implementación</w:t>
      </w:r>
    </w:p>
    <w:p>
      <w:pPr>
        <w:pStyle w:val="ListBullet"/>
      </w:pPr>
      <w:r>
        <w:t>Los cuatro objetos SQL existen en la base correcta.</w:t>
      </w:r>
    </w:p>
    <w:p>
      <w:pPr>
        <w:pStyle w:val="ListBullet"/>
      </w:pPr>
      <w:r>
        <w:t>Los procedimientos devuelven datos para un rango conocido.</w:t>
      </w:r>
    </w:p>
    <w:p>
      <w:pPr>
        <w:pStyle w:val="ListBullet"/>
      </w:pPr>
      <w:r>
        <w:t>backend/.env contiene credenciales válidas y CORS correcto.</w:t>
      </w:r>
    </w:p>
    <w:p>
      <w:pPr>
        <w:pStyle w:val="ListBullet"/>
      </w:pPr>
      <w:r>
        <w:t>frontend/.env.local apunta al API cuando no se usa localhost.</w:t>
      </w:r>
    </w:p>
    <w:p>
      <w:pPr>
        <w:pStyle w:val="ListBullet"/>
      </w:pPr>
      <w:r>
        <w:t>npm run setup finaliza correctamente.</w:t>
      </w:r>
    </w:p>
    <w:p>
      <w:pPr>
        <w:pStyle w:val="ListBullet"/>
      </w:pPr>
      <w:r>
        <w:t>npm run typecheck y npm run build pasan sin errores.</w:t>
      </w:r>
    </w:p>
    <w:p>
      <w:pPr>
        <w:pStyle w:val="ListBullet"/>
      </w:pPr>
      <w:r>
        <w:t>/health y /health/db responden ok.</w:t>
      </w:r>
    </w:p>
    <w:p>
      <w:pPr>
        <w:pStyle w:val="ListBullet"/>
      </w:pPr>
      <w:r>
        <w:t>El dashboard indica Live data y coincide con SSMS.</w:t>
      </w:r>
    </w:p>
    <w:p>
      <w:pPr>
        <w:pStyle w:val="ListBullet"/>
      </w:pPr>
      <w:r>
        <w:t>No hay archivos .env ni node_modules dentro del paquete de distribución.</w:t>
      </w:r>
    </w:p>
    <w:p>
      <w:pPr>
        <w:pStyle w:val="ListBullet"/>
      </w:pPr>
      <w:r>
        <w:t>El acceso de red cumple la política interna.</w:t>
      </w:r>
    </w:p>
    <w:p/>
    <w:p>
      <w:pPr>
        <w:jc w:val="center"/>
      </w:pPr>
      <w:r>
        <w:rPr>
          <w:b/>
          <w:color w:val="079551"/>
          <w:sz w:val="18"/>
        </w:rPr>
        <w:t>FIN DEL MANUAL • BGW720 REFLASH ANALYTICS V4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389"/>
        <w:sz w:val="16"/>
      </w:rPr>
      <w:t xml:space="preserve">Documento técnico-operativo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79551"/>
        <w:sz w:val="16"/>
      </w:rPr>
      <w:t>BGW720 REFLASH ANALYTICS  |  MANUAL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C23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955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95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232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C23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30" w:right="230"/>
    </w:pPr>
    <w:rPr>
      <w:rFonts w:ascii="Consolas" w:hAnsi="Consolas"/>
      <w:color w:val="1C232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BGW720 Reflash Analytics V4 - Manual técnico y operativo</dc:title>
  <dc:subject>Implementación, arquitectura, llamadas API, actualización de datos y mantenimiento</dc:subject>
  <dc:creator>Project Documentation</dc:creator>
  <cp:keywords>BGW720, Reflash, Next.js, Fastify, SQL Server, Dashboard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