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center"/>
      </w:pPr>
      <w:r>
        <w:rPr>
          <w:rFonts w:ascii="Times New Roman" w:hAnsi="Times New Roman" w:eastAsia="黑体"/>
          <w:b/>
          <w:sz w:val="36"/>
        </w:rPr>
        <w:t>第4章 验证</w:t>
      </w:r>
    </w:p>
    <w:p>
      <w:pPr>
        <w:spacing w:line="360" w:lineRule="auto" w:after="0"/>
        <w:ind w:firstLine="480"/>
        <w:jc w:val="both"/>
      </w:pPr>
      <w:r>
        <w:rPr>
          <w:rFonts w:ascii="Times New Roman" w:hAnsi="Times New Roman" w:eastAsia="宋体"/>
          <w:sz w:val="24"/>
        </w:rPr>
        <w:t>为验证第3章所述人机协同小说生成架构是否真正作用于系统运行过程，本章从分层规划与正文映射、提示词工程、上下文与记忆管理、JSON自动修复以及系统工程可靠性五个方面开展验证。实验于2026年6月12日在Windows本地环境中完成，后端采用FastAPI与Uvicorn，前端采用原生HTML、CSS和JavaScript，生成模型使用项目当前配置的DeepSeek模型。除自动化测试外，本章还通过网站异步任务接口实际生成了一份16章小说大纲，并连续生成前两章正文，作为人工标注样本。</w:t>
      </w:r>
    </w:p>
    <w:p>
      <w:pPr>
        <w:spacing w:line="360" w:lineRule="auto" w:after="0"/>
        <w:ind w:firstLine="480"/>
        <w:jc w:val="both"/>
      </w:pPr>
      <w:r>
        <w:rPr>
          <w:rFonts w:ascii="Times New Roman" w:hAnsi="Times New Roman" w:eastAsia="宋体"/>
          <w:sz w:val="24"/>
        </w:rPr>
        <w:t>需要说明的是，大语言模型输出具有随机性，本章生成质量验证属于小样本案例分析；JSON修复实验属于可控故障注入测试，而不是线上自然错误率统计。因此，本章重点验证各项机制能否发挥预期作用，不将单次实验结果外推为所有题材和所有生成任务的普遍结论。</w:t>
      </w:r>
    </w:p>
    <w:p>
      <w:pPr>
        <w:pStyle w:val="Heading1"/>
        <w:spacing w:before="240" w:after="120"/>
      </w:pPr>
      <w:r>
        <w:rPr>
          <w:rFonts w:ascii="Times New Roman" w:hAnsi="Times New Roman" w:eastAsia="黑体"/>
          <w:b/>
          <w:sz w:val="32"/>
        </w:rPr>
        <w:t>4.1 分层规划—写作架构的有效性</w:t>
      </w:r>
    </w:p>
    <w:p>
      <w:pPr>
        <w:pStyle w:val="Heading2"/>
        <w:spacing w:before="200" w:after="80"/>
      </w:pPr>
      <w:r>
        <w:rPr>
          <w:rFonts w:ascii="Times New Roman" w:hAnsi="Times New Roman" w:eastAsia="黑体"/>
          <w:b/>
          <w:sz w:val="28"/>
        </w:rPr>
        <w:t>4.1.1 四段式结构比例验证</w:t>
      </w:r>
    </w:p>
    <w:p>
      <w:pPr>
        <w:spacing w:line="360" w:lineRule="auto" w:after="0"/>
        <w:ind w:firstLine="480"/>
        <w:jc w:val="both"/>
      </w:pPr>
      <w:r>
        <w:rPr>
          <w:rFonts w:ascii="Times New Roman" w:hAnsi="Times New Roman" w:eastAsia="宋体"/>
          <w:sz w:val="24"/>
        </w:rPr>
        <w:t>本次真实生成样本的题材为科幻、悬疑，计划总篇幅为16000字，每章目标字数为1000字，共生成16章大纲。大纲题名为《呼吸的档案》。系统提示词要求开端、发展、高潮、结局按1∶4∶2.5∶0.5分配。将该比例归一化后，四部分的目标占比分别为12.50%、50.00%、31.25%和6.25%。</w:t>
      </w:r>
    </w:p>
    <w:p>
      <w:pPr>
        <w:spacing w:before="120" w:after="80"/>
        <w:jc w:val="center"/>
      </w:pPr>
      <w:r>
        <w:rPr>
          <w:rFonts w:ascii="Times New Roman" w:hAnsi="Times New Roman" w:eastAsia="宋体"/>
          <w:b/>
          <w:sz w:val="21"/>
        </w:rPr>
        <w:t>表4-1 四段式结构比例对比</w:t>
      </w:r>
    </w:p>
    <w:tbl>
      <w:tblPr>
        <w:tblStyle w:val="TableGrid"/>
        <w:tblW w:type="auto" w:w="0"/>
        <w:tblLayout w:type="autofit"/>
        <w:tblLook w:firstColumn="1" w:firstRow="1" w:lastColumn="0" w:lastRow="0" w:noHBand="0" w:noVBand="1" w:val="04A0"/>
      </w:tblPr>
      <w:tblGrid>
        <w:gridCol w:w="1520"/>
        <w:gridCol w:w="1520"/>
        <w:gridCol w:w="1520"/>
        <w:gridCol w:w="1520"/>
        <w:gridCol w:w="1520"/>
        <w:gridCol w:w="1520"/>
      </w:tblGrid>
      <w:tr>
        <w:tc>
          <w:tcPr>
            <w:tcW w:type="dxa" w:w="1520"/>
            <w:shd w:fill="D9E2F3"/>
          </w:tcPr>
          <w:p>
            <w:pPr>
              <w:spacing w:after="0"/>
              <w:jc w:val="center"/>
            </w:pPr>
            <w:r/>
            <w:r>
              <w:rPr>
                <w:rFonts w:ascii="Times New Roman" w:hAnsi="Times New Roman" w:eastAsia="宋体"/>
                <w:b/>
                <w:sz w:val="21"/>
              </w:rPr>
              <w:t>结构阶段</w:t>
            </w:r>
          </w:p>
        </w:tc>
        <w:tc>
          <w:tcPr>
            <w:tcW w:type="dxa" w:w="1520"/>
            <w:shd w:fill="D9E2F3"/>
          </w:tcPr>
          <w:p>
            <w:pPr>
              <w:spacing w:after="0"/>
              <w:jc w:val="center"/>
            </w:pPr>
            <w:r/>
            <w:r>
              <w:rPr>
                <w:rFonts w:ascii="Times New Roman" w:hAnsi="Times New Roman" w:eastAsia="宋体"/>
                <w:b/>
                <w:sz w:val="21"/>
              </w:rPr>
              <w:t>目标占比</w:t>
            </w:r>
          </w:p>
        </w:tc>
        <w:tc>
          <w:tcPr>
            <w:tcW w:type="dxa" w:w="1520"/>
            <w:shd w:fill="D9E2F3"/>
          </w:tcPr>
          <w:p>
            <w:pPr>
              <w:spacing w:after="0"/>
              <w:jc w:val="center"/>
            </w:pPr>
            <w:r/>
            <w:r>
              <w:rPr>
                <w:rFonts w:ascii="Times New Roman" w:hAnsi="Times New Roman" w:eastAsia="宋体"/>
                <w:b/>
                <w:sz w:val="21"/>
              </w:rPr>
              <w:t>实际章节范围</w:t>
            </w:r>
          </w:p>
        </w:tc>
        <w:tc>
          <w:tcPr>
            <w:tcW w:type="dxa" w:w="1520"/>
            <w:shd w:fill="D9E2F3"/>
          </w:tcPr>
          <w:p>
            <w:pPr>
              <w:spacing w:after="0"/>
              <w:jc w:val="center"/>
            </w:pPr>
            <w:r/>
            <w:r>
              <w:rPr>
                <w:rFonts w:ascii="Times New Roman" w:hAnsi="Times New Roman" w:eastAsia="宋体"/>
                <w:b/>
                <w:sz w:val="21"/>
              </w:rPr>
              <w:t>实际章数</w:t>
            </w:r>
          </w:p>
        </w:tc>
        <w:tc>
          <w:tcPr>
            <w:tcW w:type="dxa" w:w="1520"/>
            <w:shd w:fill="D9E2F3"/>
          </w:tcPr>
          <w:p>
            <w:pPr>
              <w:spacing w:after="0"/>
              <w:jc w:val="center"/>
            </w:pPr>
            <w:r/>
            <w:r>
              <w:rPr>
                <w:rFonts w:ascii="Times New Roman" w:hAnsi="Times New Roman" w:eastAsia="宋体"/>
                <w:b/>
                <w:sz w:val="21"/>
              </w:rPr>
              <w:t>实际占比</w:t>
            </w:r>
          </w:p>
        </w:tc>
        <w:tc>
          <w:tcPr>
            <w:tcW w:type="dxa" w:w="1520"/>
            <w:shd w:fill="D9E2F3"/>
          </w:tcPr>
          <w:p>
            <w:pPr>
              <w:spacing w:after="0"/>
              <w:jc w:val="center"/>
            </w:pPr>
            <w:r/>
            <w:r>
              <w:rPr>
                <w:rFonts w:ascii="Times New Roman" w:hAnsi="Times New Roman" w:eastAsia="宋体"/>
                <w:b/>
                <w:sz w:val="21"/>
              </w:rPr>
              <w:t>偏差</w:t>
            </w:r>
          </w:p>
        </w:tc>
      </w:tr>
      <w:tr>
        <w:tc>
          <w:tcPr>
            <w:tcW w:type="dxa" w:w="1520"/>
          </w:tcPr>
          <w:p>
            <w:pPr>
              <w:spacing w:after="0"/>
              <w:jc w:val="left"/>
            </w:pPr>
            <w:r/>
            <w:r>
              <w:rPr>
                <w:rFonts w:ascii="Times New Roman" w:hAnsi="Times New Roman" w:eastAsia="宋体"/>
                <w:b w:val="0"/>
                <w:sz w:val="21"/>
              </w:rPr>
              <w:t>开端</w:t>
            </w:r>
          </w:p>
        </w:tc>
        <w:tc>
          <w:tcPr>
            <w:tcW w:type="dxa" w:w="1520"/>
          </w:tcPr>
          <w:p>
            <w:pPr>
              <w:spacing w:after="0"/>
              <w:jc w:val="left"/>
            </w:pPr>
            <w:r/>
            <w:r>
              <w:rPr>
                <w:rFonts w:ascii="Times New Roman" w:hAnsi="Times New Roman" w:eastAsia="宋体"/>
                <w:b w:val="0"/>
                <w:sz w:val="21"/>
              </w:rPr>
              <w:t>12.50%</w:t>
            </w:r>
          </w:p>
        </w:tc>
        <w:tc>
          <w:tcPr>
            <w:tcW w:type="dxa" w:w="1520"/>
          </w:tcPr>
          <w:p>
            <w:pPr>
              <w:spacing w:after="0"/>
              <w:jc w:val="left"/>
            </w:pPr>
            <w:r/>
            <w:r>
              <w:rPr>
                <w:rFonts w:ascii="Times New Roman" w:hAnsi="Times New Roman" w:eastAsia="宋体"/>
                <w:b w:val="0"/>
                <w:sz w:val="21"/>
              </w:rPr>
              <w:t>第1章—第2章</w:t>
            </w:r>
          </w:p>
        </w:tc>
        <w:tc>
          <w:tcPr>
            <w:tcW w:type="dxa" w:w="1520"/>
          </w:tcPr>
          <w:p>
            <w:pPr>
              <w:spacing w:after="0"/>
              <w:jc w:val="left"/>
            </w:pPr>
            <w:r/>
            <w:r>
              <w:rPr>
                <w:rFonts w:ascii="Times New Roman" w:hAnsi="Times New Roman" w:eastAsia="宋体"/>
                <w:b w:val="0"/>
                <w:sz w:val="21"/>
              </w:rPr>
              <w:t>2</w:t>
            </w:r>
          </w:p>
        </w:tc>
        <w:tc>
          <w:tcPr>
            <w:tcW w:type="dxa" w:w="1520"/>
          </w:tcPr>
          <w:p>
            <w:pPr>
              <w:spacing w:after="0"/>
              <w:jc w:val="left"/>
            </w:pPr>
            <w:r/>
            <w:r>
              <w:rPr>
                <w:rFonts w:ascii="Times New Roman" w:hAnsi="Times New Roman" w:eastAsia="宋体"/>
                <w:b w:val="0"/>
                <w:sz w:val="21"/>
              </w:rPr>
              <w:t>12.50%</w:t>
            </w:r>
          </w:p>
        </w:tc>
        <w:tc>
          <w:tcPr>
            <w:tcW w:type="dxa" w:w="1520"/>
          </w:tcPr>
          <w:p>
            <w:pPr>
              <w:spacing w:after="0"/>
              <w:jc w:val="left"/>
            </w:pPr>
            <w:r/>
            <w:r>
              <w:rPr>
                <w:rFonts w:ascii="Times New Roman" w:hAnsi="Times New Roman" w:eastAsia="宋体"/>
                <w:b w:val="0"/>
                <w:sz w:val="21"/>
              </w:rPr>
              <w:t>0</w:t>
            </w:r>
          </w:p>
        </w:tc>
      </w:tr>
      <w:tr>
        <w:tc>
          <w:tcPr>
            <w:tcW w:type="dxa" w:w="1520"/>
          </w:tcPr>
          <w:p>
            <w:pPr>
              <w:spacing w:after="0"/>
              <w:jc w:val="left"/>
            </w:pPr>
            <w:r/>
            <w:r>
              <w:rPr>
                <w:rFonts w:ascii="Times New Roman" w:hAnsi="Times New Roman" w:eastAsia="宋体"/>
                <w:b w:val="0"/>
                <w:sz w:val="21"/>
              </w:rPr>
              <w:t>发展</w:t>
            </w:r>
          </w:p>
        </w:tc>
        <w:tc>
          <w:tcPr>
            <w:tcW w:type="dxa" w:w="1520"/>
          </w:tcPr>
          <w:p>
            <w:pPr>
              <w:spacing w:after="0"/>
              <w:jc w:val="left"/>
            </w:pPr>
            <w:r/>
            <w:r>
              <w:rPr>
                <w:rFonts w:ascii="Times New Roman" w:hAnsi="Times New Roman" w:eastAsia="宋体"/>
                <w:b w:val="0"/>
                <w:sz w:val="21"/>
              </w:rPr>
              <w:t>50.00%</w:t>
            </w:r>
          </w:p>
        </w:tc>
        <w:tc>
          <w:tcPr>
            <w:tcW w:type="dxa" w:w="1520"/>
          </w:tcPr>
          <w:p>
            <w:pPr>
              <w:spacing w:after="0"/>
              <w:jc w:val="left"/>
            </w:pPr>
            <w:r/>
            <w:r>
              <w:rPr>
                <w:rFonts w:ascii="Times New Roman" w:hAnsi="Times New Roman" w:eastAsia="宋体"/>
                <w:b w:val="0"/>
                <w:sz w:val="21"/>
              </w:rPr>
              <w:t>第3章—第10章</w:t>
            </w:r>
          </w:p>
        </w:tc>
        <w:tc>
          <w:tcPr>
            <w:tcW w:type="dxa" w:w="1520"/>
          </w:tcPr>
          <w:p>
            <w:pPr>
              <w:spacing w:after="0"/>
              <w:jc w:val="left"/>
            </w:pPr>
            <w:r/>
            <w:r>
              <w:rPr>
                <w:rFonts w:ascii="Times New Roman" w:hAnsi="Times New Roman" w:eastAsia="宋体"/>
                <w:b w:val="0"/>
                <w:sz w:val="21"/>
              </w:rPr>
              <w:t>8</w:t>
            </w:r>
          </w:p>
        </w:tc>
        <w:tc>
          <w:tcPr>
            <w:tcW w:type="dxa" w:w="1520"/>
          </w:tcPr>
          <w:p>
            <w:pPr>
              <w:spacing w:after="0"/>
              <w:jc w:val="left"/>
            </w:pPr>
            <w:r/>
            <w:r>
              <w:rPr>
                <w:rFonts w:ascii="Times New Roman" w:hAnsi="Times New Roman" w:eastAsia="宋体"/>
                <w:b w:val="0"/>
                <w:sz w:val="21"/>
              </w:rPr>
              <w:t>50.00%</w:t>
            </w:r>
          </w:p>
        </w:tc>
        <w:tc>
          <w:tcPr>
            <w:tcW w:type="dxa" w:w="1520"/>
          </w:tcPr>
          <w:p>
            <w:pPr>
              <w:spacing w:after="0"/>
              <w:jc w:val="left"/>
            </w:pPr>
            <w:r/>
            <w:r>
              <w:rPr>
                <w:rFonts w:ascii="Times New Roman" w:hAnsi="Times New Roman" w:eastAsia="宋体"/>
                <w:b w:val="0"/>
                <w:sz w:val="21"/>
              </w:rPr>
              <w:t>0</w:t>
            </w:r>
          </w:p>
        </w:tc>
      </w:tr>
      <w:tr>
        <w:tc>
          <w:tcPr>
            <w:tcW w:type="dxa" w:w="1520"/>
          </w:tcPr>
          <w:p>
            <w:pPr>
              <w:spacing w:after="0"/>
              <w:jc w:val="left"/>
            </w:pPr>
            <w:r/>
            <w:r>
              <w:rPr>
                <w:rFonts w:ascii="Times New Roman" w:hAnsi="Times New Roman" w:eastAsia="宋体"/>
                <w:b w:val="0"/>
                <w:sz w:val="21"/>
              </w:rPr>
              <w:t>高潮</w:t>
            </w:r>
          </w:p>
        </w:tc>
        <w:tc>
          <w:tcPr>
            <w:tcW w:type="dxa" w:w="1520"/>
          </w:tcPr>
          <w:p>
            <w:pPr>
              <w:spacing w:after="0"/>
              <w:jc w:val="left"/>
            </w:pPr>
            <w:r/>
            <w:r>
              <w:rPr>
                <w:rFonts w:ascii="Times New Roman" w:hAnsi="Times New Roman" w:eastAsia="宋体"/>
                <w:b w:val="0"/>
                <w:sz w:val="21"/>
              </w:rPr>
              <w:t>31.25%</w:t>
            </w:r>
          </w:p>
        </w:tc>
        <w:tc>
          <w:tcPr>
            <w:tcW w:type="dxa" w:w="1520"/>
          </w:tcPr>
          <w:p>
            <w:pPr>
              <w:spacing w:after="0"/>
              <w:jc w:val="left"/>
            </w:pPr>
            <w:r/>
            <w:r>
              <w:rPr>
                <w:rFonts w:ascii="Times New Roman" w:hAnsi="Times New Roman" w:eastAsia="宋体"/>
                <w:b w:val="0"/>
                <w:sz w:val="21"/>
              </w:rPr>
              <w:t>第11章—第15章</w:t>
            </w:r>
          </w:p>
        </w:tc>
        <w:tc>
          <w:tcPr>
            <w:tcW w:type="dxa" w:w="1520"/>
          </w:tcPr>
          <w:p>
            <w:pPr>
              <w:spacing w:after="0"/>
              <w:jc w:val="left"/>
            </w:pPr>
            <w:r/>
            <w:r>
              <w:rPr>
                <w:rFonts w:ascii="Times New Roman" w:hAnsi="Times New Roman" w:eastAsia="宋体"/>
                <w:b w:val="0"/>
                <w:sz w:val="21"/>
              </w:rPr>
              <w:t>5</w:t>
            </w:r>
          </w:p>
        </w:tc>
        <w:tc>
          <w:tcPr>
            <w:tcW w:type="dxa" w:w="1520"/>
          </w:tcPr>
          <w:p>
            <w:pPr>
              <w:spacing w:after="0"/>
              <w:jc w:val="left"/>
            </w:pPr>
            <w:r/>
            <w:r>
              <w:rPr>
                <w:rFonts w:ascii="Times New Roman" w:hAnsi="Times New Roman" w:eastAsia="宋体"/>
                <w:b w:val="0"/>
                <w:sz w:val="21"/>
              </w:rPr>
              <w:t>31.25%</w:t>
            </w:r>
          </w:p>
        </w:tc>
        <w:tc>
          <w:tcPr>
            <w:tcW w:type="dxa" w:w="1520"/>
          </w:tcPr>
          <w:p>
            <w:pPr>
              <w:spacing w:after="0"/>
              <w:jc w:val="left"/>
            </w:pPr>
            <w:r/>
            <w:r>
              <w:rPr>
                <w:rFonts w:ascii="Times New Roman" w:hAnsi="Times New Roman" w:eastAsia="宋体"/>
                <w:b w:val="0"/>
                <w:sz w:val="21"/>
              </w:rPr>
              <w:t>0</w:t>
            </w:r>
          </w:p>
        </w:tc>
      </w:tr>
      <w:tr>
        <w:tc>
          <w:tcPr>
            <w:tcW w:type="dxa" w:w="1520"/>
          </w:tcPr>
          <w:p>
            <w:pPr>
              <w:spacing w:after="0"/>
              <w:jc w:val="left"/>
            </w:pPr>
            <w:r/>
            <w:r>
              <w:rPr>
                <w:rFonts w:ascii="Times New Roman" w:hAnsi="Times New Roman" w:eastAsia="宋体"/>
                <w:b w:val="0"/>
                <w:sz w:val="21"/>
              </w:rPr>
              <w:t>结局</w:t>
            </w:r>
          </w:p>
        </w:tc>
        <w:tc>
          <w:tcPr>
            <w:tcW w:type="dxa" w:w="1520"/>
          </w:tcPr>
          <w:p>
            <w:pPr>
              <w:spacing w:after="0"/>
              <w:jc w:val="left"/>
            </w:pPr>
            <w:r/>
            <w:r>
              <w:rPr>
                <w:rFonts w:ascii="Times New Roman" w:hAnsi="Times New Roman" w:eastAsia="宋体"/>
                <w:b w:val="0"/>
                <w:sz w:val="21"/>
              </w:rPr>
              <w:t>6.25%</w:t>
            </w:r>
          </w:p>
        </w:tc>
        <w:tc>
          <w:tcPr>
            <w:tcW w:type="dxa" w:w="1520"/>
          </w:tcPr>
          <w:p>
            <w:pPr>
              <w:spacing w:after="0"/>
              <w:jc w:val="left"/>
            </w:pPr>
            <w:r/>
            <w:r>
              <w:rPr>
                <w:rFonts w:ascii="Times New Roman" w:hAnsi="Times New Roman" w:eastAsia="宋体"/>
                <w:b w:val="0"/>
                <w:sz w:val="21"/>
              </w:rPr>
              <w:t>第16章</w:t>
            </w:r>
          </w:p>
        </w:tc>
        <w:tc>
          <w:tcPr>
            <w:tcW w:type="dxa" w:w="1520"/>
          </w:tcPr>
          <w:p>
            <w:pPr>
              <w:spacing w:after="0"/>
              <w:jc w:val="left"/>
            </w:pPr>
            <w:r/>
            <w:r>
              <w:rPr>
                <w:rFonts w:ascii="Times New Roman" w:hAnsi="Times New Roman" w:eastAsia="宋体"/>
                <w:b w:val="0"/>
                <w:sz w:val="21"/>
              </w:rPr>
              <w:t>1</w:t>
            </w:r>
          </w:p>
        </w:tc>
        <w:tc>
          <w:tcPr>
            <w:tcW w:type="dxa" w:w="1520"/>
          </w:tcPr>
          <w:p>
            <w:pPr>
              <w:spacing w:after="0"/>
              <w:jc w:val="left"/>
            </w:pPr>
            <w:r/>
            <w:r>
              <w:rPr>
                <w:rFonts w:ascii="Times New Roman" w:hAnsi="Times New Roman" w:eastAsia="宋体"/>
                <w:b w:val="0"/>
                <w:sz w:val="21"/>
              </w:rPr>
              <w:t>6.25%</w:t>
            </w:r>
          </w:p>
        </w:tc>
        <w:tc>
          <w:tcPr>
            <w:tcW w:type="dxa" w:w="1520"/>
          </w:tcPr>
          <w:p>
            <w:pPr>
              <w:spacing w:after="0"/>
              <w:jc w:val="left"/>
            </w:pPr>
            <w:r/>
            <w:r>
              <w:rPr>
                <w:rFonts w:ascii="Times New Roman" w:hAnsi="Times New Roman" w:eastAsia="宋体"/>
                <w:b w:val="0"/>
                <w:sz w:val="21"/>
              </w:rPr>
              <w:t>0</w:t>
            </w:r>
          </w:p>
        </w:tc>
      </w:tr>
    </w:tbl>
    <w:p/>
    <w:p>
      <w:pPr>
        <w:spacing w:line="360" w:lineRule="auto" w:after="0"/>
        <w:ind w:firstLine="480"/>
        <w:jc w:val="both"/>
      </w:pPr>
      <w:r>
        <w:rPr>
          <w:rFonts w:ascii="Times New Roman" w:hAnsi="Times New Roman" w:eastAsia="宋体"/>
          <w:sz w:val="24"/>
        </w:rPr>
        <w:t>结果表明，在章节总数能够整除目标权重的条件下，模型完整落实了四段式篇幅约束，实际分配为2∶8∶5∶1，与1∶4∶2.5∶0.5完全等价。该结果说明系统的规划层并非只生成笼统故事简介，而是能够将全局叙事结构落实为连续、无重叠的章节区间。不过，该结论目前仅来自一个16章样本；当总章数较少、无法按权重整数分配时，仍可能出现取整偏差。</w:t>
      </w:r>
    </w:p>
    <w:p>
      <w:pPr>
        <w:pStyle w:val="Heading2"/>
        <w:spacing w:before="200" w:after="80"/>
      </w:pPr>
      <w:r>
        <w:rPr>
          <w:rFonts w:ascii="Times New Roman" w:hAnsi="Times New Roman" w:eastAsia="黑体"/>
          <w:b/>
          <w:sz w:val="28"/>
        </w:rPr>
        <w:t>4.1.2 大纲—正文映射验证</w:t>
      </w:r>
    </w:p>
    <w:p>
      <w:pPr>
        <w:spacing w:line="360" w:lineRule="auto" w:after="0"/>
        <w:ind w:firstLine="480"/>
        <w:jc w:val="both"/>
      </w:pPr>
      <w:r>
        <w:rPr>
          <w:rFonts w:ascii="Times New Roman" w:hAnsi="Times New Roman" w:eastAsia="宋体"/>
          <w:sz w:val="24"/>
        </w:rPr>
        <w:t>为判断正文是否真正受逐章大纲约束，本实验对前两章的key_events和cliffhanger逐项核查。标注标准为：正文明确呈现记为“完全落实”，以间接方式呈现但不够充分记为“部分落实”，未出现记为“未落实”。完全落实计1分，部分落实计0.5分，未落实计0分。</w:t>
      </w:r>
    </w:p>
    <w:p>
      <w:pPr>
        <w:spacing w:before="120" w:after="80"/>
        <w:jc w:val="center"/>
      </w:pPr>
      <w:r>
        <w:rPr>
          <w:rFonts w:ascii="Times New Roman" w:hAnsi="Times New Roman" w:eastAsia="宋体"/>
          <w:b/>
          <w:sz w:val="21"/>
        </w:rPr>
        <w:t>表4-2 大纲事件与正文映射结果</w:t>
      </w:r>
    </w:p>
    <w:tbl>
      <w:tblPr>
        <w:tblStyle w:val="TableGrid"/>
        <w:tblW w:type="auto" w:w="0"/>
        <w:tblLayout w:type="autofit"/>
        <w:tblLook w:firstColumn="1" w:firstRow="1" w:lastColumn="0" w:lastRow="0" w:noHBand="0" w:noVBand="1" w:val="04A0"/>
      </w:tblPr>
      <w:tblGrid>
        <w:gridCol w:w="2280"/>
        <w:gridCol w:w="2280"/>
        <w:gridCol w:w="2280"/>
        <w:gridCol w:w="2280"/>
      </w:tblGrid>
      <w:tr>
        <w:tc>
          <w:tcPr>
            <w:tcW w:type="dxa" w:w="2280"/>
            <w:shd w:fill="D9E2F3"/>
          </w:tcPr>
          <w:p>
            <w:pPr>
              <w:spacing w:after="0"/>
              <w:jc w:val="center"/>
            </w:pPr>
            <w:r/>
            <w:r>
              <w:rPr>
                <w:rFonts w:ascii="Times New Roman" w:hAnsi="Times New Roman" w:eastAsia="宋体"/>
                <w:b/>
                <w:sz w:val="21"/>
              </w:rPr>
              <w:t>章节</w:t>
            </w:r>
          </w:p>
        </w:tc>
        <w:tc>
          <w:tcPr>
            <w:tcW w:type="dxa" w:w="2280"/>
            <w:shd w:fill="D9E2F3"/>
          </w:tcPr>
          <w:p>
            <w:pPr>
              <w:spacing w:after="0"/>
              <w:jc w:val="center"/>
            </w:pPr>
            <w:r/>
            <w:r>
              <w:rPr>
                <w:rFonts w:ascii="Times New Roman" w:hAnsi="Times New Roman" w:eastAsia="宋体"/>
                <w:b/>
                <w:sz w:val="21"/>
              </w:rPr>
              <w:t>大纲要求</w:t>
            </w:r>
          </w:p>
        </w:tc>
        <w:tc>
          <w:tcPr>
            <w:tcW w:type="dxa" w:w="2280"/>
            <w:shd w:fill="D9E2F3"/>
          </w:tcPr>
          <w:p>
            <w:pPr>
              <w:spacing w:after="0"/>
              <w:jc w:val="center"/>
            </w:pPr>
            <w:r/>
            <w:r>
              <w:rPr>
                <w:rFonts w:ascii="Times New Roman" w:hAnsi="Times New Roman" w:eastAsia="宋体"/>
                <w:b/>
                <w:sz w:val="21"/>
              </w:rPr>
              <w:t>正文表现</w:t>
            </w:r>
          </w:p>
        </w:tc>
        <w:tc>
          <w:tcPr>
            <w:tcW w:type="dxa" w:w="2280"/>
            <w:shd w:fill="D9E2F3"/>
          </w:tcPr>
          <w:p>
            <w:pPr>
              <w:spacing w:after="0"/>
              <w:jc w:val="center"/>
            </w:pPr>
            <w:r/>
            <w:r>
              <w:rPr>
                <w:rFonts w:ascii="Times New Roman" w:hAnsi="Times New Roman" w:eastAsia="宋体"/>
                <w:b/>
                <w:sz w:val="21"/>
              </w:rPr>
              <w:t>结果</w:t>
            </w:r>
          </w:p>
        </w:tc>
      </w:tr>
      <w:tr>
        <w:tc>
          <w:tcPr>
            <w:tcW w:type="dxa" w:w="2280"/>
          </w:tcPr>
          <w:p>
            <w:pPr>
              <w:spacing w:after="0"/>
              <w:jc w:val="left"/>
            </w:pPr>
            <w:r/>
            <w:r>
              <w:rPr>
                <w:rFonts w:ascii="Times New Roman" w:hAnsi="Times New Roman" w:eastAsia="宋体"/>
                <w:b w:val="0"/>
                <w:sz w:val="21"/>
              </w:rPr>
              <w:t>第1章</w:t>
            </w:r>
          </w:p>
        </w:tc>
        <w:tc>
          <w:tcPr>
            <w:tcW w:type="dxa" w:w="2280"/>
          </w:tcPr>
          <w:p>
            <w:pPr>
              <w:spacing w:after="0"/>
              <w:jc w:val="left"/>
            </w:pPr>
            <w:r/>
            <w:r>
              <w:rPr>
                <w:rFonts w:ascii="Times New Roman" w:hAnsi="Times New Roman" w:eastAsia="宋体"/>
                <w:b w:val="0"/>
                <w:sz w:val="21"/>
              </w:rPr>
              <w:t>林晚修复记忆时发现日期异常</w:t>
            </w:r>
          </w:p>
        </w:tc>
        <w:tc>
          <w:tcPr>
            <w:tcW w:type="dxa" w:w="2280"/>
          </w:tcPr>
          <w:p>
            <w:pPr>
              <w:spacing w:after="0"/>
              <w:jc w:val="left"/>
            </w:pPr>
            <w:r/>
            <w:r>
              <w:rPr>
                <w:rFonts w:ascii="Times New Roman" w:hAnsi="Times New Roman" w:eastAsia="宋体"/>
                <w:b w:val="0"/>
                <w:sz w:val="21"/>
              </w:rPr>
              <w:t>正文明确出现日期栏闪烁及三组不同日期</w:t>
            </w:r>
          </w:p>
        </w:tc>
        <w:tc>
          <w:tcPr>
            <w:tcW w:type="dxa" w:w="2280"/>
          </w:tcPr>
          <w:p>
            <w:pPr>
              <w:spacing w:after="0"/>
              <w:jc w:val="left"/>
            </w:pPr>
            <w:r/>
            <w:r>
              <w:rPr>
                <w:rFonts w:ascii="Times New Roman" w:hAnsi="Times New Roman" w:eastAsia="宋体"/>
                <w:b w:val="0"/>
                <w:sz w:val="21"/>
              </w:rPr>
              <w:t>完全落实</w:t>
            </w:r>
          </w:p>
        </w:tc>
      </w:tr>
      <w:tr>
        <w:tc>
          <w:tcPr>
            <w:tcW w:type="dxa" w:w="2280"/>
          </w:tcPr>
          <w:p>
            <w:pPr>
              <w:spacing w:after="0"/>
              <w:jc w:val="left"/>
            </w:pPr>
            <w:r/>
            <w:r>
              <w:rPr>
                <w:rFonts w:ascii="Times New Roman" w:hAnsi="Times New Roman" w:eastAsia="宋体"/>
                <w:b w:val="0"/>
                <w:sz w:val="21"/>
              </w:rPr>
              <w:t>第1章</w:t>
            </w:r>
          </w:p>
        </w:tc>
        <w:tc>
          <w:tcPr>
            <w:tcW w:type="dxa" w:w="2280"/>
          </w:tcPr>
          <w:p>
            <w:pPr>
              <w:spacing w:after="0"/>
              <w:jc w:val="left"/>
            </w:pPr>
            <w:r/>
            <w:r>
              <w:rPr>
                <w:rFonts w:ascii="Times New Roman" w:hAnsi="Times New Roman" w:eastAsia="宋体"/>
                <w:b w:val="0"/>
                <w:sz w:val="21"/>
              </w:rPr>
              <w:t>对比原始记录，确认被改写</w:t>
            </w:r>
          </w:p>
        </w:tc>
        <w:tc>
          <w:tcPr>
            <w:tcW w:type="dxa" w:w="2280"/>
          </w:tcPr>
          <w:p>
            <w:pPr>
              <w:spacing w:after="0"/>
              <w:jc w:val="left"/>
            </w:pPr>
            <w:r/>
            <w:r>
              <w:rPr>
                <w:rFonts w:ascii="Times New Roman" w:hAnsi="Times New Roman" w:eastAsia="宋体"/>
                <w:b w:val="0"/>
                <w:sz w:val="21"/>
              </w:rPr>
              <w:t>通过电子记录与纸质备份对照确认三次篡改</w:t>
            </w:r>
          </w:p>
        </w:tc>
        <w:tc>
          <w:tcPr>
            <w:tcW w:type="dxa" w:w="2280"/>
          </w:tcPr>
          <w:p>
            <w:pPr>
              <w:spacing w:after="0"/>
              <w:jc w:val="left"/>
            </w:pPr>
            <w:r/>
            <w:r>
              <w:rPr>
                <w:rFonts w:ascii="Times New Roman" w:hAnsi="Times New Roman" w:eastAsia="宋体"/>
                <w:b w:val="0"/>
                <w:sz w:val="21"/>
              </w:rPr>
              <w:t>完全落实</w:t>
            </w:r>
          </w:p>
        </w:tc>
      </w:tr>
      <w:tr>
        <w:tc>
          <w:tcPr>
            <w:tcW w:type="dxa" w:w="2280"/>
          </w:tcPr>
          <w:p>
            <w:pPr>
              <w:spacing w:after="0"/>
              <w:jc w:val="left"/>
            </w:pPr>
            <w:r/>
            <w:r>
              <w:rPr>
                <w:rFonts w:ascii="Times New Roman" w:hAnsi="Times New Roman" w:eastAsia="宋体"/>
                <w:b w:val="0"/>
                <w:sz w:val="21"/>
              </w:rPr>
              <w:t>第1章</w:t>
            </w:r>
          </w:p>
        </w:tc>
        <w:tc>
          <w:tcPr>
            <w:tcW w:type="dxa" w:w="2280"/>
          </w:tcPr>
          <w:p>
            <w:pPr>
              <w:spacing w:after="0"/>
              <w:jc w:val="left"/>
            </w:pPr>
            <w:r/>
            <w:r>
              <w:rPr>
                <w:rFonts w:ascii="Times New Roman" w:hAnsi="Times New Roman" w:eastAsia="宋体"/>
                <w:b w:val="0"/>
                <w:sz w:val="21"/>
              </w:rPr>
              <w:t>用老式打印备份验证，求助管理员被拒</w:t>
            </w:r>
          </w:p>
        </w:tc>
        <w:tc>
          <w:tcPr>
            <w:tcW w:type="dxa" w:w="2280"/>
          </w:tcPr>
          <w:p>
            <w:pPr>
              <w:spacing w:after="0"/>
              <w:jc w:val="left"/>
            </w:pPr>
            <w:r/>
            <w:r>
              <w:rPr>
                <w:rFonts w:ascii="Times New Roman" w:hAnsi="Times New Roman" w:eastAsia="宋体"/>
                <w:b w:val="0"/>
                <w:sz w:val="21"/>
              </w:rPr>
              <w:t>纸质备份、管理员拒绝开放原始档案均被写入</w:t>
            </w:r>
          </w:p>
        </w:tc>
        <w:tc>
          <w:tcPr>
            <w:tcW w:type="dxa" w:w="2280"/>
          </w:tcPr>
          <w:p>
            <w:pPr>
              <w:spacing w:after="0"/>
              <w:jc w:val="left"/>
            </w:pPr>
            <w:r/>
            <w:r>
              <w:rPr>
                <w:rFonts w:ascii="Times New Roman" w:hAnsi="Times New Roman" w:eastAsia="宋体"/>
                <w:b w:val="0"/>
                <w:sz w:val="21"/>
              </w:rPr>
              <w:t>完全落实</w:t>
            </w:r>
          </w:p>
        </w:tc>
      </w:tr>
      <w:tr>
        <w:tc>
          <w:tcPr>
            <w:tcW w:type="dxa" w:w="2280"/>
          </w:tcPr>
          <w:p>
            <w:pPr>
              <w:spacing w:after="0"/>
              <w:jc w:val="left"/>
            </w:pPr>
            <w:r/>
            <w:r>
              <w:rPr>
                <w:rFonts w:ascii="Times New Roman" w:hAnsi="Times New Roman" w:eastAsia="宋体"/>
                <w:b w:val="0"/>
                <w:sz w:val="21"/>
              </w:rPr>
              <w:t>第1章</w:t>
            </w:r>
          </w:p>
        </w:tc>
        <w:tc>
          <w:tcPr>
            <w:tcW w:type="dxa" w:w="2280"/>
          </w:tcPr>
          <w:p>
            <w:pPr>
              <w:spacing w:after="0"/>
              <w:jc w:val="left"/>
            </w:pPr>
            <w:r/>
            <w:r>
              <w:rPr>
                <w:rFonts w:ascii="Times New Roman" w:hAnsi="Times New Roman" w:eastAsia="宋体"/>
                <w:b w:val="0"/>
                <w:sz w:val="21"/>
              </w:rPr>
              <w:t>陌生男子携旧照片出现</w:t>
            </w:r>
          </w:p>
        </w:tc>
        <w:tc>
          <w:tcPr>
            <w:tcW w:type="dxa" w:w="2280"/>
          </w:tcPr>
          <w:p>
            <w:pPr>
              <w:spacing w:after="0"/>
              <w:jc w:val="left"/>
            </w:pPr>
            <w:r/>
            <w:r>
              <w:rPr>
                <w:rFonts w:ascii="Times New Roman" w:hAnsi="Times New Roman" w:eastAsia="宋体"/>
                <w:b w:val="0"/>
                <w:sz w:val="21"/>
              </w:rPr>
              <w:t>右眉有疤的男子在结尾放下母亲旧照片</w:t>
            </w:r>
          </w:p>
        </w:tc>
        <w:tc>
          <w:tcPr>
            <w:tcW w:type="dxa" w:w="2280"/>
          </w:tcPr>
          <w:p>
            <w:pPr>
              <w:spacing w:after="0"/>
              <w:jc w:val="left"/>
            </w:pPr>
            <w:r/>
            <w:r>
              <w:rPr>
                <w:rFonts w:ascii="Times New Roman" w:hAnsi="Times New Roman" w:eastAsia="宋体"/>
                <w:b w:val="0"/>
                <w:sz w:val="21"/>
              </w:rPr>
              <w:t>完全落实</w:t>
            </w:r>
          </w:p>
        </w:tc>
      </w:tr>
      <w:tr>
        <w:tc>
          <w:tcPr>
            <w:tcW w:type="dxa" w:w="2280"/>
          </w:tcPr>
          <w:p>
            <w:pPr>
              <w:spacing w:after="0"/>
              <w:jc w:val="left"/>
            </w:pPr>
            <w:r/>
            <w:r>
              <w:rPr>
                <w:rFonts w:ascii="Times New Roman" w:hAnsi="Times New Roman" w:eastAsia="宋体"/>
                <w:b w:val="0"/>
                <w:sz w:val="21"/>
              </w:rPr>
              <w:t>第2章</w:t>
            </w:r>
          </w:p>
        </w:tc>
        <w:tc>
          <w:tcPr>
            <w:tcW w:type="dxa" w:w="2280"/>
          </w:tcPr>
          <w:p>
            <w:pPr>
              <w:spacing w:after="0"/>
              <w:jc w:val="left"/>
            </w:pPr>
            <w:r/>
            <w:r>
              <w:rPr>
                <w:rFonts w:ascii="Times New Roman" w:hAnsi="Times New Roman" w:eastAsia="宋体"/>
                <w:b w:val="0"/>
                <w:sz w:val="21"/>
              </w:rPr>
              <w:t>莫响说明来意，但记忆片段缺失</w:t>
            </w:r>
          </w:p>
        </w:tc>
        <w:tc>
          <w:tcPr>
            <w:tcW w:type="dxa" w:w="2280"/>
          </w:tcPr>
          <w:p>
            <w:pPr>
              <w:spacing w:after="0"/>
              <w:jc w:val="left"/>
            </w:pPr>
            <w:r/>
            <w:r>
              <w:rPr>
                <w:rFonts w:ascii="Times New Roman" w:hAnsi="Times New Roman" w:eastAsia="宋体"/>
                <w:b w:val="0"/>
                <w:sz w:val="21"/>
              </w:rPr>
              <w:t>莫响自述身份记录存在而本人记忆被删除</w:t>
            </w:r>
          </w:p>
        </w:tc>
        <w:tc>
          <w:tcPr>
            <w:tcW w:type="dxa" w:w="2280"/>
          </w:tcPr>
          <w:p>
            <w:pPr>
              <w:spacing w:after="0"/>
              <w:jc w:val="left"/>
            </w:pPr>
            <w:r/>
            <w:r>
              <w:rPr>
                <w:rFonts w:ascii="Times New Roman" w:hAnsi="Times New Roman" w:eastAsia="宋体"/>
                <w:b w:val="0"/>
                <w:sz w:val="21"/>
              </w:rPr>
              <w:t>完全落实</w:t>
            </w:r>
          </w:p>
        </w:tc>
      </w:tr>
      <w:tr>
        <w:tc>
          <w:tcPr>
            <w:tcW w:type="dxa" w:w="2280"/>
          </w:tcPr>
          <w:p>
            <w:pPr>
              <w:spacing w:after="0"/>
              <w:jc w:val="left"/>
            </w:pPr>
            <w:r/>
            <w:r>
              <w:rPr>
                <w:rFonts w:ascii="Times New Roman" w:hAnsi="Times New Roman" w:eastAsia="宋体"/>
                <w:b w:val="0"/>
                <w:sz w:val="21"/>
              </w:rPr>
              <w:t>第2章</w:t>
            </w:r>
          </w:p>
        </w:tc>
        <w:tc>
          <w:tcPr>
            <w:tcW w:type="dxa" w:w="2280"/>
          </w:tcPr>
          <w:p>
            <w:pPr>
              <w:spacing w:after="0"/>
              <w:jc w:val="left"/>
            </w:pPr>
            <w:r/>
            <w:r>
              <w:rPr>
                <w:rFonts w:ascii="Times New Roman" w:hAnsi="Times New Roman" w:eastAsia="宋体"/>
                <w:b w:val="0"/>
                <w:sz w:val="21"/>
              </w:rPr>
              <w:t>林晚怀疑他是被删除记忆的证人</w:t>
            </w:r>
          </w:p>
        </w:tc>
        <w:tc>
          <w:tcPr>
            <w:tcW w:type="dxa" w:w="2280"/>
          </w:tcPr>
          <w:p>
            <w:pPr>
              <w:spacing w:after="0"/>
              <w:jc w:val="left"/>
            </w:pPr>
            <w:r/>
            <w:r>
              <w:rPr>
                <w:rFonts w:ascii="Times New Roman" w:hAnsi="Times New Roman" w:eastAsia="宋体"/>
                <w:b w:val="0"/>
                <w:sz w:val="21"/>
              </w:rPr>
              <w:t>正文以试探、追问和保持距离间接表现怀疑，但未明确形成判断</w:t>
            </w:r>
          </w:p>
        </w:tc>
        <w:tc>
          <w:tcPr>
            <w:tcW w:type="dxa" w:w="2280"/>
          </w:tcPr>
          <w:p>
            <w:pPr>
              <w:spacing w:after="0"/>
              <w:jc w:val="left"/>
            </w:pPr>
            <w:r/>
            <w:r>
              <w:rPr>
                <w:rFonts w:ascii="Times New Roman" w:hAnsi="Times New Roman" w:eastAsia="宋体"/>
                <w:b w:val="0"/>
                <w:sz w:val="21"/>
              </w:rPr>
              <w:t>部分落实</w:t>
            </w:r>
          </w:p>
        </w:tc>
      </w:tr>
      <w:tr>
        <w:tc>
          <w:tcPr>
            <w:tcW w:type="dxa" w:w="2280"/>
          </w:tcPr>
          <w:p>
            <w:pPr>
              <w:spacing w:after="0"/>
              <w:jc w:val="left"/>
            </w:pPr>
            <w:r/>
            <w:r>
              <w:rPr>
                <w:rFonts w:ascii="Times New Roman" w:hAnsi="Times New Roman" w:eastAsia="宋体"/>
                <w:b w:val="0"/>
                <w:sz w:val="21"/>
              </w:rPr>
              <w:t>第2章</w:t>
            </w:r>
          </w:p>
        </w:tc>
        <w:tc>
          <w:tcPr>
            <w:tcW w:type="dxa" w:w="2280"/>
          </w:tcPr>
          <w:p>
            <w:pPr>
              <w:spacing w:after="0"/>
              <w:jc w:val="left"/>
            </w:pPr>
            <w:r/>
            <w:r>
              <w:rPr>
                <w:rFonts w:ascii="Times New Roman" w:hAnsi="Times New Roman" w:eastAsia="宋体"/>
                <w:b w:val="0"/>
                <w:sz w:val="21"/>
              </w:rPr>
              <w:t>两人约定次日前往母亲旧居</w:t>
            </w:r>
          </w:p>
        </w:tc>
        <w:tc>
          <w:tcPr>
            <w:tcW w:type="dxa" w:w="2280"/>
          </w:tcPr>
          <w:p>
            <w:pPr>
              <w:spacing w:after="0"/>
              <w:jc w:val="left"/>
            </w:pPr>
            <w:r/>
            <w:r>
              <w:rPr>
                <w:rFonts w:ascii="Times New Roman" w:hAnsi="Times New Roman" w:eastAsia="宋体"/>
                <w:b w:val="0"/>
                <w:sz w:val="21"/>
              </w:rPr>
              <w:t>正文明确约定次日八点前往旧城区37号</w:t>
            </w:r>
          </w:p>
        </w:tc>
        <w:tc>
          <w:tcPr>
            <w:tcW w:type="dxa" w:w="2280"/>
          </w:tcPr>
          <w:p>
            <w:pPr>
              <w:spacing w:after="0"/>
              <w:jc w:val="left"/>
            </w:pPr>
            <w:r/>
            <w:r>
              <w:rPr>
                <w:rFonts w:ascii="Times New Roman" w:hAnsi="Times New Roman" w:eastAsia="宋体"/>
                <w:b w:val="0"/>
                <w:sz w:val="21"/>
              </w:rPr>
              <w:t>完全落实</w:t>
            </w:r>
          </w:p>
        </w:tc>
      </w:tr>
      <w:tr>
        <w:tc>
          <w:tcPr>
            <w:tcW w:type="dxa" w:w="2280"/>
          </w:tcPr>
          <w:p>
            <w:pPr>
              <w:spacing w:after="0"/>
              <w:jc w:val="left"/>
            </w:pPr>
            <w:r/>
            <w:r>
              <w:rPr>
                <w:rFonts w:ascii="Times New Roman" w:hAnsi="Times New Roman" w:eastAsia="宋体"/>
                <w:b w:val="0"/>
                <w:sz w:val="21"/>
              </w:rPr>
              <w:t>第2章</w:t>
            </w:r>
          </w:p>
        </w:tc>
        <w:tc>
          <w:tcPr>
            <w:tcW w:type="dxa" w:w="2280"/>
          </w:tcPr>
          <w:p>
            <w:pPr>
              <w:spacing w:after="0"/>
              <w:jc w:val="left"/>
            </w:pPr>
            <w:r/>
            <w:r>
              <w:rPr>
                <w:rFonts w:ascii="Times New Roman" w:hAnsi="Times New Roman" w:eastAsia="宋体"/>
                <w:b w:val="0"/>
                <w:sz w:val="21"/>
              </w:rPr>
              <w:t>门缝出现“记忆不可全信”的纸条</w:t>
            </w:r>
          </w:p>
        </w:tc>
        <w:tc>
          <w:tcPr>
            <w:tcW w:type="dxa" w:w="2280"/>
          </w:tcPr>
          <w:p>
            <w:pPr>
              <w:spacing w:after="0"/>
              <w:jc w:val="left"/>
            </w:pPr>
            <w:r/>
            <w:r>
              <w:rPr>
                <w:rFonts w:ascii="Times New Roman" w:hAnsi="Times New Roman" w:eastAsia="宋体"/>
                <w:b w:val="0"/>
                <w:sz w:val="21"/>
              </w:rPr>
              <w:t>结尾完整呈现纸条及与母亲相似的字迹</w:t>
            </w:r>
          </w:p>
        </w:tc>
        <w:tc>
          <w:tcPr>
            <w:tcW w:type="dxa" w:w="2280"/>
          </w:tcPr>
          <w:p>
            <w:pPr>
              <w:spacing w:after="0"/>
              <w:jc w:val="left"/>
            </w:pPr>
            <w:r/>
            <w:r>
              <w:rPr>
                <w:rFonts w:ascii="Times New Roman" w:hAnsi="Times New Roman" w:eastAsia="宋体"/>
                <w:b w:val="0"/>
                <w:sz w:val="21"/>
              </w:rPr>
              <w:t>完全落实</w:t>
            </w:r>
          </w:p>
        </w:tc>
      </w:tr>
    </w:tbl>
    <w:p/>
    <w:p>
      <w:pPr>
        <w:spacing w:line="360" w:lineRule="auto" w:after="0"/>
        <w:ind w:firstLine="480"/>
        <w:jc w:val="both"/>
      </w:pPr>
      <w:r>
        <w:rPr>
          <w:rFonts w:ascii="Times New Roman" w:hAnsi="Times New Roman" w:eastAsia="宋体"/>
          <w:sz w:val="24"/>
        </w:rPr>
        <w:t>两章共核查8项，其中7项完全落实、1项部分落实，映射得分为：</w:t>
      </w:r>
    </w:p>
    <w:p>
      <w:pPr>
        <w:spacing w:line="360" w:lineRule="auto" w:after="0"/>
        <w:ind w:firstLine="480"/>
        <w:jc w:val="both"/>
      </w:pPr>
      <w:r>
        <w:rPr>
          <w:rFonts w:ascii="Times New Roman" w:hAnsi="Times New Roman" w:eastAsia="宋体"/>
          <w:sz w:val="24"/>
        </w:rPr>
        <w:t>(7×1+1×0.5)÷8=93.75%</w:t>
      </w:r>
    </w:p>
    <w:p>
      <w:pPr>
        <w:spacing w:line="360" w:lineRule="auto" w:after="0"/>
        <w:ind w:firstLine="480"/>
        <w:jc w:val="both"/>
      </w:pPr>
      <w:r>
        <w:rPr>
          <w:rFonts w:ascii="Times New Roman" w:hAnsi="Times New Roman" w:eastAsia="宋体"/>
          <w:sz w:val="24"/>
        </w:rPr>
        <w:t>此外，第1章设置的右眉疤痕、旧照片、三次日期篡改、旧皮手套和“会呼吸的书架”等信息均在第2章继续出现或被自然承接。由此可见，正文生成并非脱离大纲自由扩写，而是在章节概要、关键事件和章末悬念的共同约束下展开，Plan-And-Write式“先规划、后写作”思路在本系统中得到了初步落实。</w:t>
      </w:r>
    </w:p>
    <w:p>
      <w:pPr>
        <w:pStyle w:val="Heading1"/>
        <w:spacing w:before="240" w:after="120"/>
      </w:pPr>
      <w:r>
        <w:rPr>
          <w:rFonts w:ascii="Times New Roman" w:hAnsi="Times New Roman" w:eastAsia="黑体"/>
          <w:b/>
          <w:sz w:val="32"/>
        </w:rPr>
        <w:t>4.2 提示词工程的有效性</w:t>
      </w:r>
    </w:p>
    <w:p>
      <w:pPr>
        <w:spacing w:line="360" w:lineRule="auto" w:after="0"/>
        <w:ind w:firstLine="480"/>
        <w:jc w:val="both"/>
      </w:pPr>
      <w:r>
        <w:rPr>
          <w:rFonts w:ascii="Times New Roman" w:hAnsi="Times New Roman" w:eastAsia="宋体"/>
          <w:sz w:val="24"/>
        </w:rPr>
        <w:t>本节依据第3章正文提示词中的文学规则，对两章正文进行人工标注。标注关注冰山理论、描写与修辞、叙事方式、时间控制和结尾形式等可观察要素。</w:t>
      </w:r>
    </w:p>
    <w:p>
      <w:pPr>
        <w:spacing w:before="120" w:after="80"/>
        <w:jc w:val="center"/>
      </w:pPr>
      <w:r>
        <w:rPr>
          <w:rFonts w:ascii="Times New Roman" w:hAnsi="Times New Roman" w:eastAsia="宋体"/>
          <w:b/>
          <w:sz w:val="21"/>
        </w:rPr>
        <w:t>表4-3 文学理论与写作规则命中情况</w:t>
      </w:r>
    </w:p>
    <w:tbl>
      <w:tblPr>
        <w:tblStyle w:val="TableGrid"/>
        <w:tblW w:type="auto" w:w="0"/>
        <w:tblLayout w:type="autofit"/>
        <w:tblLook w:firstColumn="1" w:firstRow="1" w:lastColumn="0" w:lastRow="0" w:noHBand="0" w:noVBand="1" w:val="04A0"/>
      </w:tblPr>
      <w:tblGrid>
        <w:gridCol w:w="1824"/>
        <w:gridCol w:w="1824"/>
        <w:gridCol w:w="1824"/>
        <w:gridCol w:w="1824"/>
        <w:gridCol w:w="1824"/>
      </w:tblGrid>
      <w:tr>
        <w:tc>
          <w:tcPr>
            <w:tcW w:type="dxa" w:w="1824"/>
            <w:shd w:fill="D9E2F3"/>
          </w:tcPr>
          <w:p>
            <w:pPr>
              <w:spacing w:after="0"/>
              <w:jc w:val="center"/>
            </w:pPr>
            <w:r/>
            <w:r>
              <w:rPr>
                <w:rFonts w:ascii="Times New Roman" w:hAnsi="Times New Roman" w:eastAsia="宋体"/>
                <w:b/>
                <w:sz w:val="21"/>
              </w:rPr>
              <w:t>验证项目</w:t>
            </w:r>
          </w:p>
        </w:tc>
        <w:tc>
          <w:tcPr>
            <w:tcW w:type="dxa" w:w="1824"/>
            <w:shd w:fill="D9E2F3"/>
          </w:tcPr>
          <w:p>
            <w:pPr>
              <w:spacing w:after="0"/>
              <w:jc w:val="center"/>
            </w:pPr>
            <w:r/>
            <w:r>
              <w:rPr>
                <w:rFonts w:ascii="Times New Roman" w:hAnsi="Times New Roman" w:eastAsia="宋体"/>
                <w:b/>
                <w:sz w:val="21"/>
              </w:rPr>
              <w:t>提示词要求</w:t>
            </w:r>
          </w:p>
        </w:tc>
        <w:tc>
          <w:tcPr>
            <w:tcW w:type="dxa" w:w="1824"/>
            <w:shd w:fill="D9E2F3"/>
          </w:tcPr>
          <w:p>
            <w:pPr>
              <w:spacing w:after="0"/>
              <w:jc w:val="center"/>
            </w:pPr>
            <w:r/>
            <w:r>
              <w:rPr>
                <w:rFonts w:ascii="Times New Roman" w:hAnsi="Times New Roman" w:eastAsia="宋体"/>
                <w:b/>
                <w:sz w:val="21"/>
              </w:rPr>
              <w:t>第1章</w:t>
            </w:r>
          </w:p>
        </w:tc>
        <w:tc>
          <w:tcPr>
            <w:tcW w:type="dxa" w:w="1824"/>
            <w:shd w:fill="D9E2F3"/>
          </w:tcPr>
          <w:p>
            <w:pPr>
              <w:spacing w:after="0"/>
              <w:jc w:val="center"/>
            </w:pPr>
            <w:r/>
            <w:r>
              <w:rPr>
                <w:rFonts w:ascii="Times New Roman" w:hAnsi="Times New Roman" w:eastAsia="宋体"/>
                <w:b/>
                <w:sz w:val="21"/>
              </w:rPr>
              <w:t>第2章</w:t>
            </w:r>
          </w:p>
        </w:tc>
        <w:tc>
          <w:tcPr>
            <w:tcW w:type="dxa" w:w="1824"/>
            <w:shd w:fill="D9E2F3"/>
          </w:tcPr>
          <w:p>
            <w:pPr>
              <w:spacing w:after="0"/>
              <w:jc w:val="center"/>
            </w:pPr>
            <w:r/>
            <w:r>
              <w:rPr>
                <w:rFonts w:ascii="Times New Roman" w:hAnsi="Times New Roman" w:eastAsia="宋体"/>
                <w:b/>
                <w:sz w:val="21"/>
              </w:rPr>
              <w:t>结论</w:t>
            </w:r>
          </w:p>
        </w:tc>
      </w:tr>
      <w:tr>
        <w:tc>
          <w:tcPr>
            <w:tcW w:type="dxa" w:w="1824"/>
          </w:tcPr>
          <w:p>
            <w:pPr>
              <w:spacing w:after="0"/>
              <w:jc w:val="left"/>
            </w:pPr>
            <w:r/>
            <w:r>
              <w:rPr>
                <w:rFonts w:ascii="Times New Roman" w:hAnsi="Times New Roman" w:eastAsia="宋体"/>
                <w:b w:val="0"/>
                <w:sz w:val="21"/>
              </w:rPr>
              <w:t>表层行为—深层含义映射</w:t>
            </w:r>
          </w:p>
        </w:tc>
        <w:tc>
          <w:tcPr>
            <w:tcW w:type="dxa" w:w="1824"/>
          </w:tcPr>
          <w:p>
            <w:pPr>
              <w:spacing w:after="0"/>
              <w:jc w:val="left"/>
            </w:pPr>
            <w:r/>
            <w:r>
              <w:rPr>
                <w:rFonts w:ascii="Times New Roman" w:hAnsi="Times New Roman" w:eastAsia="宋体"/>
                <w:b w:val="0"/>
                <w:sz w:val="21"/>
              </w:rPr>
              <w:t>每章至少3处</w:t>
            </w:r>
          </w:p>
        </w:tc>
        <w:tc>
          <w:tcPr>
            <w:tcW w:type="dxa" w:w="1824"/>
          </w:tcPr>
          <w:p>
            <w:pPr>
              <w:spacing w:after="0"/>
              <w:jc w:val="left"/>
            </w:pPr>
            <w:r/>
            <w:r>
              <w:rPr>
                <w:rFonts w:ascii="Times New Roman" w:hAnsi="Times New Roman" w:eastAsia="宋体"/>
                <w:b w:val="0"/>
                <w:sz w:val="21"/>
              </w:rPr>
              <w:t>5处</w:t>
            </w:r>
          </w:p>
        </w:tc>
        <w:tc>
          <w:tcPr>
            <w:tcW w:type="dxa" w:w="1824"/>
          </w:tcPr>
          <w:p>
            <w:pPr>
              <w:spacing w:after="0"/>
              <w:jc w:val="left"/>
            </w:pPr>
            <w:r/>
            <w:r>
              <w:rPr>
                <w:rFonts w:ascii="Times New Roman" w:hAnsi="Times New Roman" w:eastAsia="宋体"/>
                <w:b w:val="0"/>
                <w:sz w:val="21"/>
              </w:rPr>
              <w:t>6处</w:t>
            </w:r>
          </w:p>
        </w:tc>
        <w:tc>
          <w:tcPr>
            <w:tcW w:type="dxa" w:w="1824"/>
          </w:tcPr>
          <w:p>
            <w:pPr>
              <w:spacing w:after="0"/>
              <w:jc w:val="left"/>
            </w:pPr>
            <w:r/>
            <w:r>
              <w:rPr>
                <w:rFonts w:ascii="Times New Roman" w:hAnsi="Times New Roman" w:eastAsia="宋体"/>
                <w:b w:val="0"/>
                <w:sz w:val="21"/>
              </w:rPr>
              <w:t>命中</w:t>
            </w:r>
          </w:p>
        </w:tc>
      </w:tr>
      <w:tr>
        <w:tc>
          <w:tcPr>
            <w:tcW w:type="dxa" w:w="1824"/>
          </w:tcPr>
          <w:p>
            <w:pPr>
              <w:spacing w:after="0"/>
              <w:jc w:val="left"/>
            </w:pPr>
            <w:r/>
            <w:r>
              <w:rPr>
                <w:rFonts w:ascii="Times New Roman" w:hAnsi="Times New Roman" w:eastAsia="宋体"/>
                <w:b w:val="0"/>
                <w:sz w:val="21"/>
              </w:rPr>
              <w:t>描写手法</w:t>
            </w:r>
          </w:p>
        </w:tc>
        <w:tc>
          <w:tcPr>
            <w:tcW w:type="dxa" w:w="1824"/>
          </w:tcPr>
          <w:p>
            <w:pPr>
              <w:spacing w:after="0"/>
              <w:jc w:val="left"/>
            </w:pPr>
            <w:r/>
            <w:r>
              <w:rPr>
                <w:rFonts w:ascii="Times New Roman" w:hAnsi="Times New Roman" w:eastAsia="宋体"/>
                <w:b w:val="0"/>
                <w:sz w:val="21"/>
              </w:rPr>
              <w:t>每章至少3种</w:t>
            </w:r>
          </w:p>
        </w:tc>
        <w:tc>
          <w:tcPr>
            <w:tcW w:type="dxa" w:w="1824"/>
          </w:tcPr>
          <w:p>
            <w:pPr>
              <w:spacing w:after="0"/>
              <w:jc w:val="left"/>
            </w:pPr>
            <w:r/>
            <w:r>
              <w:rPr>
                <w:rFonts w:ascii="Times New Roman" w:hAnsi="Times New Roman" w:eastAsia="宋体"/>
                <w:b w:val="0"/>
                <w:sz w:val="21"/>
              </w:rPr>
              <w:t>动作、语言、环境、神态、心理</w:t>
            </w:r>
          </w:p>
        </w:tc>
        <w:tc>
          <w:tcPr>
            <w:tcW w:type="dxa" w:w="1824"/>
          </w:tcPr>
          <w:p>
            <w:pPr>
              <w:spacing w:after="0"/>
              <w:jc w:val="left"/>
            </w:pPr>
            <w:r/>
            <w:r>
              <w:rPr>
                <w:rFonts w:ascii="Times New Roman" w:hAnsi="Times New Roman" w:eastAsia="宋体"/>
                <w:b w:val="0"/>
                <w:sz w:val="21"/>
              </w:rPr>
              <w:t>动作、语言、环境、外貌、心理</w:t>
            </w:r>
          </w:p>
        </w:tc>
        <w:tc>
          <w:tcPr>
            <w:tcW w:type="dxa" w:w="1824"/>
          </w:tcPr>
          <w:p>
            <w:pPr>
              <w:spacing w:after="0"/>
              <w:jc w:val="left"/>
            </w:pPr>
            <w:r/>
            <w:r>
              <w:rPr>
                <w:rFonts w:ascii="Times New Roman" w:hAnsi="Times New Roman" w:eastAsia="宋体"/>
                <w:b w:val="0"/>
                <w:sz w:val="21"/>
              </w:rPr>
              <w:t>命中</w:t>
            </w:r>
          </w:p>
        </w:tc>
      </w:tr>
      <w:tr>
        <w:tc>
          <w:tcPr>
            <w:tcW w:type="dxa" w:w="1824"/>
          </w:tcPr>
          <w:p>
            <w:pPr>
              <w:spacing w:after="0"/>
              <w:jc w:val="left"/>
            </w:pPr>
            <w:r/>
            <w:r>
              <w:rPr>
                <w:rFonts w:ascii="Times New Roman" w:hAnsi="Times New Roman" w:eastAsia="宋体"/>
                <w:b w:val="0"/>
                <w:sz w:val="21"/>
              </w:rPr>
              <w:t>修辞手法</w:t>
            </w:r>
          </w:p>
        </w:tc>
        <w:tc>
          <w:tcPr>
            <w:tcW w:type="dxa" w:w="1824"/>
          </w:tcPr>
          <w:p>
            <w:pPr>
              <w:spacing w:after="0"/>
              <w:jc w:val="left"/>
            </w:pPr>
            <w:r/>
            <w:r>
              <w:rPr>
                <w:rFonts w:ascii="Times New Roman" w:hAnsi="Times New Roman" w:eastAsia="宋体"/>
                <w:b w:val="0"/>
                <w:sz w:val="21"/>
              </w:rPr>
              <w:t>每章至少2种</w:t>
            </w:r>
          </w:p>
        </w:tc>
        <w:tc>
          <w:tcPr>
            <w:tcW w:type="dxa" w:w="1824"/>
          </w:tcPr>
          <w:p>
            <w:pPr>
              <w:spacing w:after="0"/>
              <w:jc w:val="left"/>
            </w:pPr>
            <w:r/>
            <w:r>
              <w:rPr>
                <w:rFonts w:ascii="Times New Roman" w:hAnsi="Times New Roman" w:eastAsia="宋体"/>
                <w:b w:val="0"/>
                <w:sz w:val="21"/>
              </w:rPr>
              <w:t>比喻、拟人、借喻、对比</w:t>
            </w:r>
          </w:p>
        </w:tc>
        <w:tc>
          <w:tcPr>
            <w:tcW w:type="dxa" w:w="1824"/>
          </w:tcPr>
          <w:p>
            <w:pPr>
              <w:spacing w:after="0"/>
              <w:jc w:val="left"/>
            </w:pPr>
            <w:r/>
            <w:r>
              <w:rPr>
                <w:rFonts w:ascii="Times New Roman" w:hAnsi="Times New Roman" w:eastAsia="宋体"/>
                <w:b w:val="0"/>
                <w:sz w:val="21"/>
              </w:rPr>
              <w:t>比喻、拟人、借喻、通感</w:t>
            </w:r>
          </w:p>
        </w:tc>
        <w:tc>
          <w:tcPr>
            <w:tcW w:type="dxa" w:w="1824"/>
          </w:tcPr>
          <w:p>
            <w:pPr>
              <w:spacing w:after="0"/>
              <w:jc w:val="left"/>
            </w:pPr>
            <w:r/>
            <w:r>
              <w:rPr>
                <w:rFonts w:ascii="Times New Roman" w:hAnsi="Times New Roman" w:eastAsia="宋体"/>
                <w:b w:val="0"/>
                <w:sz w:val="21"/>
              </w:rPr>
              <w:t>命中</w:t>
            </w:r>
          </w:p>
        </w:tc>
      </w:tr>
      <w:tr>
        <w:tc>
          <w:tcPr>
            <w:tcW w:type="dxa" w:w="1824"/>
          </w:tcPr>
          <w:p>
            <w:pPr>
              <w:spacing w:after="0"/>
              <w:jc w:val="left"/>
            </w:pPr>
            <w:r/>
            <w:r>
              <w:rPr>
                <w:rFonts w:ascii="Times New Roman" w:hAnsi="Times New Roman" w:eastAsia="宋体"/>
                <w:b w:val="0"/>
                <w:sz w:val="21"/>
              </w:rPr>
              <w:t>叙述人称</w:t>
            </w:r>
          </w:p>
        </w:tc>
        <w:tc>
          <w:tcPr>
            <w:tcW w:type="dxa" w:w="1824"/>
          </w:tcPr>
          <w:p>
            <w:pPr>
              <w:spacing w:after="0"/>
              <w:jc w:val="left"/>
            </w:pPr>
            <w:r/>
            <w:r>
              <w:rPr>
                <w:rFonts w:ascii="Times New Roman" w:hAnsi="Times New Roman" w:eastAsia="宋体"/>
                <w:b w:val="0"/>
                <w:sz w:val="21"/>
              </w:rPr>
              <w:t>至少2种</w:t>
            </w:r>
          </w:p>
        </w:tc>
        <w:tc>
          <w:tcPr>
            <w:tcW w:type="dxa" w:w="1824"/>
          </w:tcPr>
          <w:p>
            <w:pPr>
              <w:spacing w:after="0"/>
              <w:jc w:val="left"/>
            </w:pPr>
            <w:r/>
            <w:r>
              <w:rPr>
                <w:rFonts w:ascii="Times New Roman" w:hAnsi="Times New Roman" w:eastAsia="宋体"/>
                <w:b w:val="0"/>
                <w:sz w:val="21"/>
              </w:rPr>
              <w:t>以第三人称为主</w:t>
            </w:r>
          </w:p>
        </w:tc>
        <w:tc>
          <w:tcPr>
            <w:tcW w:type="dxa" w:w="1824"/>
          </w:tcPr>
          <w:p>
            <w:pPr>
              <w:spacing w:after="0"/>
              <w:jc w:val="left"/>
            </w:pPr>
            <w:r/>
            <w:r>
              <w:rPr>
                <w:rFonts w:ascii="Times New Roman" w:hAnsi="Times New Roman" w:eastAsia="宋体"/>
                <w:b w:val="0"/>
                <w:sz w:val="21"/>
              </w:rPr>
              <w:t>以第三人称为主</w:t>
            </w:r>
          </w:p>
        </w:tc>
        <w:tc>
          <w:tcPr>
            <w:tcW w:type="dxa" w:w="1824"/>
          </w:tcPr>
          <w:p>
            <w:pPr>
              <w:spacing w:after="0"/>
              <w:jc w:val="left"/>
            </w:pPr>
            <w:r/>
            <w:r>
              <w:rPr>
                <w:rFonts w:ascii="Times New Roman" w:hAnsi="Times New Roman" w:eastAsia="宋体"/>
                <w:b w:val="0"/>
                <w:sz w:val="21"/>
              </w:rPr>
              <w:t>未命中</w:t>
            </w:r>
          </w:p>
        </w:tc>
      </w:tr>
      <w:tr>
        <w:tc>
          <w:tcPr>
            <w:tcW w:type="dxa" w:w="1824"/>
          </w:tcPr>
          <w:p>
            <w:pPr>
              <w:spacing w:after="0"/>
              <w:jc w:val="left"/>
            </w:pPr>
            <w:r/>
            <w:r>
              <w:rPr>
                <w:rFonts w:ascii="Times New Roman" w:hAnsi="Times New Roman" w:eastAsia="宋体"/>
                <w:b w:val="0"/>
                <w:sz w:val="21"/>
              </w:rPr>
              <w:t>其他叙事方式</w:t>
            </w:r>
          </w:p>
        </w:tc>
        <w:tc>
          <w:tcPr>
            <w:tcW w:type="dxa" w:w="1824"/>
          </w:tcPr>
          <w:p>
            <w:pPr>
              <w:spacing w:after="0"/>
              <w:jc w:val="left"/>
            </w:pPr>
            <w:r/>
            <w:r>
              <w:rPr>
                <w:rFonts w:ascii="Times New Roman" w:hAnsi="Times New Roman" w:eastAsia="宋体"/>
                <w:b w:val="0"/>
                <w:sz w:val="21"/>
              </w:rPr>
              <w:t>至少1种</w:t>
            </w:r>
          </w:p>
        </w:tc>
        <w:tc>
          <w:tcPr>
            <w:tcW w:type="dxa" w:w="1824"/>
          </w:tcPr>
          <w:p>
            <w:pPr>
              <w:spacing w:after="0"/>
              <w:jc w:val="left"/>
            </w:pPr>
            <w:r/>
            <w:r>
              <w:rPr>
                <w:rFonts w:ascii="Times New Roman" w:hAnsi="Times New Roman" w:eastAsia="宋体"/>
                <w:b w:val="0"/>
                <w:sz w:val="21"/>
              </w:rPr>
              <w:t>插叙母亲生前片段</w:t>
            </w:r>
          </w:p>
        </w:tc>
        <w:tc>
          <w:tcPr>
            <w:tcW w:type="dxa" w:w="1824"/>
          </w:tcPr>
          <w:p>
            <w:pPr>
              <w:spacing w:after="0"/>
              <w:jc w:val="left"/>
            </w:pPr>
            <w:r/>
            <w:r>
              <w:rPr>
                <w:rFonts w:ascii="Times New Roman" w:hAnsi="Times New Roman" w:eastAsia="宋体"/>
                <w:b w:val="0"/>
                <w:sz w:val="21"/>
              </w:rPr>
              <w:t>延续线索并使用场景切换</w:t>
            </w:r>
          </w:p>
        </w:tc>
        <w:tc>
          <w:tcPr>
            <w:tcW w:type="dxa" w:w="1824"/>
          </w:tcPr>
          <w:p>
            <w:pPr>
              <w:spacing w:after="0"/>
              <w:jc w:val="left"/>
            </w:pPr>
            <w:r/>
            <w:r>
              <w:rPr>
                <w:rFonts w:ascii="Times New Roman" w:hAnsi="Times New Roman" w:eastAsia="宋体"/>
                <w:b w:val="0"/>
                <w:sz w:val="21"/>
              </w:rPr>
              <w:t>基本命中</w:t>
            </w:r>
          </w:p>
        </w:tc>
      </w:tr>
      <w:tr>
        <w:tc>
          <w:tcPr>
            <w:tcW w:type="dxa" w:w="1824"/>
          </w:tcPr>
          <w:p>
            <w:pPr>
              <w:spacing w:after="0"/>
              <w:jc w:val="left"/>
            </w:pPr>
            <w:r/>
            <w:r>
              <w:rPr>
                <w:rFonts w:ascii="Times New Roman" w:hAnsi="Times New Roman" w:eastAsia="宋体"/>
                <w:b w:val="0"/>
                <w:sz w:val="21"/>
              </w:rPr>
              <w:t>成语或固定表达</w:t>
            </w:r>
          </w:p>
        </w:tc>
        <w:tc>
          <w:tcPr>
            <w:tcW w:type="dxa" w:w="1824"/>
          </w:tcPr>
          <w:p>
            <w:pPr>
              <w:spacing w:after="0"/>
              <w:jc w:val="left"/>
            </w:pPr>
            <w:r/>
            <w:r>
              <w:rPr>
                <w:rFonts w:ascii="Times New Roman" w:hAnsi="Times New Roman" w:eastAsia="宋体"/>
                <w:b w:val="0"/>
                <w:sz w:val="21"/>
              </w:rPr>
              <w:t>每章至少2个</w:t>
            </w:r>
          </w:p>
        </w:tc>
        <w:tc>
          <w:tcPr>
            <w:tcW w:type="dxa" w:w="1824"/>
          </w:tcPr>
          <w:p>
            <w:pPr>
              <w:spacing w:after="0"/>
              <w:jc w:val="left"/>
            </w:pPr>
            <w:r/>
            <w:r>
              <w:rPr>
                <w:rFonts w:ascii="Times New Roman" w:hAnsi="Times New Roman" w:eastAsia="宋体"/>
                <w:b w:val="0"/>
                <w:sz w:val="21"/>
              </w:rPr>
              <w:t>“驾轻就熟”“无声无息”等</w:t>
            </w:r>
          </w:p>
        </w:tc>
        <w:tc>
          <w:tcPr>
            <w:tcW w:type="dxa" w:w="1824"/>
          </w:tcPr>
          <w:p>
            <w:pPr>
              <w:spacing w:after="0"/>
              <w:jc w:val="left"/>
            </w:pPr>
            <w:r/>
            <w:r>
              <w:rPr>
                <w:rFonts w:ascii="Times New Roman" w:hAnsi="Times New Roman" w:eastAsia="宋体"/>
                <w:b w:val="0"/>
                <w:sz w:val="21"/>
              </w:rPr>
              <w:t>“独一无二”“空无一人”“劈头盖脸”等</w:t>
            </w:r>
          </w:p>
        </w:tc>
        <w:tc>
          <w:tcPr>
            <w:tcW w:type="dxa" w:w="1824"/>
          </w:tcPr>
          <w:p>
            <w:pPr>
              <w:spacing w:after="0"/>
              <w:jc w:val="left"/>
            </w:pPr>
            <w:r/>
            <w:r>
              <w:rPr>
                <w:rFonts w:ascii="Times New Roman" w:hAnsi="Times New Roman" w:eastAsia="宋体"/>
                <w:b w:val="0"/>
                <w:sz w:val="21"/>
              </w:rPr>
              <w:t>命中</w:t>
            </w:r>
          </w:p>
        </w:tc>
      </w:tr>
      <w:tr>
        <w:tc>
          <w:tcPr>
            <w:tcW w:type="dxa" w:w="1824"/>
          </w:tcPr>
          <w:p>
            <w:pPr>
              <w:spacing w:after="0"/>
              <w:jc w:val="left"/>
            </w:pPr>
            <w:r/>
            <w:r>
              <w:rPr>
                <w:rFonts w:ascii="Times New Roman" w:hAnsi="Times New Roman" w:eastAsia="宋体"/>
                <w:b w:val="0"/>
                <w:sz w:val="21"/>
              </w:rPr>
              <w:t>时间控制</w:t>
            </w:r>
          </w:p>
        </w:tc>
        <w:tc>
          <w:tcPr>
            <w:tcW w:type="dxa" w:w="1824"/>
          </w:tcPr>
          <w:p>
            <w:pPr>
              <w:spacing w:after="0"/>
              <w:jc w:val="left"/>
            </w:pPr>
            <w:r/>
            <w:r>
              <w:rPr>
                <w:rFonts w:ascii="Times New Roman" w:hAnsi="Times New Roman" w:eastAsia="宋体"/>
                <w:b w:val="0"/>
                <w:sz w:val="21"/>
              </w:rPr>
              <w:t>至少1种</w:t>
            </w:r>
          </w:p>
        </w:tc>
        <w:tc>
          <w:tcPr>
            <w:tcW w:type="dxa" w:w="1824"/>
          </w:tcPr>
          <w:p>
            <w:pPr>
              <w:spacing w:after="0"/>
              <w:jc w:val="left"/>
            </w:pPr>
            <w:r/>
            <w:r>
              <w:rPr>
                <w:rFonts w:ascii="Times New Roman" w:hAnsi="Times New Roman" w:eastAsia="宋体"/>
                <w:b w:val="0"/>
                <w:sz w:val="21"/>
              </w:rPr>
              <w:t>以光线变化表现午后至黄昏，并在异常日期处放慢</w:t>
            </w:r>
          </w:p>
        </w:tc>
        <w:tc>
          <w:tcPr>
            <w:tcW w:type="dxa" w:w="1824"/>
          </w:tcPr>
          <w:p>
            <w:pPr>
              <w:spacing w:after="0"/>
              <w:jc w:val="left"/>
            </w:pPr>
            <w:r/>
            <w:r>
              <w:rPr>
                <w:rFonts w:ascii="Times New Roman" w:hAnsi="Times New Roman" w:eastAsia="宋体"/>
                <w:b w:val="0"/>
                <w:sz w:val="21"/>
              </w:rPr>
              <w:t>承接上章，在对话和纸条出现处放慢</w:t>
            </w:r>
          </w:p>
        </w:tc>
        <w:tc>
          <w:tcPr>
            <w:tcW w:type="dxa" w:w="1824"/>
          </w:tcPr>
          <w:p>
            <w:pPr>
              <w:spacing w:after="0"/>
              <w:jc w:val="left"/>
            </w:pPr>
            <w:r/>
            <w:r>
              <w:rPr>
                <w:rFonts w:ascii="Times New Roman" w:hAnsi="Times New Roman" w:eastAsia="宋体"/>
                <w:b w:val="0"/>
                <w:sz w:val="21"/>
              </w:rPr>
              <w:t>命中</w:t>
            </w:r>
          </w:p>
        </w:tc>
      </w:tr>
      <w:tr>
        <w:tc>
          <w:tcPr>
            <w:tcW w:type="dxa" w:w="1824"/>
          </w:tcPr>
          <w:p>
            <w:pPr>
              <w:spacing w:after="0"/>
              <w:jc w:val="left"/>
            </w:pPr>
            <w:r/>
            <w:r>
              <w:rPr>
                <w:rFonts w:ascii="Times New Roman" w:hAnsi="Times New Roman" w:eastAsia="宋体"/>
                <w:b w:val="0"/>
                <w:sz w:val="21"/>
              </w:rPr>
              <w:t>结尾形式</w:t>
            </w:r>
          </w:p>
        </w:tc>
        <w:tc>
          <w:tcPr>
            <w:tcW w:type="dxa" w:w="1824"/>
          </w:tcPr>
          <w:p>
            <w:pPr>
              <w:spacing w:after="0"/>
              <w:jc w:val="left"/>
            </w:pPr>
            <w:r/>
            <w:r>
              <w:rPr>
                <w:rFonts w:ascii="Times New Roman" w:hAnsi="Times New Roman" w:eastAsia="宋体"/>
                <w:b w:val="0"/>
                <w:sz w:val="21"/>
              </w:rPr>
              <w:t>禁止问句，以悬念或余味收束</w:t>
            </w:r>
          </w:p>
        </w:tc>
        <w:tc>
          <w:tcPr>
            <w:tcW w:type="dxa" w:w="1824"/>
          </w:tcPr>
          <w:p>
            <w:pPr>
              <w:spacing w:after="0"/>
              <w:jc w:val="left"/>
            </w:pPr>
            <w:r/>
            <w:r>
              <w:rPr>
                <w:rFonts w:ascii="Times New Roman" w:hAnsi="Times New Roman" w:eastAsia="宋体"/>
                <w:b w:val="0"/>
                <w:sz w:val="21"/>
              </w:rPr>
              <w:t>陌生男子说“你母亲在等你”</w:t>
            </w:r>
          </w:p>
        </w:tc>
        <w:tc>
          <w:tcPr>
            <w:tcW w:type="dxa" w:w="1824"/>
          </w:tcPr>
          <w:p>
            <w:pPr>
              <w:spacing w:after="0"/>
              <w:jc w:val="left"/>
            </w:pPr>
            <w:r/>
            <w:r>
              <w:rPr>
                <w:rFonts w:ascii="Times New Roman" w:hAnsi="Times New Roman" w:eastAsia="宋体"/>
                <w:b w:val="0"/>
                <w:sz w:val="21"/>
              </w:rPr>
              <w:t>纸条与“呼吸”意象收束</w:t>
            </w:r>
          </w:p>
        </w:tc>
        <w:tc>
          <w:tcPr>
            <w:tcW w:type="dxa" w:w="1824"/>
          </w:tcPr>
          <w:p>
            <w:pPr>
              <w:spacing w:after="0"/>
              <w:jc w:val="left"/>
            </w:pPr>
            <w:r/>
            <w:r>
              <w:rPr>
                <w:rFonts w:ascii="Times New Roman" w:hAnsi="Times New Roman" w:eastAsia="宋体"/>
                <w:b w:val="0"/>
                <w:sz w:val="21"/>
              </w:rPr>
              <w:t>命中</w:t>
            </w:r>
          </w:p>
        </w:tc>
      </w:tr>
    </w:tbl>
    <w:p/>
    <w:p>
      <w:pPr>
        <w:spacing w:line="360" w:lineRule="auto" w:after="0"/>
        <w:ind w:firstLine="480"/>
        <w:jc w:val="both"/>
      </w:pPr>
      <w:r>
        <w:rPr>
          <w:rFonts w:ascii="Times New Roman" w:hAnsi="Times New Roman" w:eastAsia="宋体"/>
          <w:sz w:val="24"/>
        </w:rPr>
        <w:t>冰山理论方面，第1章中“林晚握紧旧皮手套”表层上只是动作，深层指向她面对母亲旧案时被压抑的震动；管理员低头回避视线暗示其知情与隐瞒；林晚将截屏藏入私人云端则体现她从遵守规程转向主动越界。第2章中，莫响看到照片时手指发抖、林晚反复触碰旧手套、两人在关键问题前的沉默等细节，均以行为和物件替代直接心理说明。由此可见，提示词能够将“冰山理论”转化为模型可执行的文本特征。</w:t>
      </w:r>
    </w:p>
    <w:p>
      <w:pPr>
        <w:spacing w:line="360" w:lineRule="auto" w:after="0"/>
        <w:ind w:firstLine="480"/>
        <w:jc w:val="both"/>
      </w:pPr>
      <w:r>
        <w:rPr>
          <w:rFonts w:ascii="Times New Roman" w:hAnsi="Times New Roman" w:eastAsia="宋体"/>
          <w:sz w:val="24"/>
        </w:rPr>
        <w:t>在语言层面，正文多次使用“书架像肺叶呼吸”“雨水将城市涂成铅灰”“声音像被雨水泡过”等比喻、拟人和通感表达，环境意象与记忆主题保持一致。章节均未采用“早上—中午—晚上”的机械流水账，而是通过雨势、光线、楼道灯和物件状态暗示时间变化，说明时间控制提示对生成节奏产生了可观察影响。</w:t>
      </w:r>
    </w:p>
    <w:p>
      <w:pPr>
        <w:spacing w:line="360" w:lineRule="auto" w:after="0"/>
        <w:ind w:firstLine="480"/>
        <w:jc w:val="both"/>
      </w:pPr>
      <w:r>
        <w:rPr>
          <w:rFonts w:ascii="Times New Roman" w:hAnsi="Times New Roman" w:eastAsia="宋体"/>
          <w:sz w:val="24"/>
        </w:rPr>
        <w:t>但实验也暴露出软约束的概率性局限。两章均以第三人称为主，没有真正实现“至少两种人称叙述”的要求；第2章虽通过问答表现林晚的怀疑，但没有完全落实“将莫响判断为被删除记忆的证人”这一认知节点。这说明复杂文学规则可以提高输出质量的期望值，却不能像程序约束一样保证逐条执行。本次实验也未设置“无提示词”对照组，因此只能证明理论要素在有提示词输出中可被观察到，尚不能严格量化提示词相对于无提示词条件的净增益。</w:t>
      </w:r>
    </w:p>
    <w:p>
      <w:pPr>
        <w:pStyle w:val="Heading1"/>
        <w:spacing w:before="240" w:after="120"/>
      </w:pPr>
      <w:r>
        <w:rPr>
          <w:rFonts w:ascii="Times New Roman" w:hAnsi="Times New Roman" w:eastAsia="黑体"/>
          <w:b/>
          <w:sz w:val="32"/>
        </w:rPr>
        <w:t>4.3 上下文管理与记忆机制的有效性</w:t>
      </w:r>
    </w:p>
    <w:p>
      <w:pPr>
        <w:spacing w:line="360" w:lineRule="auto" w:after="0"/>
        <w:ind w:firstLine="480"/>
        <w:jc w:val="both"/>
      </w:pPr>
      <w:r>
        <w:rPr>
          <w:rFonts w:ascii="Times New Roman" w:hAnsi="Times New Roman" w:eastAsia="宋体"/>
          <w:sz w:val="24"/>
        </w:rPr>
        <w:t>系统在生成第2章时没有重新传入第1章全文，而是将第1章的summary作为CONTINUITY_SUMMARIES输入。第1章正文为1563个字符，摘要为92个字符，摘要长度仅占正文的5.89%。两章合计正文3380个字符、摘要209个字符，综合摘要比例为6.18%。</w:t>
      </w:r>
    </w:p>
    <w:p>
      <w:pPr>
        <w:spacing w:before="120" w:after="80"/>
        <w:jc w:val="center"/>
      </w:pPr>
      <w:r>
        <w:rPr>
          <w:rFonts w:ascii="Times New Roman" w:hAnsi="Times New Roman" w:eastAsia="宋体"/>
          <w:b/>
          <w:sz w:val="21"/>
        </w:rPr>
        <w:t>表4-4 摘要压缩结果</w:t>
      </w:r>
    </w:p>
    <w:tbl>
      <w:tblPr>
        <w:tblStyle w:val="TableGrid"/>
        <w:tblW w:type="auto" w:w="0"/>
        <w:tblLayout w:type="autofit"/>
        <w:tblLook w:firstColumn="1" w:firstRow="1" w:lastColumn="0" w:lastRow="0" w:noHBand="0" w:noVBand="1" w:val="04A0"/>
      </w:tblPr>
      <w:tblGrid>
        <w:gridCol w:w="2280"/>
        <w:gridCol w:w="2280"/>
        <w:gridCol w:w="2280"/>
        <w:gridCol w:w="2280"/>
      </w:tblGrid>
      <w:tr>
        <w:tc>
          <w:tcPr>
            <w:tcW w:type="dxa" w:w="2280"/>
            <w:shd w:fill="D9E2F3"/>
          </w:tcPr>
          <w:p>
            <w:pPr>
              <w:spacing w:after="0"/>
              <w:jc w:val="center"/>
            </w:pPr>
            <w:r/>
            <w:r>
              <w:rPr>
                <w:rFonts w:ascii="Times New Roman" w:hAnsi="Times New Roman" w:eastAsia="宋体"/>
                <w:b/>
                <w:sz w:val="21"/>
              </w:rPr>
              <w:t>章节</w:t>
            </w:r>
          </w:p>
        </w:tc>
        <w:tc>
          <w:tcPr>
            <w:tcW w:type="dxa" w:w="2280"/>
            <w:shd w:fill="D9E2F3"/>
          </w:tcPr>
          <w:p>
            <w:pPr>
              <w:spacing w:after="0"/>
              <w:jc w:val="center"/>
            </w:pPr>
            <w:r/>
            <w:r>
              <w:rPr>
                <w:rFonts w:ascii="Times New Roman" w:hAnsi="Times New Roman" w:eastAsia="宋体"/>
                <w:b/>
                <w:sz w:val="21"/>
              </w:rPr>
              <w:t>正文字符数</w:t>
            </w:r>
          </w:p>
        </w:tc>
        <w:tc>
          <w:tcPr>
            <w:tcW w:type="dxa" w:w="2280"/>
            <w:shd w:fill="D9E2F3"/>
          </w:tcPr>
          <w:p>
            <w:pPr>
              <w:spacing w:after="0"/>
              <w:jc w:val="center"/>
            </w:pPr>
            <w:r/>
            <w:r>
              <w:rPr>
                <w:rFonts w:ascii="Times New Roman" w:hAnsi="Times New Roman" w:eastAsia="宋体"/>
                <w:b/>
                <w:sz w:val="21"/>
              </w:rPr>
              <w:t>摘要字符数</w:t>
            </w:r>
          </w:p>
        </w:tc>
        <w:tc>
          <w:tcPr>
            <w:tcW w:type="dxa" w:w="2280"/>
            <w:shd w:fill="D9E2F3"/>
          </w:tcPr>
          <w:p>
            <w:pPr>
              <w:spacing w:after="0"/>
              <w:jc w:val="center"/>
            </w:pPr>
            <w:r/>
            <w:r>
              <w:rPr>
                <w:rFonts w:ascii="Times New Roman" w:hAnsi="Times New Roman" w:eastAsia="宋体"/>
                <w:b/>
                <w:sz w:val="21"/>
              </w:rPr>
              <w:t>摘要/正文</w:t>
            </w:r>
          </w:p>
        </w:tc>
      </w:tr>
      <w:tr>
        <w:tc>
          <w:tcPr>
            <w:tcW w:type="dxa" w:w="2280"/>
          </w:tcPr>
          <w:p>
            <w:pPr>
              <w:spacing w:after="0"/>
              <w:jc w:val="left"/>
            </w:pPr>
            <w:r/>
            <w:r>
              <w:rPr>
                <w:rFonts w:ascii="Times New Roman" w:hAnsi="Times New Roman" w:eastAsia="宋体"/>
                <w:b w:val="0"/>
                <w:sz w:val="21"/>
              </w:rPr>
              <w:t>第1章</w:t>
            </w:r>
          </w:p>
        </w:tc>
        <w:tc>
          <w:tcPr>
            <w:tcW w:type="dxa" w:w="2280"/>
          </w:tcPr>
          <w:p>
            <w:pPr>
              <w:spacing w:after="0"/>
              <w:jc w:val="left"/>
            </w:pPr>
            <w:r/>
            <w:r>
              <w:rPr>
                <w:rFonts w:ascii="Times New Roman" w:hAnsi="Times New Roman" w:eastAsia="宋体"/>
                <w:b w:val="0"/>
                <w:sz w:val="21"/>
              </w:rPr>
              <w:t>1563</w:t>
            </w:r>
          </w:p>
        </w:tc>
        <w:tc>
          <w:tcPr>
            <w:tcW w:type="dxa" w:w="2280"/>
          </w:tcPr>
          <w:p>
            <w:pPr>
              <w:spacing w:after="0"/>
              <w:jc w:val="left"/>
            </w:pPr>
            <w:r/>
            <w:r>
              <w:rPr>
                <w:rFonts w:ascii="Times New Roman" w:hAnsi="Times New Roman" w:eastAsia="宋体"/>
                <w:b w:val="0"/>
                <w:sz w:val="21"/>
              </w:rPr>
              <w:t>92</w:t>
            </w:r>
          </w:p>
        </w:tc>
        <w:tc>
          <w:tcPr>
            <w:tcW w:type="dxa" w:w="2280"/>
          </w:tcPr>
          <w:p>
            <w:pPr>
              <w:spacing w:after="0"/>
              <w:jc w:val="left"/>
            </w:pPr>
            <w:r/>
            <w:r>
              <w:rPr>
                <w:rFonts w:ascii="Times New Roman" w:hAnsi="Times New Roman" w:eastAsia="宋体"/>
                <w:b w:val="0"/>
                <w:sz w:val="21"/>
              </w:rPr>
              <w:t>5.89%</w:t>
            </w:r>
          </w:p>
        </w:tc>
      </w:tr>
      <w:tr>
        <w:tc>
          <w:tcPr>
            <w:tcW w:type="dxa" w:w="2280"/>
          </w:tcPr>
          <w:p>
            <w:pPr>
              <w:spacing w:after="0"/>
              <w:jc w:val="left"/>
            </w:pPr>
            <w:r/>
            <w:r>
              <w:rPr>
                <w:rFonts w:ascii="Times New Roman" w:hAnsi="Times New Roman" w:eastAsia="宋体"/>
                <w:b w:val="0"/>
                <w:sz w:val="21"/>
              </w:rPr>
              <w:t>第2章</w:t>
            </w:r>
          </w:p>
        </w:tc>
        <w:tc>
          <w:tcPr>
            <w:tcW w:type="dxa" w:w="2280"/>
          </w:tcPr>
          <w:p>
            <w:pPr>
              <w:spacing w:after="0"/>
              <w:jc w:val="left"/>
            </w:pPr>
            <w:r/>
            <w:r>
              <w:rPr>
                <w:rFonts w:ascii="Times New Roman" w:hAnsi="Times New Roman" w:eastAsia="宋体"/>
                <w:b w:val="0"/>
                <w:sz w:val="21"/>
              </w:rPr>
              <w:t>1817</w:t>
            </w:r>
          </w:p>
        </w:tc>
        <w:tc>
          <w:tcPr>
            <w:tcW w:type="dxa" w:w="2280"/>
          </w:tcPr>
          <w:p>
            <w:pPr>
              <w:spacing w:after="0"/>
              <w:jc w:val="left"/>
            </w:pPr>
            <w:r/>
            <w:r>
              <w:rPr>
                <w:rFonts w:ascii="Times New Roman" w:hAnsi="Times New Roman" w:eastAsia="宋体"/>
                <w:b w:val="0"/>
                <w:sz w:val="21"/>
              </w:rPr>
              <w:t>117</w:t>
            </w:r>
          </w:p>
        </w:tc>
        <w:tc>
          <w:tcPr>
            <w:tcW w:type="dxa" w:w="2280"/>
          </w:tcPr>
          <w:p>
            <w:pPr>
              <w:spacing w:after="0"/>
              <w:jc w:val="left"/>
            </w:pPr>
            <w:r/>
            <w:r>
              <w:rPr>
                <w:rFonts w:ascii="Times New Roman" w:hAnsi="Times New Roman" w:eastAsia="宋体"/>
                <w:b w:val="0"/>
                <w:sz w:val="21"/>
              </w:rPr>
              <w:t>6.44%</w:t>
            </w:r>
          </w:p>
        </w:tc>
      </w:tr>
      <w:tr>
        <w:tc>
          <w:tcPr>
            <w:tcW w:type="dxa" w:w="2280"/>
          </w:tcPr>
          <w:p>
            <w:pPr>
              <w:spacing w:after="0"/>
              <w:jc w:val="left"/>
            </w:pPr>
            <w:r/>
            <w:r>
              <w:rPr>
                <w:rFonts w:ascii="Times New Roman" w:hAnsi="Times New Roman" w:eastAsia="宋体"/>
                <w:b w:val="0"/>
                <w:sz w:val="21"/>
              </w:rPr>
              <w:t>合计</w:t>
            </w:r>
          </w:p>
        </w:tc>
        <w:tc>
          <w:tcPr>
            <w:tcW w:type="dxa" w:w="2280"/>
          </w:tcPr>
          <w:p>
            <w:pPr>
              <w:spacing w:after="0"/>
              <w:jc w:val="left"/>
            </w:pPr>
            <w:r/>
            <w:r>
              <w:rPr>
                <w:rFonts w:ascii="Times New Roman" w:hAnsi="Times New Roman" w:eastAsia="宋体"/>
                <w:b w:val="0"/>
                <w:sz w:val="21"/>
              </w:rPr>
              <w:t>3380</w:t>
            </w:r>
          </w:p>
        </w:tc>
        <w:tc>
          <w:tcPr>
            <w:tcW w:type="dxa" w:w="2280"/>
          </w:tcPr>
          <w:p>
            <w:pPr>
              <w:spacing w:after="0"/>
              <w:jc w:val="left"/>
            </w:pPr>
            <w:r/>
            <w:r>
              <w:rPr>
                <w:rFonts w:ascii="Times New Roman" w:hAnsi="Times New Roman" w:eastAsia="宋体"/>
                <w:b w:val="0"/>
                <w:sz w:val="21"/>
              </w:rPr>
              <w:t>209</w:t>
            </w:r>
          </w:p>
        </w:tc>
        <w:tc>
          <w:tcPr>
            <w:tcW w:type="dxa" w:w="2280"/>
          </w:tcPr>
          <w:p>
            <w:pPr>
              <w:spacing w:after="0"/>
              <w:jc w:val="left"/>
            </w:pPr>
            <w:r/>
            <w:r>
              <w:rPr>
                <w:rFonts w:ascii="Times New Roman" w:hAnsi="Times New Roman" w:eastAsia="宋体"/>
                <w:b w:val="0"/>
                <w:sz w:val="21"/>
              </w:rPr>
              <w:t>6.18%</w:t>
            </w:r>
          </w:p>
        </w:tc>
      </w:tr>
    </w:tbl>
    <w:p/>
    <w:p>
      <w:pPr>
        <w:spacing w:line="360" w:lineRule="auto" w:after="0"/>
        <w:ind w:firstLine="480"/>
        <w:jc w:val="both"/>
      </w:pPr>
      <w:r>
        <w:rPr>
          <w:rFonts w:ascii="Times New Roman" w:hAnsi="Times New Roman" w:eastAsia="宋体"/>
          <w:sz w:val="24"/>
        </w:rPr>
        <w:t>在仅携带第1章92字符摘要的情况下，第2章仍然正确承接了以下信息：</w:t>
      </w:r>
    </w:p>
    <w:p>
      <w:pPr>
        <w:spacing w:before="120" w:after="80"/>
        <w:jc w:val="center"/>
      </w:pPr>
      <w:r>
        <w:rPr>
          <w:rFonts w:ascii="Times New Roman" w:hAnsi="Times New Roman" w:eastAsia="宋体"/>
          <w:b/>
          <w:sz w:val="21"/>
        </w:rPr>
        <w:t>表4-5 跨章一致性核查</w:t>
      </w:r>
    </w:p>
    <w:tbl>
      <w:tblPr>
        <w:tblStyle w:val="TableGrid"/>
        <w:tblW w:type="auto" w:w="0"/>
        <w:tblLayout w:type="autofit"/>
        <w:tblLook w:firstColumn="1" w:firstRow="1" w:lastColumn="0" w:lastRow="0" w:noHBand="0" w:noVBand="1" w:val="04A0"/>
      </w:tblPr>
      <w:tblGrid>
        <w:gridCol w:w="2280"/>
        <w:gridCol w:w="2280"/>
        <w:gridCol w:w="2280"/>
        <w:gridCol w:w="2280"/>
      </w:tblGrid>
      <w:tr>
        <w:tc>
          <w:tcPr>
            <w:tcW w:type="dxa" w:w="2280"/>
            <w:shd w:fill="D9E2F3"/>
          </w:tcPr>
          <w:p>
            <w:pPr>
              <w:spacing w:after="0"/>
              <w:jc w:val="center"/>
            </w:pPr>
            <w:r/>
            <w:r>
              <w:rPr>
                <w:rFonts w:ascii="Times New Roman" w:hAnsi="Times New Roman" w:eastAsia="宋体"/>
                <w:b/>
                <w:sz w:val="21"/>
              </w:rPr>
              <w:t>核查对象</w:t>
            </w:r>
          </w:p>
        </w:tc>
        <w:tc>
          <w:tcPr>
            <w:tcW w:type="dxa" w:w="2280"/>
            <w:shd w:fill="D9E2F3"/>
          </w:tcPr>
          <w:p>
            <w:pPr>
              <w:spacing w:after="0"/>
              <w:jc w:val="center"/>
            </w:pPr>
            <w:r/>
            <w:r>
              <w:rPr>
                <w:rFonts w:ascii="Times New Roman" w:hAnsi="Times New Roman" w:eastAsia="宋体"/>
                <w:b/>
                <w:sz w:val="21"/>
              </w:rPr>
              <w:t>第1章状态</w:t>
            </w:r>
          </w:p>
        </w:tc>
        <w:tc>
          <w:tcPr>
            <w:tcW w:type="dxa" w:w="2280"/>
            <w:shd w:fill="D9E2F3"/>
          </w:tcPr>
          <w:p>
            <w:pPr>
              <w:spacing w:after="0"/>
              <w:jc w:val="center"/>
            </w:pPr>
            <w:r/>
            <w:r>
              <w:rPr>
                <w:rFonts w:ascii="Times New Roman" w:hAnsi="Times New Roman" w:eastAsia="宋体"/>
                <w:b/>
                <w:sz w:val="21"/>
              </w:rPr>
              <w:t>第2章状态</w:t>
            </w:r>
          </w:p>
        </w:tc>
        <w:tc>
          <w:tcPr>
            <w:tcW w:type="dxa" w:w="2280"/>
            <w:shd w:fill="D9E2F3"/>
          </w:tcPr>
          <w:p>
            <w:pPr>
              <w:spacing w:after="0"/>
              <w:jc w:val="center"/>
            </w:pPr>
            <w:r/>
            <w:r>
              <w:rPr>
                <w:rFonts w:ascii="Times New Roman" w:hAnsi="Times New Roman" w:eastAsia="宋体"/>
                <w:b/>
                <w:sz w:val="21"/>
              </w:rPr>
              <w:t>是否一致</w:t>
            </w:r>
          </w:p>
        </w:tc>
      </w:tr>
      <w:tr>
        <w:tc>
          <w:tcPr>
            <w:tcW w:type="dxa" w:w="2280"/>
          </w:tcPr>
          <w:p>
            <w:pPr>
              <w:spacing w:after="0"/>
              <w:jc w:val="left"/>
            </w:pPr>
            <w:r/>
            <w:r>
              <w:rPr>
                <w:rFonts w:ascii="Times New Roman" w:hAnsi="Times New Roman" w:eastAsia="宋体"/>
                <w:b w:val="0"/>
                <w:sz w:val="21"/>
              </w:rPr>
              <w:t>人物关系</w:t>
            </w:r>
          </w:p>
        </w:tc>
        <w:tc>
          <w:tcPr>
            <w:tcW w:type="dxa" w:w="2280"/>
          </w:tcPr>
          <w:p>
            <w:pPr>
              <w:spacing w:after="0"/>
              <w:jc w:val="left"/>
            </w:pPr>
            <w:r/>
            <w:r>
              <w:rPr>
                <w:rFonts w:ascii="Times New Roman" w:hAnsi="Times New Roman" w:eastAsia="宋体"/>
                <w:b w:val="0"/>
                <w:sz w:val="21"/>
              </w:rPr>
              <w:t>林晚首次见到陌生男子</w:t>
            </w:r>
          </w:p>
        </w:tc>
        <w:tc>
          <w:tcPr>
            <w:tcW w:type="dxa" w:w="2280"/>
          </w:tcPr>
          <w:p>
            <w:pPr>
              <w:spacing w:after="0"/>
              <w:jc w:val="left"/>
            </w:pPr>
            <w:r/>
            <w:r>
              <w:rPr>
                <w:rFonts w:ascii="Times New Roman" w:hAnsi="Times New Roman" w:eastAsia="宋体"/>
                <w:b w:val="0"/>
                <w:sz w:val="21"/>
              </w:rPr>
              <w:t>男子确认姓名为莫响，关系转为谨慎合作</w:t>
            </w:r>
          </w:p>
        </w:tc>
        <w:tc>
          <w:tcPr>
            <w:tcW w:type="dxa" w:w="2280"/>
          </w:tcPr>
          <w:p>
            <w:pPr>
              <w:spacing w:after="0"/>
              <w:jc w:val="left"/>
            </w:pPr>
            <w:r/>
            <w:r>
              <w:rPr>
                <w:rFonts w:ascii="Times New Roman" w:hAnsi="Times New Roman" w:eastAsia="宋体"/>
                <w:b w:val="0"/>
                <w:sz w:val="21"/>
              </w:rPr>
              <w:t>是</w:t>
            </w:r>
          </w:p>
        </w:tc>
      </w:tr>
      <w:tr>
        <w:tc>
          <w:tcPr>
            <w:tcW w:type="dxa" w:w="2280"/>
          </w:tcPr>
          <w:p>
            <w:pPr>
              <w:spacing w:after="0"/>
              <w:jc w:val="left"/>
            </w:pPr>
            <w:r/>
            <w:r>
              <w:rPr>
                <w:rFonts w:ascii="Times New Roman" w:hAnsi="Times New Roman" w:eastAsia="宋体"/>
                <w:b w:val="0"/>
                <w:sz w:val="21"/>
              </w:rPr>
              <w:t>外貌标记</w:t>
            </w:r>
          </w:p>
        </w:tc>
        <w:tc>
          <w:tcPr>
            <w:tcW w:type="dxa" w:w="2280"/>
          </w:tcPr>
          <w:p>
            <w:pPr>
              <w:spacing w:after="0"/>
              <w:jc w:val="left"/>
            </w:pPr>
            <w:r/>
            <w:r>
              <w:rPr>
                <w:rFonts w:ascii="Times New Roman" w:hAnsi="Times New Roman" w:eastAsia="宋体"/>
                <w:b w:val="0"/>
                <w:sz w:val="21"/>
              </w:rPr>
              <w:t>陌生男子右眉有浅疤</w:t>
            </w:r>
          </w:p>
        </w:tc>
        <w:tc>
          <w:tcPr>
            <w:tcW w:type="dxa" w:w="2280"/>
          </w:tcPr>
          <w:p>
            <w:pPr>
              <w:spacing w:after="0"/>
              <w:jc w:val="left"/>
            </w:pPr>
            <w:r/>
            <w:r>
              <w:rPr>
                <w:rFonts w:ascii="Times New Roman" w:hAnsi="Times New Roman" w:eastAsia="宋体"/>
                <w:b w:val="0"/>
                <w:sz w:val="21"/>
              </w:rPr>
              <w:t>莫响右眉浅疤再次出现</w:t>
            </w:r>
          </w:p>
        </w:tc>
        <w:tc>
          <w:tcPr>
            <w:tcW w:type="dxa" w:w="2280"/>
          </w:tcPr>
          <w:p>
            <w:pPr>
              <w:spacing w:after="0"/>
              <w:jc w:val="left"/>
            </w:pPr>
            <w:r/>
            <w:r>
              <w:rPr>
                <w:rFonts w:ascii="Times New Roman" w:hAnsi="Times New Roman" w:eastAsia="宋体"/>
                <w:b w:val="0"/>
                <w:sz w:val="21"/>
              </w:rPr>
              <w:t>是</w:t>
            </w:r>
          </w:p>
        </w:tc>
      </w:tr>
      <w:tr>
        <w:tc>
          <w:tcPr>
            <w:tcW w:type="dxa" w:w="2280"/>
          </w:tcPr>
          <w:p>
            <w:pPr>
              <w:spacing w:after="0"/>
              <w:jc w:val="left"/>
            </w:pPr>
            <w:r/>
            <w:r>
              <w:rPr>
                <w:rFonts w:ascii="Times New Roman" w:hAnsi="Times New Roman" w:eastAsia="宋体"/>
                <w:b w:val="0"/>
                <w:sz w:val="21"/>
              </w:rPr>
              <w:t>人物物件</w:t>
            </w:r>
          </w:p>
        </w:tc>
        <w:tc>
          <w:tcPr>
            <w:tcW w:type="dxa" w:w="2280"/>
          </w:tcPr>
          <w:p>
            <w:pPr>
              <w:spacing w:after="0"/>
              <w:jc w:val="left"/>
            </w:pPr>
            <w:r/>
            <w:r>
              <w:rPr>
                <w:rFonts w:ascii="Times New Roman" w:hAnsi="Times New Roman" w:eastAsia="宋体"/>
                <w:b w:val="0"/>
                <w:sz w:val="21"/>
              </w:rPr>
              <w:t>林晚左手佩戴旧皮手套</w:t>
            </w:r>
          </w:p>
        </w:tc>
        <w:tc>
          <w:tcPr>
            <w:tcW w:type="dxa" w:w="2280"/>
          </w:tcPr>
          <w:p>
            <w:pPr>
              <w:spacing w:after="0"/>
              <w:jc w:val="left"/>
            </w:pPr>
            <w:r/>
            <w:r>
              <w:rPr>
                <w:rFonts w:ascii="Times New Roman" w:hAnsi="Times New Roman" w:eastAsia="宋体"/>
                <w:b w:val="0"/>
                <w:sz w:val="21"/>
              </w:rPr>
              <w:t>林晚通过触碰旧皮手套稳定情绪</w:t>
            </w:r>
          </w:p>
        </w:tc>
        <w:tc>
          <w:tcPr>
            <w:tcW w:type="dxa" w:w="2280"/>
          </w:tcPr>
          <w:p>
            <w:pPr>
              <w:spacing w:after="0"/>
              <w:jc w:val="left"/>
            </w:pPr>
            <w:r/>
            <w:r>
              <w:rPr>
                <w:rFonts w:ascii="Times New Roman" w:hAnsi="Times New Roman" w:eastAsia="宋体"/>
                <w:b w:val="0"/>
                <w:sz w:val="21"/>
              </w:rPr>
              <w:t>是</w:t>
            </w:r>
          </w:p>
        </w:tc>
      </w:tr>
      <w:tr>
        <w:tc>
          <w:tcPr>
            <w:tcW w:type="dxa" w:w="2280"/>
          </w:tcPr>
          <w:p>
            <w:pPr>
              <w:spacing w:after="0"/>
              <w:jc w:val="left"/>
            </w:pPr>
            <w:r/>
            <w:r>
              <w:rPr>
                <w:rFonts w:ascii="Times New Roman" w:hAnsi="Times New Roman" w:eastAsia="宋体"/>
                <w:b w:val="0"/>
                <w:sz w:val="21"/>
              </w:rPr>
              <w:t>核心线索</w:t>
            </w:r>
          </w:p>
        </w:tc>
        <w:tc>
          <w:tcPr>
            <w:tcW w:type="dxa" w:w="2280"/>
          </w:tcPr>
          <w:p>
            <w:pPr>
              <w:spacing w:after="0"/>
              <w:jc w:val="left"/>
            </w:pPr>
            <w:r/>
            <w:r>
              <w:rPr>
                <w:rFonts w:ascii="Times New Roman" w:hAnsi="Times New Roman" w:eastAsia="宋体"/>
                <w:b w:val="0"/>
                <w:sz w:val="21"/>
              </w:rPr>
              <w:t>母亲死亡日期被改写三次</w:t>
            </w:r>
          </w:p>
        </w:tc>
        <w:tc>
          <w:tcPr>
            <w:tcW w:type="dxa" w:w="2280"/>
          </w:tcPr>
          <w:p>
            <w:pPr>
              <w:spacing w:after="0"/>
              <w:jc w:val="left"/>
            </w:pPr>
            <w:r/>
            <w:r>
              <w:rPr>
                <w:rFonts w:ascii="Times New Roman" w:hAnsi="Times New Roman" w:eastAsia="宋体"/>
                <w:b w:val="0"/>
                <w:sz w:val="21"/>
              </w:rPr>
              <w:t>莫响准确提及日期改写三次</w:t>
            </w:r>
          </w:p>
        </w:tc>
        <w:tc>
          <w:tcPr>
            <w:tcW w:type="dxa" w:w="2280"/>
          </w:tcPr>
          <w:p>
            <w:pPr>
              <w:spacing w:after="0"/>
              <w:jc w:val="left"/>
            </w:pPr>
            <w:r/>
            <w:r>
              <w:rPr>
                <w:rFonts w:ascii="Times New Roman" w:hAnsi="Times New Roman" w:eastAsia="宋体"/>
                <w:b w:val="0"/>
                <w:sz w:val="21"/>
              </w:rPr>
              <w:t>是</w:t>
            </w:r>
          </w:p>
        </w:tc>
      </w:tr>
      <w:tr>
        <w:tc>
          <w:tcPr>
            <w:tcW w:type="dxa" w:w="2280"/>
          </w:tcPr>
          <w:p>
            <w:pPr>
              <w:spacing w:after="0"/>
              <w:jc w:val="left"/>
            </w:pPr>
            <w:r/>
            <w:r>
              <w:rPr>
                <w:rFonts w:ascii="Times New Roman" w:hAnsi="Times New Roman" w:eastAsia="宋体"/>
                <w:b w:val="0"/>
                <w:sz w:val="21"/>
              </w:rPr>
              <w:t>场景设定</w:t>
            </w:r>
          </w:p>
        </w:tc>
        <w:tc>
          <w:tcPr>
            <w:tcW w:type="dxa" w:w="2280"/>
          </w:tcPr>
          <w:p>
            <w:pPr>
              <w:spacing w:after="0"/>
              <w:jc w:val="left"/>
            </w:pPr>
            <w:r/>
            <w:r>
              <w:rPr>
                <w:rFonts w:ascii="Times New Roman" w:hAnsi="Times New Roman" w:eastAsia="宋体"/>
                <w:b w:val="0"/>
                <w:sz w:val="21"/>
              </w:rPr>
              <w:t>地下图书馆书架会随呼吸起伏</w:t>
            </w:r>
          </w:p>
        </w:tc>
        <w:tc>
          <w:tcPr>
            <w:tcW w:type="dxa" w:w="2280"/>
          </w:tcPr>
          <w:p>
            <w:pPr>
              <w:spacing w:after="0"/>
              <w:jc w:val="left"/>
            </w:pPr>
            <w:r/>
            <w:r>
              <w:rPr>
                <w:rFonts w:ascii="Times New Roman" w:hAnsi="Times New Roman" w:eastAsia="宋体"/>
                <w:b w:val="0"/>
                <w:sz w:val="21"/>
              </w:rPr>
              <w:t>第2章继续使用“肺叶”“呼吸”意象</w:t>
            </w:r>
          </w:p>
        </w:tc>
        <w:tc>
          <w:tcPr>
            <w:tcW w:type="dxa" w:w="2280"/>
          </w:tcPr>
          <w:p>
            <w:pPr>
              <w:spacing w:after="0"/>
              <w:jc w:val="left"/>
            </w:pPr>
            <w:r/>
            <w:r>
              <w:rPr>
                <w:rFonts w:ascii="Times New Roman" w:hAnsi="Times New Roman" w:eastAsia="宋体"/>
                <w:b w:val="0"/>
                <w:sz w:val="21"/>
              </w:rPr>
              <w:t>是</w:t>
            </w:r>
          </w:p>
        </w:tc>
      </w:tr>
      <w:tr>
        <w:tc>
          <w:tcPr>
            <w:tcW w:type="dxa" w:w="2280"/>
          </w:tcPr>
          <w:p>
            <w:pPr>
              <w:spacing w:after="0"/>
              <w:jc w:val="left"/>
            </w:pPr>
            <w:r/>
            <w:r>
              <w:rPr>
                <w:rFonts w:ascii="Times New Roman" w:hAnsi="Times New Roman" w:eastAsia="宋体"/>
                <w:b w:val="0"/>
                <w:sz w:val="21"/>
              </w:rPr>
              <w:t>章末事件</w:t>
            </w:r>
          </w:p>
        </w:tc>
        <w:tc>
          <w:tcPr>
            <w:tcW w:type="dxa" w:w="2280"/>
          </w:tcPr>
          <w:p>
            <w:pPr>
              <w:spacing w:after="0"/>
              <w:jc w:val="left"/>
            </w:pPr>
            <w:r/>
            <w:r>
              <w:rPr>
                <w:rFonts w:ascii="Times New Roman" w:hAnsi="Times New Roman" w:eastAsia="宋体"/>
                <w:b w:val="0"/>
                <w:sz w:val="21"/>
              </w:rPr>
              <w:t>陌生男子递出母亲旧照片</w:t>
            </w:r>
          </w:p>
        </w:tc>
        <w:tc>
          <w:tcPr>
            <w:tcW w:type="dxa" w:w="2280"/>
          </w:tcPr>
          <w:p>
            <w:pPr>
              <w:spacing w:after="0"/>
              <w:jc w:val="left"/>
            </w:pPr>
            <w:r/>
            <w:r>
              <w:rPr>
                <w:rFonts w:ascii="Times New Roman" w:hAnsi="Times New Roman" w:eastAsia="宋体"/>
                <w:b w:val="0"/>
                <w:sz w:val="21"/>
              </w:rPr>
              <w:t>第2章开头直接从照片继续</w:t>
            </w:r>
          </w:p>
        </w:tc>
        <w:tc>
          <w:tcPr>
            <w:tcW w:type="dxa" w:w="2280"/>
          </w:tcPr>
          <w:p>
            <w:pPr>
              <w:spacing w:after="0"/>
              <w:jc w:val="left"/>
            </w:pPr>
            <w:r/>
            <w:r>
              <w:rPr>
                <w:rFonts w:ascii="Times New Roman" w:hAnsi="Times New Roman" w:eastAsia="宋体"/>
                <w:b w:val="0"/>
                <w:sz w:val="21"/>
              </w:rPr>
              <w:t>是</w:t>
            </w:r>
          </w:p>
        </w:tc>
      </w:tr>
    </w:tbl>
    <w:p/>
    <w:p>
      <w:pPr>
        <w:spacing w:line="360" w:lineRule="auto" w:after="0"/>
        <w:ind w:firstLine="480"/>
        <w:jc w:val="both"/>
      </w:pPr>
      <w:r>
        <w:rPr>
          <w:rFonts w:ascii="Times New Roman" w:hAnsi="Times New Roman" w:eastAsia="宋体"/>
          <w:sz w:val="24"/>
        </w:rPr>
        <w:t>6项关键实体和状态均未出现明显矛盾，一致率为100%。该结果说明，在本次两章样本中，摘要式记忆以约5.89%的文本开销保留了足以支撑下一章的核心语境，验证了“完整大纲负责未来规划、连续性摘要负责过去状态”的互补设计。</w:t>
      </w:r>
    </w:p>
    <w:p>
      <w:pPr>
        <w:spacing w:line="360" w:lineRule="auto" w:after="0"/>
        <w:ind w:firstLine="480"/>
        <w:jc w:val="both"/>
      </w:pPr>
      <w:r>
        <w:rPr>
          <w:rFonts w:ascii="Times New Roman" w:hAnsi="Times New Roman" w:eastAsia="宋体"/>
          <w:sz w:val="24"/>
        </w:rPr>
        <w:t>不过，摘要压缩必然损失细节。第2章能够记住主要人物、物件和核心线索，并不代表长篇条件下所有次要人物、时间顺序和伏笔均能稳定保留。本实验只验证了相邻两章，没有进行“携带摘要/不携带摘要”的严格对照，也没有覆盖十章以上的长期漂移问题。因此，后续可增加人物状态表、物件状态表和伏笔追踪表，并由审校Agent在每章生成后自动更新。</w:t>
      </w:r>
    </w:p>
    <w:p>
      <w:pPr>
        <w:pStyle w:val="Heading1"/>
        <w:spacing w:before="240" w:after="120"/>
      </w:pPr>
      <w:r>
        <w:rPr>
          <w:rFonts w:ascii="Times New Roman" w:hAnsi="Times New Roman" w:eastAsia="黑体"/>
          <w:b/>
          <w:sz w:val="32"/>
        </w:rPr>
        <w:t>4.4 JSON自动修复机制的有效性</w:t>
      </w:r>
    </w:p>
    <w:p>
      <w:pPr>
        <w:spacing w:line="360" w:lineRule="auto" w:after="0"/>
        <w:ind w:firstLine="480"/>
        <w:jc w:val="both"/>
      </w:pPr>
      <w:r>
        <w:rPr>
          <w:rFonts w:ascii="Times New Roman" w:hAnsi="Times New Roman" w:eastAsia="宋体"/>
          <w:sz w:val="24"/>
        </w:rPr>
        <w:t>为验证DeepSeekClient中的JSON自纠错流程，本实验构造40个可控故障样本。其中包括10个合法JSON、20个可由本地规则处理的样本，以及10个需要模型重试的样本。本地故障类型包括Markdown代码围栏、JSON前后附加说明文字、尾随逗号、全角结构标点、字符串内换行和结构未闭合；模型重试样本包括根节点为数组、纯文本、单引号JSON、非法值undefined和括号类型不匹配。</w:t>
      </w:r>
    </w:p>
    <w:p>
      <w:pPr>
        <w:spacing w:before="120" w:after="80"/>
        <w:jc w:val="center"/>
      </w:pPr>
      <w:r>
        <w:rPr>
          <w:rFonts w:ascii="Times New Roman" w:hAnsi="Times New Roman" w:eastAsia="宋体"/>
          <w:b/>
          <w:sz w:val="21"/>
        </w:rPr>
        <w:t>表4-6 JSON分层修复结果</w:t>
      </w:r>
    </w:p>
    <w:tbl>
      <w:tblPr>
        <w:tblStyle w:val="TableGrid"/>
        <w:tblW w:type="auto" w:w="0"/>
        <w:tblLayout w:type="autofit"/>
        <w:tblLook w:firstColumn="1" w:firstRow="1" w:lastColumn="0" w:lastRow="0" w:noHBand="0" w:noVBand="1" w:val="04A0"/>
      </w:tblPr>
      <w:tblGrid>
        <w:gridCol w:w="2280"/>
        <w:gridCol w:w="2280"/>
        <w:gridCol w:w="2280"/>
        <w:gridCol w:w="2280"/>
      </w:tblGrid>
      <w:tr>
        <w:tc>
          <w:tcPr>
            <w:tcW w:type="dxa" w:w="2280"/>
            <w:shd w:fill="D9E2F3"/>
          </w:tcPr>
          <w:p>
            <w:pPr>
              <w:spacing w:after="0"/>
              <w:jc w:val="center"/>
            </w:pPr>
            <w:r/>
            <w:r>
              <w:rPr>
                <w:rFonts w:ascii="Times New Roman" w:hAnsi="Times New Roman" w:eastAsia="宋体"/>
                <w:b/>
                <w:sz w:val="21"/>
              </w:rPr>
              <w:t>处理阶段</w:t>
            </w:r>
          </w:p>
        </w:tc>
        <w:tc>
          <w:tcPr>
            <w:tcW w:type="dxa" w:w="2280"/>
            <w:shd w:fill="D9E2F3"/>
          </w:tcPr>
          <w:p>
            <w:pPr>
              <w:spacing w:after="0"/>
              <w:jc w:val="center"/>
            </w:pPr>
            <w:r/>
            <w:r>
              <w:rPr>
                <w:rFonts w:ascii="Times New Roman" w:hAnsi="Times New Roman" w:eastAsia="宋体"/>
                <w:b/>
                <w:sz w:val="21"/>
              </w:rPr>
              <w:t>本阶段成功数</w:t>
            </w:r>
          </w:p>
        </w:tc>
        <w:tc>
          <w:tcPr>
            <w:tcW w:type="dxa" w:w="2280"/>
            <w:shd w:fill="D9E2F3"/>
          </w:tcPr>
          <w:p>
            <w:pPr>
              <w:spacing w:after="0"/>
              <w:jc w:val="center"/>
            </w:pPr>
            <w:r/>
            <w:r>
              <w:rPr>
                <w:rFonts w:ascii="Times New Roman" w:hAnsi="Times New Roman" w:eastAsia="宋体"/>
                <w:b/>
                <w:sz w:val="21"/>
              </w:rPr>
              <w:t>占全部样本比例</w:t>
            </w:r>
          </w:p>
        </w:tc>
        <w:tc>
          <w:tcPr>
            <w:tcW w:type="dxa" w:w="2280"/>
            <w:shd w:fill="D9E2F3"/>
          </w:tcPr>
          <w:p>
            <w:pPr>
              <w:spacing w:after="0"/>
              <w:jc w:val="center"/>
            </w:pPr>
            <w:r/>
            <w:r>
              <w:rPr>
                <w:rFonts w:ascii="Times New Roman" w:hAnsi="Times New Roman" w:eastAsia="宋体"/>
                <w:b/>
                <w:sz w:val="21"/>
              </w:rPr>
              <w:t>累计语法解析成功率</w:t>
            </w:r>
          </w:p>
        </w:tc>
      </w:tr>
      <w:tr>
        <w:tc>
          <w:tcPr>
            <w:tcW w:type="dxa" w:w="2280"/>
          </w:tcPr>
          <w:p>
            <w:pPr>
              <w:spacing w:after="0"/>
              <w:jc w:val="left"/>
            </w:pPr>
            <w:r/>
            <w:r>
              <w:rPr>
                <w:rFonts w:ascii="Times New Roman" w:hAnsi="Times New Roman" w:eastAsia="宋体"/>
                <w:b w:val="0"/>
                <w:sz w:val="21"/>
              </w:rPr>
              <w:t>直接json.loads解析</w:t>
            </w:r>
          </w:p>
        </w:tc>
        <w:tc>
          <w:tcPr>
            <w:tcW w:type="dxa" w:w="2280"/>
          </w:tcPr>
          <w:p>
            <w:pPr>
              <w:spacing w:after="0"/>
              <w:jc w:val="left"/>
            </w:pPr>
            <w:r/>
            <w:r>
              <w:rPr>
                <w:rFonts w:ascii="Times New Roman" w:hAnsi="Times New Roman" w:eastAsia="宋体"/>
                <w:b w:val="0"/>
                <w:sz w:val="21"/>
              </w:rPr>
              <w:t>10</w:t>
            </w:r>
          </w:p>
        </w:tc>
        <w:tc>
          <w:tcPr>
            <w:tcW w:type="dxa" w:w="2280"/>
          </w:tcPr>
          <w:p>
            <w:pPr>
              <w:spacing w:after="0"/>
              <w:jc w:val="left"/>
            </w:pPr>
            <w:r/>
            <w:r>
              <w:rPr>
                <w:rFonts w:ascii="Times New Roman" w:hAnsi="Times New Roman" w:eastAsia="宋体"/>
                <w:b w:val="0"/>
                <w:sz w:val="21"/>
              </w:rPr>
              <w:t>25.00%</w:t>
            </w:r>
          </w:p>
        </w:tc>
        <w:tc>
          <w:tcPr>
            <w:tcW w:type="dxa" w:w="2280"/>
          </w:tcPr>
          <w:p>
            <w:pPr>
              <w:spacing w:after="0"/>
              <w:jc w:val="left"/>
            </w:pPr>
            <w:r/>
            <w:r>
              <w:rPr>
                <w:rFonts w:ascii="Times New Roman" w:hAnsi="Times New Roman" w:eastAsia="宋体"/>
                <w:b w:val="0"/>
                <w:sz w:val="21"/>
              </w:rPr>
              <w:t>25.00%</w:t>
            </w:r>
          </w:p>
        </w:tc>
      </w:tr>
      <w:tr>
        <w:tc>
          <w:tcPr>
            <w:tcW w:type="dxa" w:w="2280"/>
          </w:tcPr>
          <w:p>
            <w:pPr>
              <w:spacing w:after="0"/>
              <w:jc w:val="left"/>
            </w:pPr>
            <w:r/>
            <w:r>
              <w:rPr>
                <w:rFonts w:ascii="Times New Roman" w:hAnsi="Times New Roman" w:eastAsia="宋体"/>
                <w:b w:val="0"/>
                <w:sz w:val="21"/>
              </w:rPr>
              <w:t>本地预处理后解析</w:t>
            </w:r>
          </w:p>
        </w:tc>
        <w:tc>
          <w:tcPr>
            <w:tcW w:type="dxa" w:w="2280"/>
          </w:tcPr>
          <w:p>
            <w:pPr>
              <w:spacing w:after="0"/>
              <w:jc w:val="left"/>
            </w:pPr>
            <w:r/>
            <w:r>
              <w:rPr>
                <w:rFonts w:ascii="Times New Roman" w:hAnsi="Times New Roman" w:eastAsia="宋体"/>
                <w:b w:val="0"/>
                <w:sz w:val="21"/>
              </w:rPr>
              <w:t>20</w:t>
            </w:r>
          </w:p>
        </w:tc>
        <w:tc>
          <w:tcPr>
            <w:tcW w:type="dxa" w:w="2280"/>
          </w:tcPr>
          <w:p>
            <w:pPr>
              <w:spacing w:after="0"/>
              <w:jc w:val="left"/>
            </w:pPr>
            <w:r/>
            <w:r>
              <w:rPr>
                <w:rFonts w:ascii="Times New Roman" w:hAnsi="Times New Roman" w:eastAsia="宋体"/>
                <w:b w:val="0"/>
                <w:sz w:val="21"/>
              </w:rPr>
              <w:t>50.00%</w:t>
            </w:r>
          </w:p>
        </w:tc>
        <w:tc>
          <w:tcPr>
            <w:tcW w:type="dxa" w:w="2280"/>
          </w:tcPr>
          <w:p>
            <w:pPr>
              <w:spacing w:after="0"/>
              <w:jc w:val="left"/>
            </w:pPr>
            <w:r/>
            <w:r>
              <w:rPr>
                <w:rFonts w:ascii="Times New Roman" w:hAnsi="Times New Roman" w:eastAsia="宋体"/>
                <w:b w:val="0"/>
                <w:sz w:val="21"/>
              </w:rPr>
              <w:t>75.00%</w:t>
            </w:r>
          </w:p>
        </w:tc>
      </w:tr>
      <w:tr>
        <w:tc>
          <w:tcPr>
            <w:tcW w:type="dxa" w:w="2280"/>
          </w:tcPr>
          <w:p>
            <w:pPr>
              <w:spacing w:after="0"/>
              <w:jc w:val="left"/>
            </w:pPr>
            <w:r/>
            <w:r>
              <w:rPr>
                <w:rFonts w:ascii="Times New Roman" w:hAnsi="Times New Roman" w:eastAsia="宋体"/>
                <w:b w:val="0"/>
                <w:sz w:val="21"/>
              </w:rPr>
              <w:t>DeepSeek降温重试后解析</w:t>
            </w:r>
          </w:p>
        </w:tc>
        <w:tc>
          <w:tcPr>
            <w:tcW w:type="dxa" w:w="2280"/>
          </w:tcPr>
          <w:p>
            <w:pPr>
              <w:spacing w:after="0"/>
              <w:jc w:val="left"/>
            </w:pPr>
            <w:r/>
            <w:r>
              <w:rPr>
                <w:rFonts w:ascii="Times New Roman" w:hAnsi="Times New Roman" w:eastAsia="宋体"/>
                <w:b w:val="0"/>
                <w:sz w:val="21"/>
              </w:rPr>
              <w:t>10</w:t>
            </w:r>
          </w:p>
        </w:tc>
        <w:tc>
          <w:tcPr>
            <w:tcW w:type="dxa" w:w="2280"/>
          </w:tcPr>
          <w:p>
            <w:pPr>
              <w:spacing w:after="0"/>
              <w:jc w:val="left"/>
            </w:pPr>
            <w:r/>
            <w:r>
              <w:rPr>
                <w:rFonts w:ascii="Times New Roman" w:hAnsi="Times New Roman" w:eastAsia="宋体"/>
                <w:b w:val="0"/>
                <w:sz w:val="21"/>
              </w:rPr>
              <w:t>25.00%</w:t>
            </w:r>
          </w:p>
        </w:tc>
        <w:tc>
          <w:tcPr>
            <w:tcW w:type="dxa" w:w="2280"/>
          </w:tcPr>
          <w:p>
            <w:pPr>
              <w:spacing w:after="0"/>
              <w:jc w:val="left"/>
            </w:pPr>
            <w:r/>
            <w:r>
              <w:rPr>
                <w:rFonts w:ascii="Times New Roman" w:hAnsi="Times New Roman" w:eastAsia="宋体"/>
                <w:b w:val="0"/>
                <w:sz w:val="21"/>
              </w:rPr>
              <w:t>100.00%</w:t>
            </w:r>
          </w:p>
        </w:tc>
      </w:tr>
      <w:tr>
        <w:tc>
          <w:tcPr>
            <w:tcW w:type="dxa" w:w="2280"/>
          </w:tcPr>
          <w:p>
            <w:pPr>
              <w:spacing w:after="0"/>
              <w:jc w:val="left"/>
            </w:pPr>
            <w:r/>
            <w:r>
              <w:rPr>
                <w:rFonts w:ascii="Times New Roman" w:hAnsi="Times New Roman" w:eastAsia="宋体"/>
                <w:b w:val="0"/>
                <w:sz w:val="21"/>
              </w:rPr>
              <w:t>最终失败</w:t>
            </w:r>
          </w:p>
        </w:tc>
        <w:tc>
          <w:tcPr>
            <w:tcW w:type="dxa" w:w="2280"/>
          </w:tcPr>
          <w:p>
            <w:pPr>
              <w:spacing w:after="0"/>
              <w:jc w:val="left"/>
            </w:pPr>
            <w:r/>
            <w:r>
              <w:rPr>
                <w:rFonts w:ascii="Times New Roman" w:hAnsi="Times New Roman" w:eastAsia="宋体"/>
                <w:b w:val="0"/>
                <w:sz w:val="21"/>
              </w:rPr>
              <w:t>0</w:t>
            </w:r>
          </w:p>
        </w:tc>
        <w:tc>
          <w:tcPr>
            <w:tcW w:type="dxa" w:w="2280"/>
          </w:tcPr>
          <w:p>
            <w:pPr>
              <w:spacing w:after="0"/>
              <w:jc w:val="left"/>
            </w:pPr>
            <w:r/>
            <w:r>
              <w:rPr>
                <w:rFonts w:ascii="Times New Roman" w:hAnsi="Times New Roman" w:eastAsia="宋体"/>
                <w:b w:val="0"/>
                <w:sz w:val="21"/>
              </w:rPr>
              <w:t>0</w:t>
            </w:r>
          </w:p>
        </w:tc>
        <w:tc>
          <w:tcPr>
            <w:tcW w:type="dxa" w:w="2280"/>
          </w:tcPr>
          <w:p>
            <w:pPr>
              <w:spacing w:after="0"/>
              <w:jc w:val="left"/>
            </w:pPr>
            <w:r/>
            <w:r>
              <w:rPr>
                <w:rFonts w:ascii="Times New Roman" w:hAnsi="Times New Roman" w:eastAsia="宋体"/>
                <w:b w:val="0"/>
                <w:sz w:val="21"/>
              </w:rPr>
              <w:t>100.00%</w:t>
            </w:r>
          </w:p>
        </w:tc>
      </w:tr>
    </w:tbl>
    <w:p/>
    <w:p>
      <w:pPr>
        <w:spacing w:line="360" w:lineRule="auto" w:after="0"/>
        <w:ind w:firstLine="480"/>
        <w:jc w:val="both"/>
      </w:pPr>
      <w:r>
        <w:rPr>
          <w:rFonts w:ascii="Times New Roman" w:hAnsi="Times New Roman" w:eastAsia="宋体"/>
          <w:sz w:val="24"/>
        </w:rPr>
        <w:t>结果表明，本地确定性规则独立恢复了全部样本的50%，使进入模型重试前的累计成功率从25%提高到75%。剩余10个样本均在真实DeepSeek重试后返回了可被解析的JSON对象，说明“规则兜底+模型兜底”能够有效处理结构化输出中的常见语法错误。</w:t>
      </w:r>
    </w:p>
    <w:p>
      <w:pPr>
        <w:spacing w:line="360" w:lineRule="auto" w:after="0"/>
        <w:ind w:firstLine="480"/>
        <w:jc w:val="both"/>
      </w:pPr>
      <w:r>
        <w:rPr>
          <w:rFonts w:ascii="Times New Roman" w:hAnsi="Times New Roman" w:eastAsia="宋体"/>
          <w:sz w:val="24"/>
        </w:rPr>
        <w:t>但“语法正确”不等于“字段语义正确”。在10个模型重试样本中，有8个同时满足实验要求的字段契约，另2个虽然返回合法JSON，却保留了错误样本中的value字段，没有返回要求的ok和note字段。即模型重试子集的语法恢复率为100%，字段契约恢复率为80%。当前DeepSeekClient只负责将文本解析为字典，Pydantic结构校验发生在后续业务层；若字段缺失，任务仍可能直接失败。后续应将Pydantic校验错误重新反馈给模型，增加“语法修复—结构校验—字段级修复”的闭环，而不能只以json.loads成功作为最终可靠性标准。</w:t>
      </w:r>
    </w:p>
    <w:p>
      <w:pPr>
        <w:spacing w:line="360" w:lineRule="auto" w:after="0"/>
        <w:ind w:firstLine="480"/>
        <w:jc w:val="both"/>
      </w:pPr>
      <w:r>
        <w:rPr>
          <w:rFonts w:ascii="Times New Roman" w:hAnsi="Times New Roman" w:eastAsia="宋体"/>
          <w:sz w:val="24"/>
        </w:rPr>
        <w:t>上述数据来自故障注入，不代表模型在线自然输出中各类错误的真实分布。若要获得生产意义上的成功率，还需在日志中记录首次解析、本地修复、截断重生成、格式修复、Pydantic校验和最终失败等阶段，并对至少30至50次真实生成请求进行统计。</w:t>
      </w:r>
    </w:p>
    <w:p>
      <w:pPr>
        <w:pStyle w:val="Heading1"/>
        <w:spacing w:before="240" w:after="120"/>
      </w:pPr>
      <w:r>
        <w:rPr>
          <w:rFonts w:ascii="Times New Roman" w:hAnsi="Times New Roman" w:eastAsia="黑体"/>
          <w:b/>
          <w:sz w:val="32"/>
        </w:rPr>
        <w:t>4.5 系统工程验证</w:t>
      </w:r>
    </w:p>
    <w:p>
      <w:pPr>
        <w:pStyle w:val="Heading2"/>
        <w:spacing w:before="200" w:after="80"/>
      </w:pPr>
      <w:r>
        <w:rPr>
          <w:rFonts w:ascii="Times New Roman" w:hAnsi="Times New Roman" w:eastAsia="黑体"/>
          <w:b/>
          <w:sz w:val="28"/>
        </w:rPr>
        <w:t>4.5.1 自动化功能与安全测试</w:t>
      </w:r>
    </w:p>
    <w:p>
      <w:pPr>
        <w:spacing w:line="360" w:lineRule="auto" w:after="0"/>
        <w:ind w:firstLine="480"/>
        <w:jc w:val="both"/>
      </w:pPr>
      <w:r>
        <w:rPr>
          <w:rFonts w:ascii="Times New Roman" w:hAnsi="Times New Roman" w:eastAsia="宋体"/>
          <w:sz w:val="24"/>
        </w:rPr>
        <w:t>项目现有测试集全部运行通过，共35项，其中前端Node.js测试10项、后端Python测试25项，通过率为100%。前端测试覆盖本地作品管理、Supabase云端工作区、用户活动统计、文本与文件名清洗、登录跳转限制等功能；后端测试覆盖健康检查、公共配置、角色关系归一化、章节分段、DOCX导出、同步与异步生成接口、任务暂停/恢复/放弃及异常状态映射。</w:t>
      </w:r>
    </w:p>
    <w:p>
      <w:pPr>
        <w:spacing w:line="360" w:lineRule="auto" w:after="0"/>
        <w:ind w:firstLine="480"/>
        <w:jc w:val="both"/>
      </w:pPr>
      <w:r>
        <w:rPr>
          <w:rFonts w:ascii="Times New Roman" w:hAnsi="Times New Roman" w:eastAsia="宋体"/>
          <w:sz w:val="24"/>
        </w:rPr>
        <w:t>安全测试验证了以下行为：公共配置接口不暴露DeepSeek服务端密钥；静态资源路由拒绝目录穿越；DOCX文件名可过滤响应头注入字符；脚本标签和特殊字符在OpenXML中被正确转义；错误HTTP方法返回405；非法生成参数在进入业务与模型调用前返回422。测试结果说明，系统能够为AI生成机制提供基本稳定且边界明确的运行环境。</w:t>
      </w:r>
    </w:p>
    <w:p>
      <w:pPr>
        <w:pStyle w:val="Heading2"/>
        <w:spacing w:before="200" w:after="80"/>
      </w:pPr>
      <w:r>
        <w:rPr>
          <w:rFonts w:ascii="Times New Roman" w:hAnsi="Times New Roman" w:eastAsia="黑体"/>
          <w:b/>
          <w:sz w:val="28"/>
        </w:rPr>
        <w:t>4.5.2 网站运行与性能测试</w:t>
      </w:r>
    </w:p>
    <w:p>
      <w:pPr>
        <w:spacing w:line="360" w:lineRule="auto" w:after="0"/>
        <w:ind w:firstLine="480"/>
        <w:jc w:val="both"/>
      </w:pPr>
      <w:r>
        <w:rPr>
          <w:rFonts w:ascii="Times New Roman" w:hAnsi="Times New Roman" w:eastAsia="宋体"/>
          <w:sz w:val="24"/>
        </w:rPr>
        <w:t>实际启动Uvicorn后，对首页、登录页、创作页、作品管理页、笔记页、用户中心、健康检查、公共配置、OpenAPI文档、主样式、主脚本和Supabase浏览器脚本共12个页面或资源进行访问，全部返回HTTP 200。使用Chrome无头浏览器以1440像素宽视口渲染首页和游客创作页，导航、表单、侧栏与主要按钮均正常显示，抽样画面中未观察到明显重叠或裁切。</w:t>
      </w:r>
    </w:p>
    <w:p>
      <w:pPr>
        <w:spacing w:before="120" w:after="80"/>
        <w:jc w:val="center"/>
      </w:pPr>
      <w:r>
        <w:rPr>
          <w:rFonts w:ascii="Times New Roman" w:hAnsi="Times New Roman" w:eastAsia="宋体"/>
          <w:b/>
          <w:sz w:val="21"/>
        </w:rPr>
        <w:t>表4-7 运行性能与任务耗时</w:t>
      </w:r>
    </w:p>
    <w:tbl>
      <w:tblPr>
        <w:tblStyle w:val="TableGrid"/>
        <w:tblW w:type="auto" w:w="0"/>
        <w:tblLayout w:type="autofit"/>
        <w:tblLook w:firstColumn="1" w:firstRow="1" w:lastColumn="0" w:lastRow="0" w:noHBand="0" w:noVBand="1" w:val="04A0"/>
      </w:tblPr>
      <w:tblGrid>
        <w:gridCol w:w="4561"/>
        <w:gridCol w:w="4561"/>
      </w:tblGrid>
      <w:tr>
        <w:tc>
          <w:tcPr>
            <w:tcW w:type="dxa" w:w="4561"/>
            <w:shd w:fill="D9E2F3"/>
          </w:tcPr>
          <w:p>
            <w:pPr>
              <w:spacing w:after="0"/>
              <w:jc w:val="center"/>
            </w:pPr>
            <w:r/>
            <w:r>
              <w:rPr>
                <w:rFonts w:ascii="Times New Roman" w:hAnsi="Times New Roman" w:eastAsia="宋体"/>
                <w:b/>
                <w:sz w:val="21"/>
              </w:rPr>
              <w:t>测试项目</w:t>
            </w:r>
          </w:p>
        </w:tc>
        <w:tc>
          <w:tcPr>
            <w:tcW w:type="dxa" w:w="4561"/>
            <w:shd w:fill="D9E2F3"/>
          </w:tcPr>
          <w:p>
            <w:pPr>
              <w:spacing w:after="0"/>
              <w:jc w:val="center"/>
            </w:pPr>
            <w:r/>
            <w:r>
              <w:rPr>
                <w:rFonts w:ascii="Times New Roman" w:hAnsi="Times New Roman" w:eastAsia="宋体"/>
                <w:b/>
                <w:sz w:val="21"/>
              </w:rPr>
              <w:t>结果</w:t>
            </w:r>
          </w:p>
        </w:tc>
      </w:tr>
      <w:tr>
        <w:tc>
          <w:tcPr>
            <w:tcW w:type="dxa" w:w="4561"/>
          </w:tcPr>
          <w:p>
            <w:pPr>
              <w:spacing w:after="0"/>
              <w:jc w:val="left"/>
            </w:pPr>
            <w:r/>
            <w:r>
              <w:rPr>
                <w:rFonts w:ascii="Times New Roman" w:hAnsi="Times New Roman" w:eastAsia="宋体"/>
                <w:b w:val="0"/>
                <w:sz w:val="21"/>
              </w:rPr>
              <w:t>健康接口连续请求50次</w:t>
            </w:r>
          </w:p>
        </w:tc>
        <w:tc>
          <w:tcPr>
            <w:tcW w:type="dxa" w:w="4561"/>
          </w:tcPr>
          <w:p>
            <w:pPr>
              <w:spacing w:after="0"/>
              <w:jc w:val="left"/>
            </w:pPr>
            <w:r/>
            <w:r>
              <w:rPr>
                <w:rFonts w:ascii="Times New Roman" w:hAnsi="Times New Roman" w:eastAsia="宋体"/>
                <w:b w:val="0"/>
                <w:sz w:val="21"/>
              </w:rPr>
              <w:t>平均73.97 ms，P50为62.86 ms，P95为125.06 ms，最大225.22 ms</w:t>
            </w:r>
          </w:p>
        </w:tc>
      </w:tr>
      <w:tr>
        <w:tc>
          <w:tcPr>
            <w:tcW w:type="dxa" w:w="4561"/>
          </w:tcPr>
          <w:p>
            <w:pPr>
              <w:spacing w:after="0"/>
              <w:jc w:val="left"/>
            </w:pPr>
            <w:r/>
            <w:r>
              <w:rPr>
                <w:rFonts w:ascii="Times New Roman" w:hAnsi="Times New Roman" w:eastAsia="宋体"/>
                <w:b w:val="0"/>
                <w:sz w:val="21"/>
              </w:rPr>
              <w:t>健康接口并发50次</w:t>
            </w:r>
          </w:p>
        </w:tc>
        <w:tc>
          <w:tcPr>
            <w:tcW w:type="dxa" w:w="4561"/>
          </w:tcPr>
          <w:p>
            <w:pPr>
              <w:spacing w:after="0"/>
              <w:jc w:val="left"/>
            </w:pPr>
            <w:r/>
            <w:r>
              <w:rPr>
                <w:rFonts w:ascii="Times New Roman" w:hAnsi="Times New Roman" w:eastAsia="宋体"/>
                <w:b w:val="0"/>
                <w:sz w:val="21"/>
              </w:rPr>
              <w:t>50次全部成功，总耗时602.36 ms，约83.01次/秒</w:t>
            </w:r>
          </w:p>
        </w:tc>
      </w:tr>
      <w:tr>
        <w:tc>
          <w:tcPr>
            <w:tcW w:type="dxa" w:w="4561"/>
          </w:tcPr>
          <w:p>
            <w:pPr>
              <w:spacing w:after="0"/>
              <w:jc w:val="left"/>
            </w:pPr>
            <w:r/>
            <w:r>
              <w:rPr>
                <w:rFonts w:ascii="Times New Roman" w:hAnsi="Times New Roman" w:eastAsia="宋体"/>
                <w:b w:val="0"/>
                <w:sz w:val="21"/>
              </w:rPr>
              <w:t>16章大纲生成</w:t>
            </w:r>
          </w:p>
        </w:tc>
        <w:tc>
          <w:tcPr>
            <w:tcW w:type="dxa" w:w="4561"/>
          </w:tcPr>
          <w:p>
            <w:pPr>
              <w:spacing w:after="0"/>
              <w:jc w:val="left"/>
            </w:pPr>
            <w:r/>
            <w:r>
              <w:rPr>
                <w:rFonts w:ascii="Times New Roman" w:hAnsi="Times New Roman" w:eastAsia="宋体"/>
                <w:b w:val="0"/>
                <w:sz w:val="21"/>
              </w:rPr>
              <w:t>40 s</w:t>
            </w:r>
          </w:p>
        </w:tc>
      </w:tr>
      <w:tr>
        <w:tc>
          <w:tcPr>
            <w:tcW w:type="dxa" w:w="4561"/>
          </w:tcPr>
          <w:p>
            <w:pPr>
              <w:spacing w:after="0"/>
              <w:jc w:val="left"/>
            </w:pPr>
            <w:r/>
            <w:r>
              <w:rPr>
                <w:rFonts w:ascii="Times New Roman" w:hAnsi="Times New Roman" w:eastAsia="宋体"/>
                <w:b w:val="0"/>
                <w:sz w:val="21"/>
              </w:rPr>
              <w:t>第1章正文生成</w:t>
            </w:r>
          </w:p>
        </w:tc>
        <w:tc>
          <w:tcPr>
            <w:tcW w:type="dxa" w:w="4561"/>
          </w:tcPr>
          <w:p>
            <w:pPr>
              <w:spacing w:after="0"/>
              <w:jc w:val="left"/>
            </w:pPr>
            <w:r/>
            <w:r>
              <w:rPr>
                <w:rFonts w:ascii="Times New Roman" w:hAnsi="Times New Roman" w:eastAsia="宋体"/>
                <w:b w:val="0"/>
                <w:sz w:val="21"/>
              </w:rPr>
              <w:t>27 s</w:t>
            </w:r>
          </w:p>
        </w:tc>
      </w:tr>
      <w:tr>
        <w:tc>
          <w:tcPr>
            <w:tcW w:type="dxa" w:w="4561"/>
          </w:tcPr>
          <w:p>
            <w:pPr>
              <w:spacing w:after="0"/>
              <w:jc w:val="left"/>
            </w:pPr>
            <w:r/>
            <w:r>
              <w:rPr>
                <w:rFonts w:ascii="Times New Roman" w:hAnsi="Times New Roman" w:eastAsia="宋体"/>
                <w:b w:val="0"/>
                <w:sz w:val="21"/>
              </w:rPr>
              <w:t>第2章正文生成</w:t>
            </w:r>
          </w:p>
        </w:tc>
        <w:tc>
          <w:tcPr>
            <w:tcW w:type="dxa" w:w="4561"/>
          </w:tcPr>
          <w:p>
            <w:pPr>
              <w:spacing w:after="0"/>
              <w:jc w:val="left"/>
            </w:pPr>
            <w:r/>
            <w:r>
              <w:rPr>
                <w:rFonts w:ascii="Times New Roman" w:hAnsi="Times New Roman" w:eastAsia="宋体"/>
                <w:b w:val="0"/>
                <w:sz w:val="21"/>
              </w:rPr>
              <w:t>21 s</w:t>
            </w:r>
          </w:p>
        </w:tc>
      </w:tr>
    </w:tbl>
    <w:p/>
    <w:p>
      <w:pPr>
        <w:spacing w:line="360" w:lineRule="auto" w:after="0"/>
        <w:ind w:firstLine="480"/>
        <w:jc w:val="both"/>
      </w:pPr>
      <w:r>
        <w:rPr>
          <w:rFonts w:ascii="Times New Roman" w:hAnsi="Times New Roman" w:eastAsia="宋体"/>
          <w:sz w:val="24"/>
        </w:rPr>
        <w:t>本机首次首页请求在并行启动无头浏览器时出现约32.6 s的异常值，后续请求明显回落。由于该值同时受到首次进程预热、浏览器启动和本机资源竞争影响，本章不将其计入稳态接口统计，但它提示系统仍应关注冷启动、首次静态资源加载和并发生成时的用户等待体验。现有异步任务管理与前端轮询机制能够避免长时间生成阻塞页面请求，但生成任务仍依赖单机内存状态，服务重启后任务记录会丢失，尚不具备分布式部署和故障恢复能力。</w:t>
      </w:r>
    </w:p>
    <w:p>
      <w:pPr>
        <w:pStyle w:val="Heading1"/>
        <w:spacing w:before="240" w:after="120"/>
      </w:pPr>
      <w:r>
        <w:rPr>
          <w:rFonts w:ascii="Times New Roman" w:hAnsi="Times New Roman" w:eastAsia="黑体"/>
          <w:b/>
          <w:sz w:val="32"/>
        </w:rPr>
        <w:t>4.6 验证结论与局限性</w:t>
      </w:r>
    </w:p>
    <w:p>
      <w:pPr>
        <w:spacing w:line="360" w:lineRule="auto" w:after="0"/>
        <w:ind w:firstLine="480"/>
        <w:jc w:val="both"/>
      </w:pPr>
      <w:r>
        <w:rPr>
          <w:rFonts w:ascii="Times New Roman" w:hAnsi="Times New Roman" w:eastAsia="宋体"/>
          <w:sz w:val="24"/>
        </w:rPr>
        <w:t>综合以上实验，可以得到以下结论。</w:t>
      </w:r>
    </w:p>
    <w:p>
      <w:pPr>
        <w:spacing w:line="360" w:lineRule="auto" w:after="0"/>
        <w:ind w:firstLine="480"/>
        <w:jc w:val="both"/>
      </w:pPr>
      <w:r>
        <w:rPr>
          <w:rFonts w:ascii="Times New Roman" w:hAnsi="Times New Roman" w:eastAsia="宋体"/>
          <w:sz w:val="24"/>
        </w:rPr>
        <w:t>第一，分层规划—写作架构在本次16章样本中有效。四段式章节比例与目标权重完全一致，前两章大纲—正文映射得分达到93.75%，主要事件、线索和悬念均能落实到正文，说明规划层对生成层产生了真实约束。</w:t>
      </w:r>
    </w:p>
    <w:p>
      <w:pPr>
        <w:spacing w:line="360" w:lineRule="auto" w:after="0"/>
        <w:ind w:firstLine="480"/>
        <w:jc w:val="both"/>
      </w:pPr>
      <w:r>
        <w:rPr>
          <w:rFonts w:ascii="Times New Roman" w:hAnsi="Times New Roman" w:eastAsia="宋体"/>
          <w:sz w:val="24"/>
        </w:rPr>
        <w:t>第二，提示词工程能够把冰山理论、环境描写、修辞、伏笔和时间控制等文学要求转化为可观察的文本特征。两章均达到每章至少3处表层行为—深层含义映射的要求，但多叙述人称约束未被遵守，证明提示词属于概率性软约束，不能提供形式化保证。</w:t>
      </w:r>
    </w:p>
    <w:p>
      <w:pPr>
        <w:spacing w:line="360" w:lineRule="auto" w:after="0"/>
        <w:ind w:firstLine="480"/>
        <w:jc w:val="both"/>
      </w:pPr>
      <w:r>
        <w:rPr>
          <w:rFonts w:ascii="Times New Roman" w:hAnsi="Times New Roman" w:eastAsia="宋体"/>
          <w:sz w:val="24"/>
        </w:rPr>
        <w:t>第三，摘要式记忆在相邻章节中表现出较高性价比。第1章摘要仅占正文的5.89%，第2章仍保持6项关键实体与状态一致。其局限是尚未验证长篇条件下的细节遗失和累计漂移，也未与“不携带摘要”条件进行严格对照。</w:t>
      </w:r>
    </w:p>
    <w:p>
      <w:pPr>
        <w:spacing w:line="360" w:lineRule="auto" w:after="0"/>
        <w:ind w:firstLine="480"/>
        <w:jc w:val="both"/>
      </w:pPr>
      <w:r>
        <w:rPr>
          <w:rFonts w:ascii="Times New Roman" w:hAnsi="Times New Roman" w:eastAsia="宋体"/>
          <w:sz w:val="24"/>
        </w:rPr>
        <w:t>第四，JSON自纠错机制能够显著提高结构化输出的语法可靠性。40个故障注入样本中，本地规则使累计解析成功率达到75%，模型重试使最终语法解析成功率达到100%。但模型重试子集的字段契约恢复率只有80%，说明系统下一步应把Pydantic校验纳入自动修复闭环。</w:t>
      </w:r>
    </w:p>
    <w:p>
      <w:pPr>
        <w:spacing w:line="360" w:lineRule="auto" w:after="0"/>
        <w:ind w:firstLine="480"/>
        <w:jc w:val="both"/>
      </w:pPr>
      <w:r>
        <w:rPr>
          <w:rFonts w:ascii="Times New Roman" w:hAnsi="Times New Roman" w:eastAsia="宋体"/>
          <w:sz w:val="24"/>
        </w:rPr>
        <w:t>第五，35项自动化测试全部通过，12个运行页面和资源均可访问，健康接口在本机稳态下具有较低延迟，表明网站功能、安全边界和基础性能能够支撑当前课程项目演示。</w:t>
      </w:r>
    </w:p>
    <w:p>
      <w:pPr>
        <w:spacing w:line="360" w:lineRule="auto" w:after="0"/>
        <w:ind w:firstLine="480"/>
        <w:jc w:val="both"/>
      </w:pPr>
      <w:r>
        <w:rPr>
          <w:rFonts w:ascii="Times New Roman" w:hAnsi="Times New Roman" w:eastAsia="宋体"/>
          <w:sz w:val="24"/>
        </w:rPr>
        <w:t>总体而言，本系统已初步证明提示驱动的“规划—生成—记忆—纠错”架构能够提升长篇小说生成的结构性、连续性和工程可用性，但验证仍依赖人工抽样，样本规模较小。未来可将一致性核查、理论要素覆盖、伏笔追踪和字段结构校验交由专职审校Agent执行，形成“规划—写作—自检—修订”的自动化harness，并通过多题材、多随机种子和有无模块消融实验进一步提高结论的统计可信度。</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人工智能导论课程论文：验证章节</dc:title>
  <dc:subject>人机协同小说创作网站验证</dc:subject>
  <dc:creator>课程项目组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