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E1BDC" w14:textId="74C54C26" w:rsidR="007C736A" w:rsidRDefault="005E3173" w:rsidP="009C7977">
      <w:pPr>
        <w:spacing w:line="480" w:lineRule="auto"/>
        <w:ind w:firstLine="720"/>
      </w:pPr>
      <w:r>
        <w:t xml:space="preserve">Our digital project </w:t>
      </w:r>
      <w:r w:rsidR="00685132">
        <w:t>uses</w:t>
      </w:r>
      <w:r>
        <w:t xml:space="preserve"> TEI encoding to assess, quantify, and classify the decisions Robert Southey made when he translated</w:t>
      </w:r>
      <w:r w:rsidR="002172D3">
        <w:t xml:space="preserve"> </w:t>
      </w:r>
      <w:r>
        <w:rPr>
          <w:i/>
        </w:rPr>
        <w:t xml:space="preserve">Amadís de Gaula </w:t>
      </w:r>
      <w:r>
        <w:t xml:space="preserve">into English. </w:t>
      </w:r>
      <w:r w:rsidR="002172D3">
        <w:t xml:space="preserve">Along the way, we are producing the first machine-readable critical editions of both Southey and Montalvo’s texts. </w:t>
      </w:r>
      <w:r>
        <w:t>We a</w:t>
      </w:r>
      <w:r w:rsidR="007C736A">
        <w:t>re at the beginning stage of this</w:t>
      </w:r>
      <w:r>
        <w:t xml:space="preserve"> project, </w:t>
      </w:r>
      <w:r w:rsidR="005D1510">
        <w:t>but a</w:t>
      </w:r>
      <w:r>
        <w:t xml:space="preserve">lready we have been able to ask questions grounded in literary and translation studies and answer </w:t>
      </w:r>
      <w:r w:rsidR="000063F7">
        <w:t xml:space="preserve">them </w:t>
      </w:r>
      <w:r w:rsidR="005D1510">
        <w:t>with</w:t>
      </w:r>
      <w:r>
        <w:t xml:space="preserve"> our code. </w:t>
      </w:r>
      <w:r>
        <w:rPr>
          <w:i/>
        </w:rPr>
        <w:t xml:space="preserve">Amadís </w:t>
      </w:r>
      <w:r>
        <w:t xml:space="preserve">has an enormous cultural significance </w:t>
      </w:r>
      <w:r w:rsidR="005D1510">
        <w:t>for Spain and France</w:t>
      </w:r>
      <w:r>
        <w:t xml:space="preserve">, but its impact on England has been less studied. Southey’s </w:t>
      </w:r>
      <w:r w:rsidR="005D1510">
        <w:t>version</w:t>
      </w:r>
      <w:r>
        <w:t xml:space="preserve"> is particularly interesting</w:t>
      </w:r>
      <w:r w:rsidR="005D1510">
        <w:t xml:space="preserve"> to us</w:t>
      </w:r>
      <w:r>
        <w:t xml:space="preserve"> because it articulates its own translation theory. Sou</w:t>
      </w:r>
      <w:r w:rsidR="007C736A">
        <w:t xml:space="preserve">they has a scholarly orientation, and he appears to be aware of trends in translation from </w:t>
      </w:r>
      <w:r w:rsidR="00436033">
        <w:t>antiquity</w:t>
      </w:r>
      <w:r w:rsidR="007C736A">
        <w:t xml:space="preserve"> through the eighteenth century. Where he innovates is in bringing the aesthetic of the Romantic period to bear on the text. The result is a translated </w:t>
      </w:r>
      <w:r w:rsidR="007C736A">
        <w:rPr>
          <w:i/>
        </w:rPr>
        <w:t xml:space="preserve">Amadís </w:t>
      </w:r>
      <w:r w:rsidR="007C736A">
        <w:t>that is “improved,” in terms of art and readability, for its target audience, monolingual English speakers of the early nineteenth century.</w:t>
      </w:r>
    </w:p>
    <w:p w14:paraId="5BFC4423" w14:textId="428506A3" w:rsidR="009C7977" w:rsidRDefault="0044396C" w:rsidP="009C7977">
      <w:pPr>
        <w:spacing w:line="480" w:lineRule="auto"/>
        <w:ind w:firstLine="720"/>
      </w:pPr>
      <w:r>
        <w:t xml:space="preserve">Southey based his 1803 </w:t>
      </w:r>
      <w:r w:rsidR="005D1510">
        <w:rPr>
          <w:i/>
        </w:rPr>
        <w:t>Amadis of Gaul</w:t>
      </w:r>
      <w:r>
        <w:t xml:space="preserve"> on</w:t>
      </w:r>
      <w:r w:rsidR="0082328C">
        <w:t xml:space="preserve"> the</w:t>
      </w:r>
      <w:r w:rsidR="00F503CC">
        <w:t xml:space="preserve"> Sevilla </w:t>
      </w:r>
      <w:r w:rsidR="0082328C">
        <w:t>edition of 1547,</w:t>
      </w:r>
      <w:r w:rsidR="00F503CC">
        <w:t xml:space="preserve"> </w:t>
      </w:r>
      <w:r w:rsidR="0082328C">
        <w:t xml:space="preserve">which is nearly identical to the first extant </w:t>
      </w:r>
      <w:r w:rsidR="007C736A">
        <w:t xml:space="preserve">Castilian </w:t>
      </w:r>
      <w:r w:rsidR="0082328C">
        <w:t>edition, the Zaragoza 1508</w:t>
      </w:r>
      <w:r w:rsidR="00F503CC" w:rsidRPr="00AD4604">
        <w:rPr>
          <w:highlight w:val="yellow"/>
        </w:rPr>
        <w:t xml:space="preserve">. </w:t>
      </w:r>
      <w:r w:rsidR="00AD4604" w:rsidRPr="00AD4604">
        <w:rPr>
          <w:highlight w:val="yellow"/>
        </w:rPr>
        <w:t>[</w:t>
      </w:r>
      <w:proofErr w:type="gramStart"/>
      <w:r w:rsidR="00AD4604" w:rsidRPr="00AD4604">
        <w:rPr>
          <w:highlight w:val="yellow"/>
        </w:rPr>
        <w:t>show</w:t>
      </w:r>
      <w:proofErr w:type="gramEnd"/>
      <w:r w:rsidR="00AD4604" w:rsidRPr="00AD4604">
        <w:rPr>
          <w:highlight w:val="yellow"/>
        </w:rPr>
        <w:t xml:space="preserve"> image 1]</w:t>
      </w:r>
      <w:r w:rsidR="00AD4604">
        <w:t xml:space="preserve"> </w:t>
      </w:r>
      <w:r w:rsidR="00F503CC">
        <w:t>There is no “original”</w:t>
      </w:r>
      <w:r w:rsidR="0082328C">
        <w:t xml:space="preserve"> </w:t>
      </w:r>
      <w:r w:rsidR="00F503CC">
        <w:rPr>
          <w:i/>
        </w:rPr>
        <w:t>Amadís</w:t>
      </w:r>
      <w:r w:rsidR="00F503CC">
        <w:t>. The romance as we know it</w:t>
      </w:r>
      <w:r w:rsidR="0082328C">
        <w:t xml:space="preserve"> </w:t>
      </w:r>
      <w:r w:rsidR="00F503CC">
        <w:t xml:space="preserve">descends from a </w:t>
      </w:r>
      <w:r w:rsidR="00A4266C">
        <w:t>med</w:t>
      </w:r>
      <w:r w:rsidR="00F503CC">
        <w:t xml:space="preserve">ieval legend modeled on the Vulgate </w:t>
      </w:r>
      <w:r w:rsidR="00F503CC">
        <w:rPr>
          <w:i/>
        </w:rPr>
        <w:t>Lancelot.</w:t>
      </w:r>
      <w:r w:rsidR="00F503CC">
        <w:t xml:space="preserve"> </w:t>
      </w:r>
      <w:r w:rsidR="00A4266C">
        <w:t xml:space="preserve">A “primitive” </w:t>
      </w:r>
      <w:r w:rsidR="00A4266C">
        <w:rPr>
          <w:i/>
        </w:rPr>
        <w:t>Amadís</w:t>
      </w:r>
      <w:r w:rsidR="00F503CC" w:rsidRPr="005C5B11">
        <w:t xml:space="preserve"> may have been composed as early as 1290</w:t>
      </w:r>
      <w:r w:rsidR="00A4266C">
        <w:t>, and the</w:t>
      </w:r>
      <w:r w:rsidR="00F503CC" w:rsidRPr="005C5B11">
        <w:t xml:space="preserve"> earliest references to the </w:t>
      </w:r>
      <w:r w:rsidR="00A4266C">
        <w:t>story</w:t>
      </w:r>
      <w:r w:rsidR="00F503CC" w:rsidRPr="005C5B11">
        <w:t xml:space="preserve"> </w:t>
      </w:r>
      <w:r w:rsidR="00250CF0">
        <w:t xml:space="preserve">date </w:t>
      </w:r>
      <w:r w:rsidR="00F503CC" w:rsidRPr="005C5B11">
        <w:t xml:space="preserve">to 1350 </w:t>
      </w:r>
      <w:r w:rsidR="00F503CC" w:rsidRPr="005C5B11">
        <w:fldChar w:fldCharType="begin"/>
      </w:r>
      <w:r w:rsidR="00A4266C">
        <w:instrText xml:space="preserve"> ADDIN ZOTERO_ITEM CSL_CITATION {"citationID":"9Og89Khk","properties":{"formattedCitation":"(Avalle-Arce 101; Riquer 13)","plainCitation":"(Avalle-Arce 101; Riquer 13)"},"citationItems":[{"id":239,"uris":["http://zotero.org/users/1411539/items/32MKAV5X"],"uri":["http://zotero.org/users/1411539/items/32MKAV5X"],"itemData":{"id":239,"type":"book","title":"El Amadís primitivo y el de Montalvo","publisher":"Fondo de Cultura Económica","publisher-place":"México","event-place":"México","shortTitle":"El Amadís primitivo","language":"Spanish","author":[{"family":"Avalle-Arce","given":"Juan Bautista"}],"issued":{"date-parts":[["1990"]]}},"locator":"101"},{"id":211,"uris":["http://zotero.org/users/1411539/items/EJC95CX9"],"uri":["http://zotero.org/users/1411539/items/EJC95CX9"],"itemData":{"id":211,"type":"book","title":"Estudios sobre el Amadís de Gaula","publisher":"Sirmio","publisher-place":"Barcelona","number-of-pages":"187","source":"OCLC WorldCat FirstSearch","event-place":"Barcelona","ISBN":"84-7769-005-7","language":"Spanish","author":[{"family":"Riquer","given":"Martín","dropping-particle":"de"}],"issued":{"date-parts":[["1987"]]}},"locator":"13"}],"schema":"https://github.com/citation-style-language/schema/raw/master/csl-citation.json"} </w:instrText>
      </w:r>
      <w:r w:rsidR="00F503CC" w:rsidRPr="005C5B11">
        <w:fldChar w:fldCharType="separate"/>
      </w:r>
      <w:r w:rsidR="00A4266C">
        <w:t>(Avalle-Arce 101; Riquer 13)</w:t>
      </w:r>
      <w:r w:rsidR="00F503CC" w:rsidRPr="005C5B11">
        <w:fldChar w:fldCharType="end"/>
      </w:r>
      <w:r w:rsidR="00F503CC" w:rsidRPr="005C5B11">
        <w:t xml:space="preserve">. </w:t>
      </w:r>
      <w:r w:rsidR="00A4266C">
        <w:t>The earliest survi</w:t>
      </w:r>
      <w:r w:rsidR="00A2041D">
        <w:t>vi</w:t>
      </w:r>
      <w:r w:rsidR="00A4266C">
        <w:t xml:space="preserve">ng </w:t>
      </w:r>
      <w:r w:rsidR="007C736A">
        <w:t>text</w:t>
      </w:r>
      <w:r w:rsidR="00A4266C">
        <w:t xml:space="preserve"> is a fifteenth-century </w:t>
      </w:r>
      <w:r w:rsidR="00250CF0">
        <w:t xml:space="preserve">manuscript </w:t>
      </w:r>
      <w:r w:rsidR="00A4266C">
        <w:t>fragment</w:t>
      </w:r>
      <w:r w:rsidR="00250CF0">
        <w:t xml:space="preserve"> in Castilian,</w:t>
      </w:r>
      <w:r w:rsidR="00A4266C">
        <w:t xml:space="preserve"> discovered in </w:t>
      </w:r>
      <w:r w:rsidR="00A4266C" w:rsidRPr="005C5B11">
        <w:t>1955</w:t>
      </w:r>
      <w:r w:rsidR="007C736A">
        <w:t xml:space="preserve"> </w:t>
      </w:r>
      <w:r w:rsidR="00F503CC" w:rsidRPr="005C5B11">
        <w:fldChar w:fldCharType="begin"/>
      </w:r>
      <w:r w:rsidR="00A4266C">
        <w:instrText xml:space="preserve"> ADDIN ZOTERO_ITEM CSL_CITATION {"citationID":"QS1L5Gig","properties":{"formattedCitation":"{\\rtf (Rodr\\uc0\\u237{}guez-Mo\\uc0\\u241{}ino 15\\uc0\\u8211{}24)}","plainCitation":"(Rodríguez-Moñino 15–24)"},"citationItems":[{"id":213,"uris":["http://zotero.org/users/1411539/items/QPIQD6DA"],"uri":["http://zotero.org/users/1411539/items/QPIQD6DA"],"itemData":{"id":213,"type":"book","title":"El primer manuscrito del Amadís de Gaula","publisher":"Silverio Aguirre Torre","publisher-place":"Madrid","number-of-pages":"37","source":"OCLC WorldCat FirstSearch","event-place":"Madrid","language":"Spanish","author":[{"family":"Rodríguez-Moñino","given":"Antonio R."}],"issued":{"date-parts":[["1957"]]}},"locator":"15-24"}],"schema":"https://github.com/citation-style-language/schema/raw/master/csl-citation.json"} </w:instrText>
      </w:r>
      <w:r w:rsidR="00F503CC" w:rsidRPr="005C5B11">
        <w:fldChar w:fldCharType="separate"/>
      </w:r>
      <w:r w:rsidR="00A4266C" w:rsidRPr="00A4266C">
        <w:t>(Rodríguez-Moñino 15–24)</w:t>
      </w:r>
      <w:r w:rsidR="00F503CC" w:rsidRPr="005C5B11">
        <w:fldChar w:fldCharType="end"/>
      </w:r>
      <w:r w:rsidR="00F503CC" w:rsidRPr="005C5B11">
        <w:t>.</w:t>
      </w:r>
      <w:r w:rsidR="00F503CC">
        <w:t xml:space="preserve"> </w:t>
      </w:r>
      <w:r w:rsidR="007C736A">
        <w:t xml:space="preserve">In the last two decades of the fifteenth century, </w:t>
      </w:r>
      <w:r w:rsidR="009C7977">
        <w:t xml:space="preserve">Garci Rodríguez de </w:t>
      </w:r>
      <w:r w:rsidR="009965A8">
        <w:t>Montalvo</w:t>
      </w:r>
      <w:r w:rsidR="0082328C">
        <w:t xml:space="preserve">, a </w:t>
      </w:r>
      <w:r w:rsidR="007C736A">
        <w:t>minor nobleman</w:t>
      </w:r>
      <w:r w:rsidR="006F2C4F">
        <w:t xml:space="preserve"> and </w:t>
      </w:r>
      <w:r w:rsidR="00424043">
        <w:t>city official from Medina del Campo</w:t>
      </w:r>
      <w:r w:rsidR="00250CF0">
        <w:t xml:space="preserve">, </w:t>
      </w:r>
      <w:r w:rsidR="0082328C">
        <w:t xml:space="preserve">copied </w:t>
      </w:r>
      <w:r w:rsidR="007C736A">
        <w:t>Books I-III from an existing manuscript</w:t>
      </w:r>
      <w:r w:rsidR="0082328C">
        <w:t xml:space="preserve">, changed the </w:t>
      </w:r>
      <w:r w:rsidR="00CA5938">
        <w:t>story’s</w:t>
      </w:r>
      <w:r w:rsidR="0082328C">
        <w:t xml:space="preserve"> tragic ending, and added a new </w:t>
      </w:r>
      <w:r w:rsidR="009965A8">
        <w:t>Book IV</w:t>
      </w:r>
      <w:r w:rsidR="009965A8">
        <w:rPr>
          <w:i/>
        </w:rPr>
        <w:t xml:space="preserve">. </w:t>
      </w:r>
      <w:r w:rsidR="009C7977">
        <w:t xml:space="preserve">Montalvo’s </w:t>
      </w:r>
      <w:r w:rsidR="009C7977">
        <w:rPr>
          <w:i/>
        </w:rPr>
        <w:t xml:space="preserve">Amadís </w:t>
      </w:r>
      <w:r w:rsidR="00CA5938">
        <w:t xml:space="preserve">became one of the </w:t>
      </w:r>
      <w:r w:rsidR="00424043">
        <w:t>greatest publishing successes of</w:t>
      </w:r>
      <w:r w:rsidR="00CA5938">
        <w:t xml:space="preserve"> the early modern period,</w:t>
      </w:r>
      <w:r w:rsidR="009C7977">
        <w:t xml:space="preserve"> and it was </w:t>
      </w:r>
      <w:r w:rsidR="00CA5938">
        <w:t xml:space="preserve">soon </w:t>
      </w:r>
      <w:r w:rsidR="009C7977">
        <w:t xml:space="preserve">translated into </w:t>
      </w:r>
      <w:r w:rsidR="00CA5938">
        <w:t xml:space="preserve">French, Italian, English, German, </w:t>
      </w:r>
      <w:r w:rsidR="009C7977">
        <w:t>Dutch</w:t>
      </w:r>
      <w:r w:rsidR="00CA5938">
        <w:t xml:space="preserve"> and Hebrew</w:t>
      </w:r>
      <w:r w:rsidR="009C7977">
        <w:t xml:space="preserve"> </w:t>
      </w:r>
      <w:r w:rsidR="009C7977">
        <w:fldChar w:fldCharType="begin"/>
      </w:r>
      <w:r w:rsidR="009C7977">
        <w:instrText xml:space="preserve"> ADDIN ZOTERO_ITEM CSL_CITATION {"citationID":"DQfvykPu","properties":{"formattedCitation":"(Cacho Blecua 86)","plainCitation":"(Cacho Blecua 86)"},"citationItems":[{"id":389,"uris":["http://zotero.org/users/1411539/items/DI3JUXPC"],"uri":["http://zotero.org/users/1411539/items/DI3JUXPC"],"itemData":{"id":389,"type":"article-journal","title":"Los cuatro libros de Amadís de Gaula y Las sergas de Esplandián: los textos de Garci Rodríguez de Montalvo","container-title":"Edad de Oro","page":"85-116","volume":"21","author":[{"family":"Cacho Blecua","given":"Juan Manuel"}],"issued":{"date-parts":[["2002"]]}},"locator":"86"}],"schema":"https://github.com/citation-style-language/schema/raw/master/csl-citation.json"} </w:instrText>
      </w:r>
      <w:r w:rsidR="009C7977">
        <w:fldChar w:fldCharType="separate"/>
      </w:r>
      <w:r w:rsidR="009C7977">
        <w:rPr>
          <w:noProof/>
        </w:rPr>
        <w:t>(Cacho Blecua 86)</w:t>
      </w:r>
      <w:r w:rsidR="009C7977">
        <w:fldChar w:fldCharType="end"/>
      </w:r>
      <w:r w:rsidR="009C7977">
        <w:t xml:space="preserve">. </w:t>
      </w:r>
      <w:r w:rsidR="009965A8">
        <w:t xml:space="preserve">Marian </w:t>
      </w:r>
      <w:r w:rsidR="009965A8">
        <w:lastRenderedPageBreak/>
        <w:t xml:space="preserve">Rothstein estimates that there were 500,000 readers of the French </w:t>
      </w:r>
      <w:r w:rsidR="00DA25C0">
        <w:rPr>
          <w:i/>
        </w:rPr>
        <w:t>Amadi</w:t>
      </w:r>
      <w:r w:rsidR="009965A8">
        <w:rPr>
          <w:i/>
        </w:rPr>
        <w:t>s</w:t>
      </w:r>
      <w:r w:rsidR="00DA25C0">
        <w:rPr>
          <w:i/>
        </w:rPr>
        <w:t xml:space="preserve"> de Gaule</w:t>
      </w:r>
      <w:r w:rsidR="00C14FE1">
        <w:rPr>
          <w:i/>
        </w:rPr>
        <w:t xml:space="preserve"> </w:t>
      </w:r>
      <w:r w:rsidR="00C14FE1">
        <w:t>alone</w:t>
      </w:r>
      <w:r w:rsidR="009965A8">
        <w:rPr>
          <w:i/>
        </w:rPr>
        <w:t xml:space="preserve">, </w:t>
      </w:r>
      <w:r w:rsidR="009965A8">
        <w:t>and J</w:t>
      </w:r>
      <w:r w:rsidR="00A2041D">
        <w:t>uan</w:t>
      </w:r>
      <w:r w:rsidR="009965A8">
        <w:t xml:space="preserve"> Manuel Cacho Blecua counts 527 editions of </w:t>
      </w:r>
      <w:r w:rsidR="00C14FE1">
        <w:rPr>
          <w:i/>
        </w:rPr>
        <w:t xml:space="preserve">Amadís </w:t>
      </w:r>
      <w:r w:rsidR="00C14FE1">
        <w:t>printed before 1694</w:t>
      </w:r>
      <w:r w:rsidR="000063F7">
        <w:t>.</w:t>
      </w:r>
      <w:r w:rsidR="005D1510">
        <w:rPr>
          <w:rStyle w:val="FootnoteReference"/>
        </w:rPr>
        <w:footnoteReference w:id="1"/>
      </w:r>
    </w:p>
    <w:p w14:paraId="7670AC2A" w14:textId="18672DDD" w:rsidR="00F503CC" w:rsidRPr="00CA5938" w:rsidRDefault="00CA5938" w:rsidP="009C7977">
      <w:pPr>
        <w:spacing w:line="480" w:lineRule="auto"/>
        <w:ind w:firstLine="720"/>
      </w:pPr>
      <w:r>
        <w:rPr>
          <w:i/>
        </w:rPr>
        <w:t xml:space="preserve">Amadís </w:t>
      </w:r>
      <w:r w:rsidR="004C7E33">
        <w:t>presents an attractive opportunity</w:t>
      </w:r>
      <w:r w:rsidR="007C736A">
        <w:t xml:space="preserve"> for translators in part because it is </w:t>
      </w:r>
      <w:r>
        <w:t xml:space="preserve">unmoored in time, space, and authorship. The </w:t>
      </w:r>
      <w:r>
        <w:rPr>
          <w:i/>
        </w:rPr>
        <w:t xml:space="preserve">Amadís </w:t>
      </w:r>
      <w:r w:rsidR="007C736A">
        <w:t xml:space="preserve">of the sixteenth century, for all practical purposes, had no </w:t>
      </w:r>
      <w:r>
        <w:t>author. Sixteenth-century Spanish editions, including the 1547 Sevilla, misreported the author’s name as Garci Ordóñez de Montalvo</w:t>
      </w:r>
      <w:r w:rsidR="009C7977">
        <w:t xml:space="preserve">. </w:t>
      </w:r>
      <w:r>
        <w:t xml:space="preserve">Translations </w:t>
      </w:r>
      <w:r w:rsidR="000063F7">
        <w:t>eith</w:t>
      </w:r>
      <w:bookmarkStart w:id="0" w:name="_GoBack"/>
      <w:bookmarkEnd w:id="0"/>
      <w:r w:rsidR="000063F7">
        <w:t>er</w:t>
      </w:r>
      <w:r>
        <w:t xml:space="preserve"> </w:t>
      </w:r>
      <w:r w:rsidR="007C736A">
        <w:t>referred to Montalvo as</w:t>
      </w:r>
      <w:r w:rsidR="000063F7">
        <w:t xml:space="preserve"> “the Spanish author</w:t>
      </w:r>
      <w:r>
        <w:t>”</w:t>
      </w:r>
      <w:r w:rsidR="001C7710">
        <w:t xml:space="preserve"> or attributed authorship to the first French translator of the text.</w:t>
      </w:r>
      <w:r w:rsidR="000063F7">
        <w:t xml:space="preserve"> </w:t>
      </w:r>
      <w:r w:rsidR="004C7E33">
        <w:t>Until the twentieth</w:t>
      </w:r>
      <w:r>
        <w:t xml:space="preserve"> century</w:t>
      </w:r>
      <w:r w:rsidR="009C7977">
        <w:t xml:space="preserve">, </w:t>
      </w:r>
      <w:r>
        <w:t xml:space="preserve">translators and </w:t>
      </w:r>
      <w:r w:rsidR="009C7977">
        <w:t xml:space="preserve">scholars </w:t>
      </w:r>
      <w:r>
        <w:t xml:space="preserve">alike </w:t>
      </w:r>
      <w:r w:rsidR="009C7977">
        <w:t>imagined</w:t>
      </w:r>
      <w:r w:rsidR="00F503CC">
        <w:t xml:space="preserve"> a French or</w:t>
      </w:r>
      <w:r w:rsidR="0047767A">
        <w:t xml:space="preserve"> Portuguese origin</w:t>
      </w:r>
      <w:r w:rsidR="007C736A">
        <w:t>, deep in the medieval past,</w:t>
      </w:r>
      <w:r w:rsidR="0047767A">
        <w:t xml:space="preserve"> </w:t>
      </w:r>
      <w:r w:rsidR="009C7977">
        <w:t xml:space="preserve">for </w:t>
      </w:r>
      <w:r w:rsidR="007C736A" w:rsidRPr="004C7E33">
        <w:rPr>
          <w:i/>
        </w:rPr>
        <w:t>Amadís</w:t>
      </w:r>
      <w:r w:rsidR="00F503CC">
        <w:t xml:space="preserve">. </w:t>
      </w:r>
      <w:r w:rsidR="009C7977">
        <w:t>Nicolas de Herber</w:t>
      </w:r>
      <w:r>
        <w:t>a</w:t>
      </w:r>
      <w:r w:rsidR="009C7977">
        <w:t xml:space="preserve">y des Essarts, who translated </w:t>
      </w:r>
      <w:r w:rsidR="009C7977">
        <w:rPr>
          <w:i/>
        </w:rPr>
        <w:t xml:space="preserve">Amadís </w:t>
      </w:r>
      <w:r w:rsidR="009C7977">
        <w:t>in</w:t>
      </w:r>
      <w:r>
        <w:t>to French in 1540, claimed</w:t>
      </w:r>
      <w:r w:rsidR="009C7977">
        <w:t xml:space="preserve"> that “our Amadis” </w:t>
      </w:r>
      <w:r>
        <w:t xml:space="preserve">simply </w:t>
      </w:r>
      <w:r w:rsidR="009C7977" w:rsidRPr="009C7977">
        <w:rPr>
          <w:i/>
        </w:rPr>
        <w:t>must</w:t>
      </w:r>
      <w:r w:rsidR="009C7977">
        <w:t xml:space="preserve"> be French</w:t>
      </w:r>
      <w:r w:rsidR="004C7E33">
        <w:t xml:space="preserve"> because the character</w:t>
      </w:r>
      <w:r w:rsidR="009C7977">
        <w:t xml:space="preserve"> hails from Gaul. The Portuguese thesis</w:t>
      </w:r>
      <w:r w:rsidR="007C736A">
        <w:t>, to which Southey ascribed,</w:t>
      </w:r>
      <w:r>
        <w:t xml:space="preserve"> attributed</w:t>
      </w:r>
      <w:r w:rsidR="009C7977">
        <w:t xml:space="preserve"> the text</w:t>
      </w:r>
      <w:r w:rsidR="00F503CC">
        <w:t xml:space="preserve"> </w:t>
      </w:r>
      <w:r>
        <w:t xml:space="preserve">to </w:t>
      </w:r>
      <w:r w:rsidR="00F503CC">
        <w:t>fourteenth-century courtier Vasco de Lobeira</w:t>
      </w:r>
      <w:r w:rsidR="009C7977">
        <w:t xml:space="preserve">. </w:t>
      </w:r>
      <w:r w:rsidR="006A7AD3">
        <w:t xml:space="preserve">Twenty-first </w:t>
      </w:r>
      <w:r w:rsidR="007C736A">
        <w:t xml:space="preserve">century </w:t>
      </w:r>
      <w:r w:rsidR="00A46FB3">
        <w:t xml:space="preserve">scholars </w:t>
      </w:r>
      <w:r w:rsidR="007C736A">
        <w:t xml:space="preserve">have </w:t>
      </w:r>
      <w:r w:rsidR="000063F7">
        <w:t>traced the roots of</w:t>
      </w:r>
      <w:r w:rsidR="00A46FB3">
        <w:t xml:space="preserve"> </w:t>
      </w:r>
      <w:r w:rsidR="000063F7">
        <w:rPr>
          <w:i/>
        </w:rPr>
        <w:t xml:space="preserve">Amadís </w:t>
      </w:r>
      <w:r w:rsidR="000063F7">
        <w:t>t</w:t>
      </w:r>
      <w:r w:rsidR="006A7AD3">
        <w:t>o</w:t>
      </w:r>
      <w:r w:rsidR="000063F7">
        <w:t xml:space="preserve"> medieval</w:t>
      </w:r>
      <w:r w:rsidR="006A7AD3">
        <w:t xml:space="preserve"> Castile</w:t>
      </w:r>
      <w:r w:rsidR="001C7710">
        <w:t>. T</w:t>
      </w:r>
      <w:r>
        <w:t xml:space="preserve">his is as close as we are likely to get to the </w:t>
      </w:r>
      <w:r w:rsidR="000063F7">
        <w:t>text’s real origin</w:t>
      </w:r>
      <w:r>
        <w:t>.</w:t>
      </w:r>
    </w:p>
    <w:p w14:paraId="54B46D80" w14:textId="065BCD3D" w:rsidR="00272EBD" w:rsidRPr="00B173FA" w:rsidRDefault="0047767A" w:rsidP="006E0E62">
      <w:pPr>
        <w:spacing w:line="480" w:lineRule="auto"/>
        <w:ind w:firstLine="720"/>
      </w:pPr>
      <w:r>
        <w:t xml:space="preserve">The </w:t>
      </w:r>
      <w:r w:rsidR="000063F7">
        <w:t>text</w:t>
      </w:r>
      <w:r>
        <w:t xml:space="preserve"> </w:t>
      </w:r>
      <w:r w:rsidR="00CF6DFF">
        <w:t>itself</w:t>
      </w:r>
      <w:r w:rsidR="00CA5938">
        <w:t xml:space="preserve"> </w:t>
      </w:r>
      <w:r w:rsidR="009C7977">
        <w:t xml:space="preserve">is just as </w:t>
      </w:r>
      <w:r w:rsidR="00972479">
        <w:t>complex as its transmission history</w:t>
      </w:r>
      <w:r>
        <w:t xml:space="preserve">. </w:t>
      </w:r>
      <w:r w:rsidRPr="0047767A">
        <w:rPr>
          <w:highlight w:val="yellow"/>
        </w:rPr>
        <w:t>[</w:t>
      </w:r>
      <w:proofErr w:type="gramStart"/>
      <w:r w:rsidRPr="0047767A">
        <w:rPr>
          <w:highlight w:val="yellow"/>
        </w:rPr>
        <w:t>show</w:t>
      </w:r>
      <w:proofErr w:type="gramEnd"/>
      <w:r w:rsidRPr="0047767A">
        <w:rPr>
          <w:highlight w:val="yellow"/>
        </w:rPr>
        <w:t xml:space="preserve"> image</w:t>
      </w:r>
      <w:r w:rsidR="00AD4604">
        <w:rPr>
          <w:highlight w:val="yellow"/>
        </w:rPr>
        <w:t xml:space="preserve"> 2</w:t>
      </w:r>
      <w:r w:rsidRPr="0047767A">
        <w:rPr>
          <w:highlight w:val="yellow"/>
        </w:rPr>
        <w:t>]</w:t>
      </w:r>
      <w:r>
        <w:t xml:space="preserve"> </w:t>
      </w:r>
      <w:r w:rsidR="00972479">
        <w:rPr>
          <w:i/>
        </w:rPr>
        <w:t xml:space="preserve">Amadís </w:t>
      </w:r>
      <w:r w:rsidR="00CF6DFF">
        <w:t xml:space="preserve">is </w:t>
      </w:r>
      <w:r w:rsidR="00972479">
        <w:t xml:space="preserve">a </w:t>
      </w:r>
      <w:r w:rsidR="00CF6DFF">
        <w:t xml:space="preserve">romance of chivalry in </w:t>
      </w:r>
      <w:r w:rsidR="00972479">
        <w:t>prose</w:t>
      </w:r>
      <w:r w:rsidR="00CF6DFF">
        <w:t xml:space="preserve"> in four, eleven, or </w:t>
      </w:r>
      <w:r w:rsidR="00537F12">
        <w:t>four</w:t>
      </w:r>
      <w:r w:rsidR="00CF6DFF">
        <w:t xml:space="preserve">teen volumes, depending on </w:t>
      </w:r>
      <w:r w:rsidR="00B173FA">
        <w:t>how one counts the sequels by different authors</w:t>
      </w:r>
      <w:r w:rsidR="00972479">
        <w:t xml:space="preserve">. It </w:t>
      </w:r>
      <w:r w:rsidR="00B173FA">
        <w:t>loosely duplicates the</w:t>
      </w:r>
      <w:r w:rsidR="00972479">
        <w:t xml:space="preserve"> story of Lancelot and Guinevere</w:t>
      </w:r>
      <w:r w:rsidR="00B173FA">
        <w:t xml:space="preserve">, with a happy ending in which </w:t>
      </w:r>
      <w:r w:rsidR="00972479">
        <w:t>Amadís and Oriana</w:t>
      </w:r>
      <w:r w:rsidR="00B173FA">
        <w:t xml:space="preserve"> marry</w:t>
      </w:r>
      <w:r w:rsidR="00972479">
        <w:t xml:space="preserve"> and </w:t>
      </w:r>
      <w:r w:rsidR="00B173FA">
        <w:t xml:space="preserve">jointly </w:t>
      </w:r>
      <w:r w:rsidR="00972479">
        <w:t xml:space="preserve">rule the kingdoms of Britain and Gaul. </w:t>
      </w:r>
      <w:r w:rsidR="00CF6DFF">
        <w:t xml:space="preserve">The 1547 </w:t>
      </w:r>
      <w:r w:rsidR="00972479">
        <w:rPr>
          <w:i/>
        </w:rPr>
        <w:t>Amadís</w:t>
      </w:r>
      <w:r w:rsidR="00B173FA">
        <w:t xml:space="preserve"> </w:t>
      </w:r>
      <w:r w:rsidR="00CF6DFF">
        <w:t xml:space="preserve">looks like a block of undifferentiated text, but </w:t>
      </w:r>
      <w:r w:rsidR="000063F7">
        <w:t xml:space="preserve">it </w:t>
      </w:r>
      <w:r w:rsidR="00CF6DFF">
        <w:t>does have</w:t>
      </w:r>
      <w:r w:rsidR="00972479">
        <w:t xml:space="preserve"> some internal divisions, which we ar</w:t>
      </w:r>
      <w:r w:rsidR="00CF6DFF">
        <w:t xml:space="preserve">e referring to as pseudo-markup. </w:t>
      </w:r>
      <w:r w:rsidR="00B173FA">
        <w:t>This early print book</w:t>
      </w:r>
      <w:r w:rsidR="00CF6DFF">
        <w:t xml:space="preserve"> contains numbered chapters</w:t>
      </w:r>
      <w:r w:rsidR="00972479">
        <w:t xml:space="preserve"> with summaries at their head, punctuation marks, and occasional paragraph marks. </w:t>
      </w:r>
      <w:r w:rsidR="00972479" w:rsidRPr="00972479">
        <w:rPr>
          <w:highlight w:val="yellow"/>
        </w:rPr>
        <w:t>[</w:t>
      </w:r>
      <w:proofErr w:type="gramStart"/>
      <w:r w:rsidR="00972479" w:rsidRPr="00972479">
        <w:rPr>
          <w:highlight w:val="yellow"/>
        </w:rPr>
        <w:t>show</w:t>
      </w:r>
      <w:proofErr w:type="gramEnd"/>
      <w:r w:rsidR="00972479" w:rsidRPr="00972479">
        <w:rPr>
          <w:highlight w:val="yellow"/>
        </w:rPr>
        <w:t xml:space="preserve"> </w:t>
      </w:r>
      <w:r w:rsidR="008F21FC">
        <w:rPr>
          <w:highlight w:val="yellow"/>
        </w:rPr>
        <w:t>i</w:t>
      </w:r>
      <w:r w:rsidR="00932E1A">
        <w:rPr>
          <w:highlight w:val="yellow"/>
        </w:rPr>
        <w:t>mage 3</w:t>
      </w:r>
      <w:r w:rsidR="00972479" w:rsidRPr="00972479">
        <w:rPr>
          <w:highlight w:val="yellow"/>
        </w:rPr>
        <w:t>]</w:t>
      </w:r>
      <w:r w:rsidR="00972479">
        <w:t xml:space="preserve"> </w:t>
      </w:r>
      <w:r w:rsidR="00DE079E">
        <w:t>T</w:t>
      </w:r>
      <w:r>
        <w:t>he punctuation is quite different from modern Spanish</w:t>
      </w:r>
      <w:r w:rsidR="00272EBD">
        <w:t xml:space="preserve"> or English</w:t>
      </w:r>
      <w:r>
        <w:t>.</w:t>
      </w:r>
      <w:r w:rsidR="00972479">
        <w:t xml:space="preserve"> The three marks appear to be non-hierarchical, and the punctuation mark after </w:t>
      </w:r>
      <w:r w:rsidR="00272EBD">
        <w:rPr>
          <w:i/>
        </w:rPr>
        <w:t>dixo</w:t>
      </w:r>
      <w:r w:rsidR="00281BB0">
        <w:rPr>
          <w:i/>
        </w:rPr>
        <w:t xml:space="preserve"> </w:t>
      </w:r>
      <w:r w:rsidR="00281BB0">
        <w:t xml:space="preserve">or </w:t>
      </w:r>
      <w:r w:rsidR="00281BB0">
        <w:rPr>
          <w:i/>
        </w:rPr>
        <w:t>dezía</w:t>
      </w:r>
      <w:r w:rsidR="00972479">
        <w:t xml:space="preserve"> </w:t>
      </w:r>
      <w:r w:rsidR="00972479" w:rsidRPr="00972479">
        <w:rPr>
          <w:highlight w:val="yellow"/>
        </w:rPr>
        <w:t xml:space="preserve">[show </w:t>
      </w:r>
      <w:r w:rsidR="00932E1A">
        <w:rPr>
          <w:highlight w:val="yellow"/>
        </w:rPr>
        <w:t>Image 4</w:t>
      </w:r>
      <w:r w:rsidR="00972479" w:rsidRPr="00972479">
        <w:rPr>
          <w:highlight w:val="yellow"/>
        </w:rPr>
        <w:t>]</w:t>
      </w:r>
      <w:r>
        <w:t xml:space="preserve"> </w:t>
      </w:r>
      <w:r w:rsidR="00CF6DFF">
        <w:t>takes the place of the em dash or quotation mark</w:t>
      </w:r>
      <w:r w:rsidR="00972479">
        <w:t xml:space="preserve"> </w:t>
      </w:r>
      <w:r w:rsidR="00272EBD">
        <w:t>for dialog</w:t>
      </w:r>
      <w:r w:rsidR="00CF6DFF">
        <w:t>u</w:t>
      </w:r>
      <w:r w:rsidR="00272EBD">
        <w:t>e attribution</w:t>
      </w:r>
      <w:r w:rsidR="00972479">
        <w:t xml:space="preserve">. </w:t>
      </w:r>
      <w:r w:rsidR="00B173FA">
        <w:t xml:space="preserve">For those of you who read Spanish, you might notice that the orthography </w:t>
      </w:r>
      <w:r w:rsidR="00DE079E">
        <w:t>is</w:t>
      </w:r>
      <w:r w:rsidR="00B173FA">
        <w:t xml:space="preserve"> quite different from modern use. </w:t>
      </w:r>
      <w:r w:rsidR="00DE079E">
        <w:t>In order to produce our</w:t>
      </w:r>
      <w:r w:rsidR="00B173FA">
        <w:t xml:space="preserve"> </w:t>
      </w:r>
      <w:r w:rsidR="00DE079E">
        <w:t>version of the Montalvo</w:t>
      </w:r>
      <w:r w:rsidR="00B173FA">
        <w:t xml:space="preserve">, we have transcribed the text as we would for a critical edition. </w:t>
      </w:r>
      <w:r w:rsidR="00B173FA" w:rsidRPr="00B173FA">
        <w:rPr>
          <w:highlight w:val="yellow"/>
        </w:rPr>
        <w:t>[</w:t>
      </w:r>
      <w:r w:rsidR="00040990">
        <w:rPr>
          <w:highlight w:val="yellow"/>
        </w:rPr>
        <w:t xml:space="preserve">Image </w:t>
      </w:r>
      <w:proofErr w:type="gramStart"/>
      <w:r w:rsidR="00040990">
        <w:rPr>
          <w:highlight w:val="yellow"/>
        </w:rPr>
        <w:t>5</w:t>
      </w:r>
      <w:r w:rsidR="00BE1A6E">
        <w:rPr>
          <w:highlight w:val="yellow"/>
        </w:rPr>
        <w:t xml:space="preserve"> gitHub</w:t>
      </w:r>
      <w:proofErr w:type="gramEnd"/>
      <w:r w:rsidR="00BE1A6E">
        <w:rPr>
          <w:highlight w:val="yellow"/>
        </w:rPr>
        <w:t xml:space="preserve"> page for editorial declaration</w:t>
      </w:r>
      <w:r w:rsidR="00B173FA" w:rsidRPr="00B173FA">
        <w:rPr>
          <w:highlight w:val="yellow"/>
        </w:rPr>
        <w:t>]</w:t>
      </w:r>
      <w:r w:rsidR="00B173FA">
        <w:t xml:space="preserve"> </w:t>
      </w:r>
      <w:r w:rsidR="00DE079E">
        <w:t>In general terms, we modernize</w:t>
      </w:r>
      <w:r w:rsidR="00B173FA">
        <w:t xml:space="preserve"> those orthography choices that are different from </w:t>
      </w:r>
      <w:r w:rsidR="00DE079E">
        <w:t>modern</w:t>
      </w:r>
      <w:r w:rsidR="00B173FA">
        <w:t xml:space="preserve"> use in the 1547 due to printing conventions, and we prese</w:t>
      </w:r>
      <w:r w:rsidR="00DE079E">
        <w:t xml:space="preserve">rve the 1547 orthography when </w:t>
      </w:r>
      <w:r w:rsidR="001C7710">
        <w:t>differences from modern Spanish</w:t>
      </w:r>
      <w:r w:rsidR="00DE079E">
        <w:t xml:space="preserve"> can be attributed</w:t>
      </w:r>
      <w:r w:rsidR="00B173FA">
        <w:t xml:space="preserve"> to sound. </w:t>
      </w:r>
      <w:r w:rsidR="00DE079E">
        <w:t>Our editorial declaration is based on best practices in the field, and t</w:t>
      </w:r>
      <w:r w:rsidR="00B173FA">
        <w:t xml:space="preserve">he orthography of our Montalvo edition comes very close to that of other modern critical editions of </w:t>
      </w:r>
      <w:r w:rsidR="00B173FA">
        <w:rPr>
          <w:i/>
        </w:rPr>
        <w:t>Amadís</w:t>
      </w:r>
      <w:r w:rsidR="00B173FA">
        <w:t>.</w:t>
      </w:r>
    </w:p>
    <w:p w14:paraId="3BE8F838" w14:textId="5381DEF3" w:rsidR="00972479" w:rsidRDefault="00B173FA" w:rsidP="006E0E62">
      <w:pPr>
        <w:spacing w:line="480" w:lineRule="auto"/>
        <w:ind w:firstLine="720"/>
      </w:pPr>
      <w:r>
        <w:t>The most important part of our project is</w:t>
      </w:r>
      <w:r w:rsidR="00CF6DFF">
        <w:t xml:space="preserve"> </w:t>
      </w:r>
      <w:r w:rsidR="006A5811">
        <w:t>aligning</w:t>
      </w:r>
      <w:r w:rsidR="00CF6DFF">
        <w:t xml:space="preserve"> </w:t>
      </w:r>
      <w:r>
        <w:t xml:space="preserve">the Southey to the Montalvo, and once we established edition criteria, we had </w:t>
      </w:r>
      <w:r w:rsidR="00272EBD">
        <w:t xml:space="preserve">to decide how to </w:t>
      </w:r>
      <w:r w:rsidR="004F4125">
        <w:t xml:space="preserve">code comparable units </w:t>
      </w:r>
      <w:r w:rsidR="00CF6DFF">
        <w:t>across</w:t>
      </w:r>
      <w:r w:rsidR="004F4125">
        <w:t xml:space="preserve"> texts. We rejected the idea of comparing sentence-li</w:t>
      </w:r>
      <w:r w:rsidR="00DE079E">
        <w:t>ke units to sentence-like units. W</w:t>
      </w:r>
      <w:r w:rsidR="00CF6DFF">
        <w:t xml:space="preserve">hile the Southey </w:t>
      </w:r>
      <w:r w:rsidR="004F4125">
        <w:t xml:space="preserve">has clear sentence boundaries, the Montalvo does not. </w:t>
      </w:r>
      <w:r>
        <w:t xml:space="preserve">One of the tasks Southey undertook for his translation was to add internal divisions to the text. </w:t>
      </w:r>
      <w:r w:rsidR="00D62198" w:rsidRPr="004F4125">
        <w:rPr>
          <w:highlight w:val="yellow"/>
        </w:rPr>
        <w:t>[</w:t>
      </w:r>
      <w:r w:rsidR="00A31B64">
        <w:rPr>
          <w:highlight w:val="yellow"/>
        </w:rPr>
        <w:t>Image 6</w:t>
      </w:r>
      <w:r w:rsidR="00D62198" w:rsidRPr="004F4125">
        <w:rPr>
          <w:highlight w:val="yellow"/>
        </w:rPr>
        <w:t>]</w:t>
      </w:r>
      <w:r w:rsidR="00D62198">
        <w:t xml:space="preserve"> </w:t>
      </w:r>
      <w:r w:rsidR="004F4125">
        <w:t xml:space="preserve">Southey is doing the work of a critical edition as well as a translation, and to retrace that </w:t>
      </w:r>
      <w:r w:rsidR="00CF6DFF">
        <w:t>in our code</w:t>
      </w:r>
      <w:r w:rsidR="004F4125">
        <w:t>, we decided that the best unit of comparison between the two texts is the clause-like unit with the &lt;cl&gt; tag. It’s only a clause-</w:t>
      </w:r>
      <w:r w:rsidR="004F4125" w:rsidRPr="00CF6DFF">
        <w:rPr>
          <w:i/>
        </w:rPr>
        <w:t>like</w:t>
      </w:r>
      <w:r w:rsidR="004F4125">
        <w:t xml:space="preserve"> unit, because in the Mont</w:t>
      </w:r>
      <w:r w:rsidR="00CF6DFF">
        <w:t>alvo, punctuation marks do not always</w:t>
      </w:r>
      <w:r w:rsidR="004F4125">
        <w:t xml:space="preserve"> corr</w:t>
      </w:r>
      <w:r w:rsidR="00CF6DFF">
        <w:t xml:space="preserve">espond to grammatical </w:t>
      </w:r>
      <w:r w:rsidR="00B260C8">
        <w:t>units</w:t>
      </w:r>
      <w:r w:rsidR="00CF6DFF">
        <w:t>. I</w:t>
      </w:r>
      <w:r w:rsidR="004F4125">
        <w:t xml:space="preserve">t’s better to think of them as breath marks, places where an out-loud reader would take a pause. </w:t>
      </w:r>
      <w:r w:rsidR="004F4125" w:rsidRPr="004F4125">
        <w:rPr>
          <w:highlight w:val="yellow"/>
        </w:rPr>
        <w:t>[</w:t>
      </w:r>
      <w:r w:rsidR="00717183">
        <w:rPr>
          <w:highlight w:val="yellow"/>
        </w:rPr>
        <w:t>Image 7</w:t>
      </w:r>
      <w:r w:rsidR="004F4125" w:rsidRPr="004F4125">
        <w:rPr>
          <w:highlight w:val="yellow"/>
        </w:rPr>
        <w:t>]</w:t>
      </w:r>
      <w:r w:rsidR="004F4125">
        <w:t xml:space="preserve"> Each clause-like unit in the </w:t>
      </w:r>
      <w:proofErr w:type="gramStart"/>
      <w:r w:rsidR="004F4125">
        <w:t>Montalvo,</w:t>
      </w:r>
      <w:proofErr w:type="gramEnd"/>
      <w:r w:rsidR="004F4125">
        <w:t xml:space="preserve"> measured from punctuation mark to punctuation mark, gets its own xml id</w:t>
      </w:r>
      <w:r w:rsidR="006A7AD3">
        <w:t xml:space="preserve"> based on its chapter, paragraph, and clause number</w:t>
      </w:r>
      <w:r w:rsidR="004F4125">
        <w:t xml:space="preserve">. </w:t>
      </w:r>
      <w:r w:rsidR="006A7AD3">
        <w:t>They ar</w:t>
      </w:r>
      <w:r w:rsidR="00A166DA">
        <w:t>e sequential rather than nested</w:t>
      </w:r>
      <w:r w:rsidR="006A7AD3">
        <w:t xml:space="preserve"> because we wanted to be able to reveal when </w:t>
      </w:r>
      <w:r w:rsidR="00A166DA">
        <w:t>Southey</w:t>
      </w:r>
      <w:r w:rsidR="006A7AD3">
        <w:t xml:space="preserve"> reverses </w:t>
      </w:r>
      <w:r w:rsidR="00A166DA">
        <w:t>clause</w:t>
      </w:r>
      <w:r w:rsidR="001A5BD2">
        <w:t xml:space="preserve"> order, </w:t>
      </w:r>
      <w:r w:rsidR="006A7AD3">
        <w:t>weaves tw</w:t>
      </w:r>
      <w:r w:rsidR="001A5BD2">
        <w:t>o of Montalvo’s units together, or jumps ahead or back in Montalvo’s text</w:t>
      </w:r>
      <w:r w:rsidR="00CF7E9F">
        <w:t>. We use</w:t>
      </w:r>
      <w:r w:rsidR="006A7AD3">
        <w:t xml:space="preserve"> a self-closing &lt;anchor&gt; element in the Southey chapters to </w:t>
      </w:r>
      <w:r w:rsidR="00B260C8">
        <w:t xml:space="preserve">align </w:t>
      </w:r>
      <w:r w:rsidR="001A5BD2">
        <w:t xml:space="preserve">Southey’s </w:t>
      </w:r>
      <w:r w:rsidR="00B260C8">
        <w:t>translation</w:t>
      </w:r>
      <w:r w:rsidR="001A5BD2">
        <w:t xml:space="preserve"> to </w:t>
      </w:r>
      <w:r w:rsidR="00B260C8">
        <w:t>the</w:t>
      </w:r>
      <w:r w:rsidR="001A5BD2">
        <w:t xml:space="preserve"> source</w:t>
      </w:r>
      <w:r w:rsidR="00737867">
        <w:t xml:space="preserve">. We also encode other types of information in the anchor tags, </w:t>
      </w:r>
      <w:r w:rsidR="00DE079E">
        <w:t>including additions and shifts between direct and indirect discourse</w:t>
      </w:r>
      <w:r w:rsidR="00737867">
        <w:t xml:space="preserve">. </w:t>
      </w:r>
      <w:proofErr w:type="gramStart"/>
      <w:r w:rsidR="00904646">
        <w:rPr>
          <w:highlight w:val="yellow"/>
        </w:rPr>
        <w:t>[</w:t>
      </w:r>
      <w:r w:rsidR="00904646" w:rsidRPr="00904646">
        <w:rPr>
          <w:highlight w:val="yellow"/>
        </w:rPr>
        <w:t xml:space="preserve"> Image</w:t>
      </w:r>
      <w:proofErr w:type="gramEnd"/>
      <w:r w:rsidR="00904646" w:rsidRPr="00904646">
        <w:rPr>
          <w:highlight w:val="yellow"/>
        </w:rPr>
        <w:t xml:space="preserve"> 8</w:t>
      </w:r>
      <w:r w:rsidR="00904646">
        <w:t>]</w:t>
      </w:r>
    </w:p>
    <w:p w14:paraId="4C426CC8" w14:textId="0A624AC4" w:rsidR="00AF23E9" w:rsidRDefault="001A5BD2" w:rsidP="00F67C11">
      <w:pPr>
        <w:spacing w:line="480" w:lineRule="auto"/>
        <w:ind w:firstLine="720"/>
      </w:pPr>
      <w:r>
        <w:t xml:space="preserve">Southey could be considered </w:t>
      </w:r>
      <w:r w:rsidR="00F67C11">
        <w:t>either a good or bad translator</w:t>
      </w:r>
      <w:r>
        <w:t xml:space="preserve"> depending on the theory one uses as a standard. </w:t>
      </w:r>
      <w:r w:rsidR="00F67C11">
        <w:t>In his preface, Southey elaborates</w:t>
      </w:r>
      <w:r w:rsidR="00737867">
        <w:t xml:space="preserve"> a </w:t>
      </w:r>
      <w:r>
        <w:t xml:space="preserve">scholarly </w:t>
      </w:r>
      <w:r w:rsidR="0003499F">
        <w:t>thesi</w:t>
      </w:r>
      <w:r w:rsidR="00F67C11">
        <w:t>s, t</w:t>
      </w:r>
      <w:r w:rsidR="0003499F">
        <w:t xml:space="preserve">hat </w:t>
      </w:r>
      <w:r w:rsidR="0003499F">
        <w:rPr>
          <w:i/>
        </w:rPr>
        <w:t xml:space="preserve">Amadís </w:t>
      </w:r>
      <w:r w:rsidR="0003499F">
        <w:t xml:space="preserve">is </w:t>
      </w:r>
      <w:r w:rsidR="00737867">
        <w:t xml:space="preserve">a </w:t>
      </w:r>
      <w:r w:rsidR="0003499F">
        <w:t>medieval</w:t>
      </w:r>
      <w:r w:rsidR="00737867">
        <w:t xml:space="preserve"> text</w:t>
      </w:r>
      <w:r w:rsidR="0003499F">
        <w:t>, originally Portuguese</w:t>
      </w:r>
      <w:r w:rsidR="00737867">
        <w:t xml:space="preserve"> rather than Castilian</w:t>
      </w:r>
      <w:r w:rsidR="00DE079E">
        <w:t xml:space="preserve">, and he uses a balance of </w:t>
      </w:r>
      <w:r w:rsidR="00F67C11">
        <w:t>strategies to</w:t>
      </w:r>
      <w:r w:rsidR="0003499F">
        <w:t xml:space="preserve"> develop</w:t>
      </w:r>
      <w:r w:rsidR="00F67C11">
        <w:t xml:space="preserve"> this thesis </w:t>
      </w:r>
      <w:r w:rsidR="0003499F">
        <w:t xml:space="preserve">into a translation. </w:t>
      </w:r>
      <w:r>
        <w:t xml:space="preserve">The result is a text that, for Southey, is both </w:t>
      </w:r>
      <w:r w:rsidR="00F67C11">
        <w:t>“</w:t>
      </w:r>
      <w:r>
        <w:t>better</w:t>
      </w:r>
      <w:r w:rsidR="00F67C11">
        <w:t>”</w:t>
      </w:r>
      <w:r>
        <w:t xml:space="preserve"> in artistic terms and closer to a</w:t>
      </w:r>
      <w:r w:rsidR="00F67C11">
        <w:t>n imagined</w:t>
      </w:r>
      <w:r>
        <w:t xml:space="preserve"> medieval original than Montalvo’s version. </w:t>
      </w:r>
      <w:r w:rsidR="00737867">
        <w:t>Susan Bassnett talks about the history of translation from ancient Rome to the end of the nineteenth century as a tension between word-for-word translation</w:t>
      </w:r>
      <w:r>
        <w:t xml:space="preserve">s versus </w:t>
      </w:r>
      <w:r w:rsidR="00737867">
        <w:t>sense-for-sense translation</w:t>
      </w:r>
      <w:r>
        <w:t>s</w:t>
      </w:r>
      <w:r w:rsidR="00737867">
        <w:t xml:space="preserve">. Horace in </w:t>
      </w:r>
      <w:r w:rsidR="00737867">
        <w:rPr>
          <w:i/>
        </w:rPr>
        <w:t>Ars Poetica</w:t>
      </w:r>
      <w:r w:rsidR="00737867">
        <w:t xml:space="preserve"> famously argues for the sense for sense </w:t>
      </w:r>
      <w:r>
        <w:t>approach</w:t>
      </w:r>
      <w:r w:rsidR="00DE079E">
        <w:t xml:space="preserve">, which allows the translator to take small liberties with the source text. </w:t>
      </w:r>
      <w:r w:rsidR="00737867">
        <w:t xml:space="preserve">Etienne Dolet, a French </w:t>
      </w:r>
      <w:r w:rsidR="00DE079E">
        <w:t>Humanist</w:t>
      </w:r>
      <w:r w:rsidR="00EE1F3C">
        <w:t>, printer operating in Lyon,</w:t>
      </w:r>
      <w:r w:rsidR="00193D7F">
        <w:t xml:space="preserve"> </w:t>
      </w:r>
      <w:r w:rsidR="00737867">
        <w:t xml:space="preserve">and contemporary of </w:t>
      </w:r>
      <w:r w:rsidR="00F67C11">
        <w:t xml:space="preserve">the first French translator of </w:t>
      </w:r>
      <w:r w:rsidR="00F67C11" w:rsidRPr="00F67C11">
        <w:rPr>
          <w:i/>
        </w:rPr>
        <w:t>Amadís</w:t>
      </w:r>
      <w:r w:rsidR="00DE079E">
        <w:t>,</w:t>
      </w:r>
      <w:r w:rsidR="00737867">
        <w:t xml:space="preserve"> advocated </w:t>
      </w:r>
      <w:r w:rsidR="006F2C4F">
        <w:t>for sense-for-sense translation</w:t>
      </w:r>
      <w:r w:rsidR="00737867">
        <w:t xml:space="preserve">. Alexander Tytler, writing </w:t>
      </w:r>
      <w:r w:rsidR="00F67C11">
        <w:t xml:space="preserve">closer to Southey’s time </w:t>
      </w:r>
      <w:r w:rsidR="00737867">
        <w:t xml:space="preserve">in 1790, </w:t>
      </w:r>
      <w:r w:rsidR="00DE079E">
        <w:t>favored</w:t>
      </w:r>
      <w:r>
        <w:t xml:space="preserve"> </w:t>
      </w:r>
      <w:r w:rsidR="00737867">
        <w:t xml:space="preserve">a balance of the </w:t>
      </w:r>
      <w:r w:rsidR="00F67C11">
        <w:t>two</w:t>
      </w:r>
      <w:r w:rsidR="00737867">
        <w:t xml:space="preserve"> strategies </w:t>
      </w:r>
      <w:r w:rsidR="00DE079E">
        <w:t>that preserved</w:t>
      </w:r>
      <w:r w:rsidR="00F67C11">
        <w:t xml:space="preserve"> as much as possible of</w:t>
      </w:r>
      <w:r>
        <w:t xml:space="preserve"> the source author’s </w:t>
      </w:r>
      <w:r w:rsidR="00DE079E">
        <w:t>diction</w:t>
      </w:r>
      <w:r>
        <w:t xml:space="preserve"> and style</w:t>
      </w:r>
      <w:r w:rsidR="00737867">
        <w:t xml:space="preserve">. The Romantics, according to Bassnett, </w:t>
      </w:r>
      <w:r w:rsidR="00351B14">
        <w:t xml:space="preserve">were firmly on the sense-for-sense side of the debate. </w:t>
      </w:r>
      <w:r w:rsidR="00737867">
        <w:t>What we would expect from Southey</w:t>
      </w:r>
      <w:r w:rsidR="00351B14">
        <w:t xml:space="preserve"> is a t</w:t>
      </w:r>
      <w:r w:rsidR="0027196D">
        <w:t>ranslation that alters the source text for reasons of literary taste.</w:t>
      </w:r>
      <w:r w:rsidR="00F67C11">
        <w:t xml:space="preserve"> </w:t>
      </w:r>
      <w:r w:rsidR="002E400F">
        <w:t>Southey’s preface leads us to anticipate dramatic changes: “To have translated a closely printed folio would have been absurd. I have reduced it to about half its length, by abridging the words, not the story […]</w:t>
      </w:r>
      <w:r w:rsidR="00DE079E">
        <w:t xml:space="preserve"> </w:t>
      </w:r>
      <w:r w:rsidR="002E400F">
        <w:t xml:space="preserve">There is no vanity in saying, that this has improved the book, for what long work may not be improved by compression?” </w:t>
      </w:r>
      <w:r w:rsidR="002E400F">
        <w:fldChar w:fldCharType="begin"/>
      </w:r>
      <w:r w:rsidR="002E400F">
        <w:instrText xml:space="preserve"> ADDIN ZOTERO_ITEM CSL_CITATION {"citationID":"jNc9FKoA","properties":{"formattedCitation":"(xxi)","plainCitation":"(xxi)"},"citationItems":[{"id":390,"uris":["http://zotero.org/users/1411539/items/VCT8TI7Z"],"uri":["http://zotero.org/users/1411539/items/VCT8TI7Z"],"itemData":{"id":390,"type":"chapter","title":"Preface","container-title":"Amadis of Gaul","publisher":"Longman","publisher-place":"London","event-place":"London","container-author":[{"family":"Lobeira","given":"Vasco","dropping-particle":"de"}],"translator":[{"family":"Southey","given":"Robert"}],"author":[{"family":"Southey","given":"Robert"}],"issued":{"date-parts":[["1803"]]}},"locator":"xxi","suppress-author":true}],"schema":"https://github.com/citation-style-language/schema/raw/master/csl-citation.json"} </w:instrText>
      </w:r>
      <w:r w:rsidR="002E400F">
        <w:fldChar w:fldCharType="separate"/>
      </w:r>
      <w:r w:rsidR="002E400F">
        <w:rPr>
          <w:noProof/>
        </w:rPr>
        <w:t>(xxi)</w:t>
      </w:r>
      <w:r w:rsidR="002E400F">
        <w:fldChar w:fldCharType="end"/>
      </w:r>
      <w:r w:rsidR="002E400F">
        <w:t xml:space="preserve">. </w:t>
      </w:r>
    </w:p>
    <w:p w14:paraId="7A78732C" w14:textId="16D4CFCB" w:rsidR="00495CC4" w:rsidRPr="004951C1" w:rsidRDefault="0013656A" w:rsidP="007B60CC">
      <w:pPr>
        <w:spacing w:line="480" w:lineRule="auto"/>
        <w:ind w:firstLine="720"/>
      </w:pPr>
      <w:r>
        <w:t xml:space="preserve">Our code reveals that Southey </w:t>
      </w:r>
      <w:r w:rsidR="0027196D">
        <w:t xml:space="preserve">is not quite what we </w:t>
      </w:r>
      <w:r w:rsidR="00D81EF5">
        <w:t>expected</w:t>
      </w:r>
      <w:r w:rsidR="00D62198">
        <w:t>. For the most part, we have what the twenty-first century would recognize as a</w:t>
      </w:r>
      <w:r w:rsidR="00AF23E9">
        <w:t xml:space="preserve"> </w:t>
      </w:r>
      <w:r w:rsidR="0027196D">
        <w:t>“</w:t>
      </w:r>
      <w:r w:rsidR="00D62198">
        <w:t>faithful” translation</w:t>
      </w:r>
      <w:r w:rsidR="0027196D">
        <w:t>. Southey</w:t>
      </w:r>
      <w:r w:rsidR="00AF23E9">
        <w:t xml:space="preserve"> </w:t>
      </w:r>
      <w:r>
        <w:t xml:space="preserve">employs word-for-word translations when the Spanish syntax </w:t>
      </w:r>
      <w:r w:rsidR="00AF23E9">
        <w:t>is comparable to English</w:t>
      </w:r>
      <w:r>
        <w:t xml:space="preserve"> and sense-for-sense translations when it </w:t>
      </w:r>
      <w:r w:rsidR="00AF23E9">
        <w:t>is</w:t>
      </w:r>
      <w:r>
        <w:t xml:space="preserve"> no</w:t>
      </w:r>
      <w:r w:rsidR="00A26F9F">
        <w:t xml:space="preserve">t. </w:t>
      </w:r>
      <w:r w:rsidR="00F32F85">
        <w:t>Southey’s translation choices appear to be, at least in part, a reaction against prior translators Herberay, Munday, and Tressan, al</w:t>
      </w:r>
      <w:r w:rsidR="00281959">
        <w:t>l of whom he criticizes in the P</w:t>
      </w:r>
      <w:r w:rsidR="00F32F85">
        <w:t xml:space="preserve">reface. </w:t>
      </w:r>
      <w:r w:rsidR="00A26F9F">
        <w:t>Southey prefers non-archaic, matter-of-fact</w:t>
      </w:r>
      <w:r>
        <w:t xml:space="preserve"> diction, </w:t>
      </w:r>
      <w:r w:rsidR="001C66AE">
        <w:t xml:space="preserve">and he </w:t>
      </w:r>
      <w:r w:rsidR="006F2C4F">
        <w:t xml:space="preserve">makes </w:t>
      </w:r>
      <w:r w:rsidR="00F32F85">
        <w:t>makes a number of brief additions to the text for reasons of readability, including adverbs of time and proper names to resolve unclear antecedents</w:t>
      </w:r>
      <w:r w:rsidR="006F2C4F">
        <w:t>.</w:t>
      </w:r>
      <w:r w:rsidR="00F32F85">
        <w:t xml:space="preserve"> Southey’s omissions are of much greater extent than the additions. [</w:t>
      </w:r>
      <w:r w:rsidR="00904646">
        <w:t>Image 9</w:t>
      </w:r>
      <w:r w:rsidR="00F32F85">
        <w:t xml:space="preserve">] First, Southey eliminates repetitive passages, which have long been seen as a defect in Montalvo’s style. Second, Southey omits Montalvo’s narrating voice, which appears in frequent first- or second-person verb forms that allude to orality. The sermons and sex scenes of the Montalvo </w:t>
      </w:r>
      <w:r w:rsidR="00F32F85">
        <w:rPr>
          <w:i/>
        </w:rPr>
        <w:t xml:space="preserve">Amadís </w:t>
      </w:r>
      <w:r w:rsidR="00F32F85">
        <w:t>are likewise missing in the Southey. In trying to restore the text to the imaginary state in which apocryphal author Lobeir</w:t>
      </w:r>
      <w:r w:rsidR="00A8499B">
        <w:t>a created it, Southey in effect cuts</w:t>
      </w:r>
      <w:r w:rsidR="00F32F85">
        <w:t xml:space="preserve"> fifteenth century Montalvo out of the text. Southey omits Montalvo’s prologue, Montalvo’s references to real and apocryphal manuscripts, and all </w:t>
      </w:r>
      <w:r w:rsidR="006D0EFD">
        <w:t xml:space="preserve">appearances of the persona of the author. Southey’s </w:t>
      </w:r>
      <w:r w:rsidR="00F32F85">
        <w:t>extensive footnotes</w:t>
      </w:r>
      <w:r w:rsidR="00A8499B">
        <w:t>, on the other hand,</w:t>
      </w:r>
      <w:r w:rsidR="00F32F85">
        <w:t xml:space="preserve"> </w:t>
      </w:r>
      <w:r w:rsidR="006D0EFD">
        <w:t xml:space="preserve">restore narrative complexity </w:t>
      </w:r>
      <w:r w:rsidR="00A8499B">
        <w:t>and authorial intrusion</w:t>
      </w:r>
      <w:r w:rsidR="00F32F85">
        <w:t>. The notes</w:t>
      </w:r>
      <w:r w:rsidR="006F2C4F">
        <w:t xml:space="preserve"> </w:t>
      </w:r>
      <w:r w:rsidR="00F32F85">
        <w:t>cite</w:t>
      </w:r>
      <w:r w:rsidR="006F2C4F">
        <w:t xml:space="preserve"> Spanish words and phrases, </w:t>
      </w:r>
      <w:r w:rsidR="00C50A96">
        <w:t>comment on</w:t>
      </w:r>
      <w:r w:rsidR="006F2C4F">
        <w:t xml:space="preserve"> the source text, mark large omissions or chan</w:t>
      </w:r>
      <w:r w:rsidR="00B739EC">
        <w:t xml:space="preserve">ges to the order of events, </w:t>
      </w:r>
      <w:r w:rsidR="006F2C4F">
        <w:t>orient English readers to concepts in Iberian culture</w:t>
      </w:r>
      <w:r w:rsidR="00B739EC">
        <w:t>, and reference previous translations</w:t>
      </w:r>
      <w:r w:rsidR="00A26F9F">
        <w:t>.</w:t>
      </w:r>
      <w:r w:rsidR="00D62198">
        <w:t xml:space="preserve"> </w:t>
      </w:r>
      <w:r w:rsidR="001C66AE" w:rsidRPr="0027196D">
        <w:rPr>
          <w:highlight w:val="yellow"/>
        </w:rPr>
        <w:t>[</w:t>
      </w:r>
      <w:r w:rsidR="00B739EC">
        <w:rPr>
          <w:highlight w:val="yellow"/>
        </w:rPr>
        <w:t>Image 9</w:t>
      </w:r>
      <w:r w:rsidR="001C66AE" w:rsidRPr="0027196D">
        <w:rPr>
          <w:highlight w:val="yellow"/>
        </w:rPr>
        <w:t>]</w:t>
      </w:r>
      <w:r w:rsidR="001C66AE">
        <w:t xml:space="preserve"> </w:t>
      </w:r>
      <w:r w:rsidR="007B60CC">
        <w:t xml:space="preserve">In </w:t>
      </w:r>
      <w:r w:rsidR="00ED21D0">
        <w:t>a sense</w:t>
      </w:r>
      <w:r w:rsidR="007B60CC">
        <w:t xml:space="preserve">, Southey is </w:t>
      </w:r>
      <w:r w:rsidR="00ED21D0">
        <w:t xml:space="preserve">duplicating Montalvo’s fifteenth-century project of editing and improving the </w:t>
      </w:r>
      <w:r w:rsidR="00ED21D0">
        <w:rPr>
          <w:i/>
        </w:rPr>
        <w:t xml:space="preserve">Amadís </w:t>
      </w:r>
      <w:r w:rsidR="00ED21D0">
        <w:t xml:space="preserve">for the nineteenth century. He is not merely a translator working in service to the source text; Southey’s </w:t>
      </w:r>
      <w:r w:rsidR="00ED21D0">
        <w:rPr>
          <w:i/>
        </w:rPr>
        <w:t xml:space="preserve">Amadís </w:t>
      </w:r>
      <w:r w:rsidR="00ED21D0">
        <w:t xml:space="preserve">is both a reading of the Castilian </w:t>
      </w:r>
      <w:r w:rsidR="00ED21D0">
        <w:rPr>
          <w:i/>
        </w:rPr>
        <w:t xml:space="preserve">Amadís </w:t>
      </w:r>
      <w:r w:rsidR="00ED21D0">
        <w:t xml:space="preserve">and a new work in its own right. </w:t>
      </w:r>
    </w:p>
    <w:p w14:paraId="79E7682D" w14:textId="77777777" w:rsidR="0047767A" w:rsidRPr="0047767A" w:rsidRDefault="0047767A" w:rsidP="00F503CC">
      <w:pPr>
        <w:spacing w:line="480" w:lineRule="auto"/>
        <w:ind w:firstLine="720"/>
      </w:pPr>
    </w:p>
    <w:sectPr w:rsidR="0047767A" w:rsidRPr="0047767A" w:rsidSect="0033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EDE40" w14:textId="77777777" w:rsidR="00A2041D" w:rsidRDefault="00A2041D" w:rsidP="00F503CC">
      <w:r>
        <w:separator/>
      </w:r>
    </w:p>
  </w:endnote>
  <w:endnote w:type="continuationSeparator" w:id="0">
    <w:p w14:paraId="606724EC" w14:textId="77777777" w:rsidR="00A2041D" w:rsidRDefault="00A2041D" w:rsidP="00F5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E79A2" w14:textId="77777777" w:rsidR="00A2041D" w:rsidRDefault="00A2041D" w:rsidP="00F503CC">
      <w:r>
        <w:separator/>
      </w:r>
    </w:p>
  </w:footnote>
  <w:footnote w:type="continuationSeparator" w:id="0">
    <w:p w14:paraId="7EF2D8C9" w14:textId="77777777" w:rsidR="00A2041D" w:rsidRDefault="00A2041D" w:rsidP="00F503CC">
      <w:r>
        <w:continuationSeparator/>
      </w:r>
    </w:p>
  </w:footnote>
  <w:footnote w:id="1">
    <w:p w14:paraId="14B45A37" w14:textId="443357B4" w:rsidR="00A2041D" w:rsidRPr="005D1510" w:rsidRDefault="00A2041D">
      <w:pPr>
        <w:pStyle w:val="FootnoteText"/>
      </w:pPr>
      <w:r>
        <w:rPr>
          <w:rStyle w:val="FootnoteReference"/>
        </w:rPr>
        <w:footnoteRef/>
      </w:r>
      <w:r>
        <w:t xml:space="preserve"> Cacho’s number includes sequels to the </w:t>
      </w:r>
      <w:r>
        <w:rPr>
          <w:i/>
        </w:rPr>
        <w:t>Amadís</w:t>
      </w:r>
      <w:r>
        <w:t xml:space="preserve"> by other writers.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CC"/>
    <w:rsid w:val="000063F7"/>
    <w:rsid w:val="0003499F"/>
    <w:rsid w:val="00040990"/>
    <w:rsid w:val="0004186E"/>
    <w:rsid w:val="000B0111"/>
    <w:rsid w:val="0013656A"/>
    <w:rsid w:val="00193D7F"/>
    <w:rsid w:val="001A5BD2"/>
    <w:rsid w:val="001C66AE"/>
    <w:rsid w:val="001C7710"/>
    <w:rsid w:val="002172D3"/>
    <w:rsid w:val="00224D32"/>
    <w:rsid w:val="00250CF0"/>
    <w:rsid w:val="0027196D"/>
    <w:rsid w:val="00272EBD"/>
    <w:rsid w:val="00281959"/>
    <w:rsid w:val="00281BB0"/>
    <w:rsid w:val="002E400F"/>
    <w:rsid w:val="0033773B"/>
    <w:rsid w:val="00351B14"/>
    <w:rsid w:val="00424043"/>
    <w:rsid w:val="00436033"/>
    <w:rsid w:val="0044396C"/>
    <w:rsid w:val="004519A9"/>
    <w:rsid w:val="0047767A"/>
    <w:rsid w:val="004951C1"/>
    <w:rsid w:val="00495CC4"/>
    <w:rsid w:val="004C6F8A"/>
    <w:rsid w:val="004C7E33"/>
    <w:rsid w:val="004F4125"/>
    <w:rsid w:val="00537F12"/>
    <w:rsid w:val="005D1510"/>
    <w:rsid w:val="005E3173"/>
    <w:rsid w:val="00685132"/>
    <w:rsid w:val="006A5811"/>
    <w:rsid w:val="006A7AD3"/>
    <w:rsid w:val="006D0EFD"/>
    <w:rsid w:val="006E0E62"/>
    <w:rsid w:val="006F2C4F"/>
    <w:rsid w:val="00717183"/>
    <w:rsid w:val="00733843"/>
    <w:rsid w:val="00737867"/>
    <w:rsid w:val="007B3CD5"/>
    <w:rsid w:val="007B60CC"/>
    <w:rsid w:val="007C736A"/>
    <w:rsid w:val="0080773D"/>
    <w:rsid w:val="0082328C"/>
    <w:rsid w:val="008315B8"/>
    <w:rsid w:val="008F21FC"/>
    <w:rsid w:val="00904646"/>
    <w:rsid w:val="00932E1A"/>
    <w:rsid w:val="00972479"/>
    <w:rsid w:val="009965A8"/>
    <w:rsid w:val="009C7977"/>
    <w:rsid w:val="00A166DA"/>
    <w:rsid w:val="00A2041D"/>
    <w:rsid w:val="00A26F9F"/>
    <w:rsid w:val="00A31B64"/>
    <w:rsid w:val="00A4266C"/>
    <w:rsid w:val="00A46FB3"/>
    <w:rsid w:val="00A8499B"/>
    <w:rsid w:val="00A96EE8"/>
    <w:rsid w:val="00AC7B9A"/>
    <w:rsid w:val="00AD4604"/>
    <w:rsid w:val="00AF23E9"/>
    <w:rsid w:val="00B173FA"/>
    <w:rsid w:val="00B260C8"/>
    <w:rsid w:val="00B739EC"/>
    <w:rsid w:val="00BE1A6E"/>
    <w:rsid w:val="00C14FE1"/>
    <w:rsid w:val="00C50A96"/>
    <w:rsid w:val="00C808D1"/>
    <w:rsid w:val="00CA5938"/>
    <w:rsid w:val="00CE4589"/>
    <w:rsid w:val="00CF6DFF"/>
    <w:rsid w:val="00CF7E9F"/>
    <w:rsid w:val="00D62198"/>
    <w:rsid w:val="00D81EF5"/>
    <w:rsid w:val="00DA25C0"/>
    <w:rsid w:val="00DD1E94"/>
    <w:rsid w:val="00DE079E"/>
    <w:rsid w:val="00E20A07"/>
    <w:rsid w:val="00E90065"/>
    <w:rsid w:val="00ED21D0"/>
    <w:rsid w:val="00EE1F3C"/>
    <w:rsid w:val="00F32F85"/>
    <w:rsid w:val="00F503CC"/>
    <w:rsid w:val="00F67C11"/>
    <w:rsid w:val="00F83CA4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B4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C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03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3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3CC"/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503CC"/>
  </w:style>
  <w:style w:type="character" w:customStyle="1" w:styleId="FootnoteTextChar">
    <w:name w:val="Footnote Text Char"/>
    <w:basedOn w:val="DefaultParagraphFont"/>
    <w:link w:val="FootnoteText"/>
    <w:uiPriority w:val="99"/>
    <w:rsid w:val="00F503CC"/>
    <w:rPr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F503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3CC"/>
    <w:rPr>
      <w:rFonts w:ascii="Lucida Grande" w:hAnsi="Lucida Grande" w:cs="Lucida Grande"/>
      <w:sz w:val="18"/>
      <w:szCs w:val="18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F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F9F"/>
    <w:rPr>
      <w:b/>
      <w:bCs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C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03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3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3CC"/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503CC"/>
  </w:style>
  <w:style w:type="character" w:customStyle="1" w:styleId="FootnoteTextChar">
    <w:name w:val="Footnote Text Char"/>
    <w:basedOn w:val="DefaultParagraphFont"/>
    <w:link w:val="FootnoteText"/>
    <w:uiPriority w:val="99"/>
    <w:rsid w:val="00F503CC"/>
    <w:rPr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F503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3CC"/>
    <w:rPr>
      <w:rFonts w:ascii="Lucida Grande" w:hAnsi="Lucida Grande" w:cs="Lucida Grande"/>
      <w:sz w:val="18"/>
      <w:szCs w:val="18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F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F9F"/>
    <w:rPr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2043</Words>
  <Characters>11646</Characters>
  <Application>Microsoft Macintosh Word</Application>
  <DocSecurity>0</DocSecurity>
  <Lines>97</Lines>
  <Paragraphs>27</Paragraphs>
  <ScaleCrop>false</ScaleCrop>
  <Company/>
  <LinksUpToDate>false</LinksUpToDate>
  <CharactersWithSpaces>13662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Triplette , Stacey E</dc:creator>
  <cp:keywords/>
  <dc:description/>
  <cp:lastModifiedBy>Triplette , Stacey E</cp:lastModifiedBy>
  <cp:revision>28</cp:revision>
  <dcterms:created xsi:type="dcterms:W3CDTF">2015-10-28T09:28:00Z</dcterms:created>
  <dcterms:modified xsi:type="dcterms:W3CDTF">2015-10-30T15:47:00Z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zotero-version="4.0.28.6"&gt;&lt;session id="0lBiTp7z"/&gt;&lt;style id="http://www.zotero.org/styles/modern-language-association" locale="en-US" hasBibliography="1" bibliographyStyleHasBeenSet="0"/&gt;&lt;prefs&gt;&lt;pref name="fieldType" value="Field"/&gt;</vt:lpwstr>
  </property>
  <property fmtid="{D5CDD505-2E9C-101B-9397-08002B2CF9AE}" pid="3" name="ZOTERO_PREF_2">
    <vt:lpwstr>&lt;pref name="storeReferences" value="true"/&gt;&lt;pref name="automaticJournalAbbreviations" value="true"/&gt;&lt;pref name="noteType" value=""/&gt;&lt;/prefs&gt;&lt;/data&gt;</vt:lpwstr>
  </property>
</Properties>
</file>