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8.png" ContentType="image/png"/>
  <Override PartName="/word/media/rId77.png" ContentType="image/png"/>
  <Override PartName="/word/media/rId72.png" ContentType="image/png"/>
  <Override PartName="/word/media/rId67.png" ContentType="image/png"/>
  <Override PartName="/word/media/rId118.png" ContentType="image/png"/>
  <Override PartName="/word/media/rId96.png" ContentType="image/png"/>
  <Override PartName="/word/media/rId90.png" ContentType="image/png"/>
  <Override PartName="/word/media/rId113.png" ContentType="image/png"/>
  <Override PartName="/word/media/rId101.png" ContentType="image/png"/>
  <Override PartName="/word/media/rId107.png" ContentType="image/png"/>
  <Override PartName="/word/media/rId126.png" ContentType="image/png"/>
  <Override PartName="/word/media/rId132.png" ContentType="image/png"/>
  <Override PartName="/word/media/rId256.png" ContentType="image/png"/>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methods for continuous glucose monitoring data and their potential in cardiovascular risk assessment</w:t>
      </w:r>
    </w:p>
    <w:p>
      <w:pPr>
        <w:pStyle w:val="Author"/>
      </w:pPr>
      <w:r>
        <w:t xml:space="preserve">Helene Bei Thomsen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pervisors-and-assessment-committee"/>
    <w:p>
      <w:pPr>
        <w:pStyle w:val="Heading1"/>
      </w:pPr>
      <w:r>
        <w:t xml:space="preserve">Supervisors and Assessment Committee</w:t>
      </w:r>
    </w:p>
    <w:bookmarkEnd w:id="9"/>
    <w:bookmarkStart w:id="10" w:name="cover-page"/>
    <w:p>
      <w:pPr>
        <w:pStyle w:val="Heading1"/>
      </w:pPr>
      <w:r>
        <w:t xml:space="preserve">Cover Page</w:t>
      </w:r>
    </w:p>
    <w:bookmarkEnd w:id="10"/>
    <w:p>
      <w:pPr>
        <w:pStyle w:val="FirstParagraph"/>
      </w:pPr>
      <w:r>
        <w:drawing>
          <wp:inline>
            <wp:extent cx="2133600" cy="2133600"/>
            <wp:effectExtent b="0" l="0" r="0" t="0"/>
            <wp:docPr descr="" title="" id="12" name="Picture"/>
            <a:graphic>
              <a:graphicData uri="http://schemas.openxmlformats.org/drawingml/2006/picture">
                <pic:pic>
                  <pic:nvPicPr>
                    <pic:cNvPr descr="figures/ausegl_blaa.png" id="13" name="Picture"/>
                    <pic:cNvPicPr>
                      <a:picLocks noChangeArrowheads="1" noChangeAspect="1"/>
                    </pic:cNvPicPr>
                  </pic:nvPicPr>
                  <pic:blipFill>
                    <a:blip r:embed="rId11"/>
                    <a:stretch>
                      <a:fillRect/>
                    </a:stretch>
                  </pic:blipFill>
                  <pic:spPr bwMode="auto">
                    <a:xfrm>
                      <a:off x="0" y="0"/>
                      <a:ext cx="2133600" cy="2133600"/>
                    </a:xfrm>
                    <a:prstGeom prst="rect">
                      <a:avLst/>
                    </a:prstGeom>
                    <a:noFill/>
                    <a:ln w="9525">
                      <a:noFill/>
                      <a:headEnd/>
                      <a:tailEnd/>
                    </a:ln>
                  </pic:spPr>
                </pic:pic>
              </a:graphicData>
            </a:graphic>
          </wp:inline>
        </w:drawing>
      </w:r>
    </w:p>
    <w:p>
      <w:pPr>
        <w:pStyle w:val="BodyText"/>
      </w:pPr>
      <w:r>
        <w:rPr>
          <w:b/>
          <w:bCs/>
        </w:rPr>
        <w:t xml:space="preserve">PhD Dissertation</w:t>
      </w:r>
      <w:r>
        <w:br/>
      </w:r>
      <w:r>
        <w:rPr>
          <w:b/>
          <w:bCs/>
        </w:rPr>
        <w:t xml:space="preserve">Department of Public Health</w:t>
      </w:r>
      <w:r>
        <w:br/>
      </w:r>
      <w:r>
        <w:rPr>
          <w:b/>
          <w:bCs/>
        </w:rPr>
        <w:t xml:space="preserve">Faculty of Health</w:t>
      </w:r>
      <w:r>
        <w:br/>
      </w:r>
      <w:r>
        <w:rPr>
          <w:b/>
          <w:bCs/>
        </w:rPr>
        <w:t xml:space="preserve">Aarhus University</w:t>
      </w:r>
    </w:p>
    <w:p>
      <w:pPr>
        <w:pStyle w:val="BodyText"/>
      </w:pPr>
      <w:r>
        <w:drawing>
          <wp:inline>
            <wp:extent cx="4267200" cy="492321"/>
            <wp:effectExtent b="0" l="0" r="0" t="0"/>
            <wp:docPr descr="" title="" id="15" name="Picture"/>
            <a:graphic>
              <a:graphicData uri="http://schemas.openxmlformats.org/drawingml/2006/picture">
                <pic:pic>
                  <pic:nvPicPr>
                    <pic:cNvPr descr="figures/au_health.png" id="16" name="Picture"/>
                    <pic:cNvPicPr>
                      <a:picLocks noChangeArrowheads="1" noChangeAspect="1"/>
                    </pic:cNvPicPr>
                  </pic:nvPicPr>
                  <pic:blipFill>
                    <a:blip r:embed="rId14"/>
                    <a:stretch>
                      <a:fillRect/>
                    </a:stretch>
                  </pic:blipFill>
                  <pic:spPr bwMode="auto">
                    <a:xfrm>
                      <a:off x="0" y="0"/>
                      <a:ext cx="4267200" cy="492321"/>
                    </a:xfrm>
                    <a:prstGeom prst="rect">
                      <a:avLst/>
                    </a:prstGeom>
                    <a:noFill/>
                    <a:ln w="9525">
                      <a:noFill/>
                      <a:headEnd/>
                      <a:tailEnd/>
                    </a:ln>
                  </pic:spPr>
                </pic:pic>
              </a:graphicData>
            </a:graphic>
          </wp:inline>
        </w:drawing>
      </w:r>
    </w:p>
    <w:bookmarkStart w:id="24" w:name="disclosures-and-notes"/>
    <w:p>
      <w:pPr>
        <w:pStyle w:val="Heading1"/>
      </w:pPr>
      <w:r>
        <w:t xml:space="preserve">Disclosures and Notes</w:t>
      </w:r>
    </w:p>
    <w:bookmarkStart w:id="23" w:name="financial-disclosures"/>
    <w:p>
      <w:pPr>
        <w:pStyle w:val="Heading2"/>
      </w:pPr>
      <w:r>
        <w:t xml:space="preserve">Financial Disclosures</w:t>
      </w:r>
    </w:p>
    <w:p>
      <w:pPr>
        <w:pStyle w:val="FirstParagraph"/>
      </w:pPr>
      <w:r>
        <w:t xml:space="preserve">This PhD project was supported by a research grant from the</w:t>
      </w:r>
      <w:r>
        <w:t xml:space="preserve"> </w:t>
      </w:r>
      <w:r>
        <w:rPr>
          <w:b/>
          <w:bCs/>
        </w:rPr>
        <w:t xml:space="preserve">Danish Diabetes and Endocrine Academy</w:t>
      </w:r>
      <w:r>
        <w:t xml:space="preserve"> </w:t>
      </w:r>
      <w:r>
        <w:t xml:space="preserve">(NNF22SA0079901) and the</w:t>
      </w:r>
      <w:r>
        <w:t xml:space="preserve"> </w:t>
      </w:r>
      <w:r>
        <w:rPr>
          <w:b/>
          <w:bCs/>
        </w:rPr>
        <w:t xml:space="preserve">Danish Cardiovascular Academy</w:t>
      </w:r>
      <w:r>
        <w:t xml:space="preserve"> </w:t>
      </w:r>
      <w:r>
        <w:t xml:space="preserve">(NNF20SA0067242), which are funded by the</w:t>
      </w:r>
      <w:r>
        <w:t xml:space="preserve"> </w:t>
      </w:r>
      <w:r>
        <w:rPr>
          <w:b/>
          <w:bCs/>
        </w:rPr>
        <w:t xml:space="preserve">Novo Nordisk Foundation</w:t>
      </w:r>
      <w:r>
        <w:t xml:space="preserve">. Furthermore, the project was supported by the main supervisor’s Data Science Emerging Investigator grant from the Novo Nordisk Foundation (NNF22OC0076725),</w:t>
      </w:r>
    </w:p>
    <w:tbl>
      <w:tblPr>
        <w:tblStyle w:val="Table"/>
        <w:tblW w:type="pct" w:w="3330"/>
        <w:tblLayout w:type="fixed"/>
        <w:tblLook w:firstRow="0" w:lastRow="0" w:firstColumn="0" w:lastColumn="0" w:noHBand="0" w:noVBand="0" w:val="0000"/>
      </w:tblPr>
      <w:tblGrid>
        <w:gridCol w:w="2637"/>
        <w:gridCol w:w="2637"/>
      </w:tblGrid>
      <w:tr>
        <w:tc>
          <w:tcPr/>
          <w:p>
            <w:pPr>
              <w:jc w:val="center"/>
            </w:pPr>
            <w:r>
              <w:drawing>
                <wp:inline>
                  <wp:extent cx="1975104" cy="793279"/>
                  <wp:effectExtent b="0" l="0" r="0" t="0"/>
                  <wp:docPr descr="" title="" id="18" name="Picture"/>
                  <a:graphic>
                    <a:graphicData uri="http://schemas.openxmlformats.org/drawingml/2006/picture">
                      <pic:pic>
                        <pic:nvPicPr>
                          <pic:cNvPr descr="figures/au_health_cropped.png" id="19" name="Picture"/>
                          <pic:cNvPicPr>
                            <a:picLocks noChangeArrowheads="1" noChangeAspect="1"/>
                          </pic:cNvPicPr>
                        </pic:nvPicPr>
                        <pic:blipFill>
                          <a:blip r:embed="rId17"/>
                          <a:stretch>
                            <a:fillRect/>
                          </a:stretch>
                        </pic:blipFill>
                        <pic:spPr bwMode="auto">
                          <a:xfrm>
                            <a:off x="0" y="0"/>
                            <a:ext cx="1975104" cy="793279"/>
                          </a:xfrm>
                          <a:prstGeom prst="rect">
                            <a:avLst/>
                          </a:prstGeom>
                          <a:noFill/>
                          <a:ln w="9525">
                            <a:noFill/>
                            <a:headEnd/>
                            <a:tailEnd/>
                          </a:ln>
                        </pic:spPr>
                      </pic:pic>
                    </a:graphicData>
                  </a:graphic>
                </wp:inline>
              </w:drawing>
            </w:r>
          </w:p>
        </w:tc>
        <w:tc>
          <w:tcPr/>
          <w:p>
            <w:pPr>
              <w:jc w:val="center"/>
            </w:pPr>
            <w:r>
              <w:drawing>
                <wp:inline>
                  <wp:extent cx="1975104" cy="922743"/>
                  <wp:effectExtent b="0" l="0" r="0" t="0"/>
                  <wp:docPr descr="" title="" id="21" name="Picture"/>
                  <a:graphic>
                    <a:graphicData uri="http://schemas.openxmlformats.org/drawingml/2006/picture">
                      <pic:pic>
                        <pic:nvPicPr>
                          <pic:cNvPr descr="figures/sdca.png" id="22" name="Picture"/>
                          <pic:cNvPicPr>
                            <a:picLocks noChangeArrowheads="1" noChangeAspect="1"/>
                          </pic:cNvPicPr>
                        </pic:nvPicPr>
                        <pic:blipFill>
                          <a:blip r:embed="rId20"/>
                          <a:stretch>
                            <a:fillRect/>
                          </a:stretch>
                        </pic:blipFill>
                        <pic:spPr bwMode="auto">
                          <a:xfrm>
                            <a:off x="0" y="0"/>
                            <a:ext cx="1975104" cy="922743"/>
                          </a:xfrm>
                          <a:prstGeom prst="rect">
                            <a:avLst/>
                          </a:prstGeom>
                          <a:noFill/>
                          <a:ln w="9525">
                            <a:noFill/>
                            <a:headEnd/>
                            <a:tailEnd/>
                          </a:ln>
                        </pic:spPr>
                      </pic:pic>
                    </a:graphicData>
                  </a:graphic>
                </wp:inline>
              </w:drawing>
            </w:r>
          </w:p>
        </w:tc>
      </w:tr>
    </w:tbl>
    <w:bookmarkEnd w:id="23"/>
    <w:bookmarkEnd w:id="24"/>
    <w:bookmarkStart w:id="26" w:name="sec-preface"/>
    <w:p>
      <w:pPr>
        <w:pStyle w:val="Heading1"/>
      </w:pPr>
      <w:r>
        <w:t xml:space="preserve">Preface</w:t>
      </w:r>
    </w:p>
    <w:bookmarkStart w:id="25" w:name="outline-of-the-dissertation"/>
    <w:p>
      <w:pPr>
        <w:pStyle w:val="Heading2"/>
      </w:pPr>
      <w:r>
        <w:t xml:space="preserve">Outline of the dissertation</w:t>
      </w:r>
    </w:p>
    <w:bookmarkEnd w:id="25"/>
    <w:bookmarkEnd w:id="26"/>
    <w:bookmarkStart w:id="30" w:name="sec-linked-papers"/>
    <w:p>
      <w:pPr>
        <w:pStyle w:val="Heading1"/>
      </w:pPr>
      <w:r>
        <w:t xml:space="preserve">Papers in the dissertation</w:t>
      </w:r>
    </w:p>
    <w:bookmarkStart w:id="27" w:name="study-i"/>
    <w:p>
      <w:pPr>
        <w:pStyle w:val="Heading2"/>
      </w:pPr>
      <w:r>
        <w:t xml:space="preserve">Study I</w:t>
      </w:r>
    </w:p>
    <w:p>
      <w:pPr>
        <w:pStyle w:val="FirstParagraph"/>
      </w:pPr>
      <w:r>
        <w:t xml:space="preserve">Thomsen, H. B., Lebiecka-Johansen, B., Nørgaard, O., Andersen, T. H., Andersen, S. T., Fagherazzi, G., Hulman, A., &amp; Isaksen, A. A. (2026). Continuous Glucose Monitoring–Derived Metrics and Cardiovascular Risk Among People With Diabetes: Systematic Scoping Review. JMIR Diabetes, 11(1), e89374. https://doi.org/10.2196/89374</w:t>
      </w:r>
    </w:p>
    <w:bookmarkEnd w:id="27"/>
    <w:bookmarkStart w:id="28" w:name="study-ii"/>
    <w:p>
      <w:pPr>
        <w:pStyle w:val="Heading2"/>
      </w:pPr>
      <w:r>
        <w:t xml:space="preserve">Study II</w:t>
      </w:r>
    </w:p>
    <w:p>
      <w:pPr>
        <w:pStyle w:val="FirstParagraph"/>
      </w:pPr>
      <w:r>
        <w:t xml:space="preserve">Thomsen, H. B., Andersen, S. T., Fagherazzi, G., Isaksen, A. A. &amp; Hulman, A. (2026). Foundation model–derived representations of continuous glucose monitoring data: relation to glycemic patterns and cardiovascular risk. (Under review at JMIR AI, (7.30.2026), pending for preprint at JMIR preprints)</w:t>
      </w:r>
    </w:p>
    <w:bookmarkEnd w:id="28"/>
    <w:bookmarkStart w:id="29" w:name="study-iii"/>
    <w:p>
      <w:pPr>
        <w:pStyle w:val="Heading2"/>
      </w:pPr>
      <w:r>
        <w:t xml:space="preserve">Study III</w:t>
      </w:r>
    </w:p>
    <w:p>
      <w:pPr>
        <w:pStyle w:val="FirstParagraph"/>
      </w:pPr>
      <w:r>
        <w:t xml:space="preserve">Thomsen, H. B., Li, L. Y., Isaksen, A. A., Lebiecka-Johansen, B., Bour, C., Fagherazzi, G., Doorn, W. P. T. M. van, Varga, T. V., &amp; Hulman, A. (2025). Racial disparities in continuous glucose monitoring-based 60-min glucose predictions among people with type 1 diabetes. PLOS Digital Health, 4(6), e0000918. https://doi.org/10.1371/journal.pdig.0000918</w:t>
      </w:r>
    </w:p>
    <w:bookmarkEnd w:id="29"/>
    <w:bookmarkEnd w:id="30"/>
    <w:bookmarkStart w:id="31" w:name="abbreviations"/>
    <w:p>
      <w:pPr>
        <w:pStyle w:val="Heading1"/>
      </w:pPr>
      <w:r>
        <w:t xml:space="preserve">Abbreviations</w:t>
      </w:r>
    </w:p>
    <w:bookmarkEnd w:id="31"/>
    <w:bookmarkStart w:id="47" w:name="sec-introduction"/>
    <w:p>
      <w:pPr>
        <w:pStyle w:val="Heading1"/>
      </w:pPr>
      <w:r>
        <w:t xml:space="preserve">1. Introduction</w:t>
      </w:r>
    </w:p>
    <w:bookmarkStart w:id="33" w:name="diabetes"/>
    <w:p>
      <w:pPr>
        <w:pStyle w:val="Heading2"/>
      </w:pPr>
      <w:r>
        <w:t xml:space="preserve">1.1 Diabetes</w:t>
      </w:r>
    </w:p>
    <w:p>
      <w:pPr>
        <w:pStyle w:val="Compact"/>
        <w:numPr>
          <w:ilvl w:val="0"/>
          <w:numId w:val="1001"/>
        </w:numPr>
      </w:pPr>
      <w:r>
        <w:t xml:space="preserve">Check the sources from ADA_2026_ch2 to see if you can elaborate on the race thing and cite the original articles and not the summary ADA gives</w:t>
      </w:r>
    </w:p>
    <w:p>
      <w:pPr>
        <w:pStyle w:val="FirstParagraph"/>
      </w:pPr>
      <w:r>
        <w:t xml:space="preserve">Diabetes is a metabolic disease characterized by high blood glucose levels known as hyperglycemia.</w:t>
      </w:r>
      <w:r>
        <w:rPr>
          <w:vertAlign w:val="superscript"/>
        </w:rPr>
        <w:t xml:space="preserve">1</w:t>
      </w:r>
      <w:r>
        <w:t xml:space="preserve"> </w:t>
      </w:r>
      <w:r>
        <w:t xml:space="preserve">The disease is one of the fastest growing global healths challenges.</w:t>
      </w:r>
      <w:r>
        <w:rPr>
          <w:vertAlign w:val="superscript"/>
        </w:rPr>
        <w:t xml:space="preserve">2</w:t>
      </w:r>
      <w:r>
        <w:t xml:space="preserve"> </w:t>
      </w:r>
      <w:r>
        <w:t xml:space="preserve">In 2021 it was estimated that 537 million people lived with diabetes, and it is expected to reach 643 million by 2030.</w:t>
      </w:r>
      <w:r>
        <w:rPr>
          <w:vertAlign w:val="superscript"/>
        </w:rPr>
        <w:t xml:space="preserve">2</w:t>
      </w:r>
      <w:r>
        <w:t xml:space="preserve"> </w:t>
      </w:r>
      <w:r>
        <w:t xml:space="preserve">The most common forms of chronic diabetes are type 1 diabetes (T1D) and type 2 diabetes (T2D).</w:t>
      </w:r>
      <w:r>
        <w:rPr>
          <w:vertAlign w:val="superscript"/>
        </w:rPr>
        <w:t xml:space="preserve">1</w:t>
      </w:r>
      <w:r>
        <w:t xml:space="preserve"> </w:t>
      </w:r>
      <w:r>
        <w:t xml:space="preserve">T1D is an autoimmune disease characterized by the destruction of the pancreatic islet</w:t>
      </w:r>
      <w:r>
        <w:t xml:space="preserve"> </w:t>
      </w:r>
      <m:oMath>
        <m:r>
          <m:t>β</m:t>
        </m:r>
      </m:oMath>
      <w:r>
        <w:t xml:space="preserve">-cells, leading to an absolute insulin deficiency.</w:t>
      </w:r>
      <w:r>
        <w:rPr>
          <w:vertAlign w:val="superscript"/>
        </w:rPr>
        <w:t xml:space="preserve">3</w:t>
      </w:r>
      <w:r>
        <w:t xml:space="preserve"> </w:t>
      </w:r>
      <w:r>
        <w:t xml:space="preserve">Approximately 85%-95% of all people with diabetes in developing countries have T2D.</w:t>
      </w:r>
      <w:r>
        <w:rPr>
          <w:vertAlign w:val="superscript"/>
        </w:rPr>
        <w:t xml:space="preserve">1</w:t>
      </w:r>
      <w:r>
        <w:t xml:space="preserve"> </w:t>
      </w:r>
      <w:r>
        <w:t xml:space="preserve">It is the most common form of diabetes and in contrast to T1D it generally begins with insulin resistance in which the body’s cells become less responsive to insulin.</w:t>
      </w:r>
      <w:r>
        <w:rPr>
          <w:vertAlign w:val="superscript"/>
        </w:rPr>
        <w:t xml:space="preserve">4,</w:t>
      </w:r>
      <w:r>
        <w:rPr>
          <w:b/>
          <w:bCs/>
          <w:vertAlign w:val="superscript"/>
        </w:rPr>
        <w:t xml:space="preserve">Sachs2023?</w:t>
      </w:r>
      <w:r>
        <w:t xml:space="preserve"> </w:t>
      </w:r>
      <w:r>
        <w:t xml:space="preserve">Initially, the pancreas compensates by increasing insulin secretion, but over time progressive</w:t>
      </w:r>
      <w:r>
        <w:t xml:space="preserve"> </w:t>
      </w:r>
      <m:oMath>
        <m:r>
          <m:t>β</m:t>
        </m:r>
      </m:oMath>
      <w:r>
        <w:t xml:space="preserve">-cell dysfunction results in inadequate insulin production to meet the body’s demands.</w:t>
      </w:r>
      <w:r>
        <w:rPr>
          <w:vertAlign w:val="superscript"/>
        </w:rPr>
        <w:t xml:space="preserve">1,4,5</w:t>
      </w:r>
      <w:r>
        <w:t xml:space="preserve"> </w:t>
      </w:r>
      <w:r>
        <w:t xml:space="preserve">T2D is the most which is is</w:t>
      </w:r>
      <w:r>
        <w:t xml:space="preserve"> </w:t>
      </w:r>
      <w:r>
        <w:t xml:space="preserve">Despite their distinct underlying pathophysiology, both T1D and T2D are characterized by chronic hyperglycemia.</w:t>
      </w:r>
    </w:p>
    <w:p>
      <w:pPr>
        <w:pStyle w:val="BodyText"/>
      </w:pPr>
      <w:r>
        <w:t xml:space="preserve">Diabetes can be diagnosed based on a bloodtest to check hemoglobin A1c (HbA1c) levels or through plasma glucose criteria (</w:t>
      </w:r>
      <w:hyperlink w:anchor="tbl-diagnosis_criteria">
        <w:r>
          <w:rPr>
            <w:rStyle w:val="Hyperlink"/>
          </w:rPr>
          <w:t xml:space="preserve">Table 1.1</w:t>
        </w:r>
      </w:hyperlink>
      <w:r>
        <w:t xml:space="preserve">).</w:t>
      </w:r>
      <w:r>
        <w:rPr>
          <w:vertAlign w:val="superscript"/>
        </w:rPr>
        <w:t xml:space="preserve">3,</w:t>
      </w:r>
      <w:r>
        <w:rPr>
          <w:b/>
          <w:bCs/>
          <w:vertAlign w:val="superscript"/>
        </w:rPr>
        <w:t xml:space="preserve">ADA2023_ch6?</w:t>
      </w:r>
    </w:p>
    <w:tbl>
      <w:tblPr>
        <w:tblStyle w:val="Table"/>
        <w:tblW w:type="pct" w:w="5000"/>
        <w:tblLayout w:type="fixed"/>
        <w:tblLook w:firstRow="0" w:lastRow="0" w:firstColumn="0" w:lastColumn="0" w:noHBand="0" w:noVBand="0" w:val="0000"/>
      </w:tblPr>
      <w:tblGrid>
        <w:gridCol w:w="7920"/>
      </w:tblGrid>
      <w:tr>
        <w:tc>
          <w:tcPr/>
          <w:bookmarkStart w:id="32" w:name="tbl-diagnosis_criteria"/>
          <w:p>
            <w:pPr>
              <w:jc w:val="center"/>
            </w:pPr>
            <w:pPr>
              <w:jc w:val="left"/>
              <w:spacing w:before="200"/>
              <w:pStyle w:val="ImageCaption"/>
            </w:pPr>
            <w:r>
              <w:t xml:space="preserve">Table 1.1: Diagnostic tests for diabetes</w:t>
            </w:r>
          </w:p>
          <w:bookmarkEnd w:id="32"/>
        </w:tc>
      </w:tr>
    </w:tbl>
    <w:p>
      <w:pPr>
        <w:pStyle w:val="BodyText"/>
      </w:pPr>
      <w:r>
        <w:t xml:space="preserve">Although both plasma glucose tests and HbA1c tests are appropriate for diabetes screening, the HbA1c test has several advantages.</w:t>
      </w:r>
      <w:r>
        <w:rPr>
          <w:vertAlign w:val="superscript"/>
        </w:rPr>
        <w:t xml:space="preserve">3</w:t>
      </w:r>
      <w:r>
        <w:t xml:space="preserve"> </w:t>
      </w:r>
      <w:r>
        <w:t xml:space="preserve">Some of the benefits are that it requires no fasting and it is less sensitive to stress and changes in nutrition.</w:t>
      </w:r>
      <w:r>
        <w:rPr>
          <w:vertAlign w:val="superscript"/>
        </w:rPr>
        <w:t xml:space="preserve">3</w:t>
      </w:r>
      <w:r>
        <w:t xml:space="preserve"> </w:t>
      </w:r>
      <w:r>
        <w:t xml:space="preserve">HbA1c is an indirect measure of blood glucose levels because glucose binds hemoglobin over</w:t>
      </w:r>
      <w:r>
        <w:t xml:space="preserve"> </w:t>
      </w:r>
      <m:oMath>
        <m:r>
          <m:rPr>
            <m:sty m:val="p"/>
          </m:rPr>
          <m:t>∼</m:t>
        </m:r>
      </m:oMath>
      <w:r>
        <w:t xml:space="preserve"> </w:t>
      </w:r>
      <w:r>
        <w:t xml:space="preserve">120 days lifespan of erythrocytes (red blood cells).</w:t>
      </w:r>
      <w:r>
        <w:rPr>
          <w:vertAlign w:val="superscript"/>
        </w:rPr>
        <w:t xml:space="preserve">3</w:t>
      </w:r>
      <w:r>
        <w:t xml:space="preserve"> </w:t>
      </w:r>
      <w:r>
        <w:t xml:space="preserve">However HbA1c testing is not always accessible, affordable or suitable (e.g., for people with anemia or under HIV-treatment).</w:t>
      </w:r>
      <w:r>
        <w:rPr>
          <w:vertAlign w:val="superscript"/>
        </w:rPr>
        <w:t xml:space="preserve">3</w:t>
      </w:r>
      <w:r>
        <w:t xml:space="preserve"> </w:t>
      </w:r>
      <w:r>
        <w:t xml:space="preserve">With the guidelines recommendation of using HbA1c, a debate has sparked on the controversy of using a set thresholds as it is well known that racial differences in HbA1c exists.</w:t>
      </w:r>
      <w:r>
        <w:rPr>
          <w:vertAlign w:val="superscript"/>
        </w:rPr>
        <w:t xml:space="preserve">6</w:t>
      </w:r>
      <w:r>
        <w:t xml:space="preserve"> </w:t>
      </w:r>
      <w:r>
        <w:t xml:space="preserve">Black individuals have higher HbA1c levels than Hispanic and non-Hispanic White people with diabetes,</w:t>
      </w:r>
      <w:r>
        <w:rPr>
          <w:vertAlign w:val="superscript"/>
        </w:rPr>
        <w:t xml:space="preserve">3,7</w:t>
      </w:r>
      <w:r>
        <w:t xml:space="preserve"> </w:t>
      </w:r>
      <w:r>
        <w:t xml:space="preserve">however studies show that the association between HbA1c and risk of complications appear to be similar between ethnic race groups.</w:t>
      </w:r>
      <w:r>
        <w:rPr>
          <w:vertAlign w:val="superscript"/>
        </w:rPr>
        <w:t xml:space="preserve">3</w:t>
      </w:r>
    </w:p>
    <w:bookmarkEnd w:id="33"/>
    <w:bookmarkStart w:id="34" w:name="blood-glucose-monitoring"/>
    <w:p>
      <w:pPr>
        <w:pStyle w:val="Heading2"/>
      </w:pPr>
      <w:r>
        <w:t xml:space="preserve">1.2 Blood Glucose Monitoring</w:t>
      </w:r>
    </w:p>
    <w:p>
      <w:pPr>
        <w:pStyle w:val="FirstParagraph"/>
      </w:pPr>
      <w:r>
        <w:t xml:space="preserve">HbA1c values are also a very important part of diabetes management. The treatment goal is for HbA1c to be below 53 mmol/mol for non-pregnant adults without any hyperglycemia or hypoglycemia (low blood glucose levels). However HbA1c goals should be individualized to fit each individuals specific situation HbA1c can vary from e.g., &lt;48mmol/mol to none.</w:t>
      </w:r>
      <w:r>
        <w:rPr>
          <w:vertAlign w:val="superscript"/>
        </w:rPr>
        <w:t xml:space="preserve">8,9</w:t>
      </w:r>
      <w:r>
        <w:t xml:space="preserve"> </w:t>
      </w:r>
      <w:r>
        <w:t xml:space="preserve">There are two tools available for self-assessment of glycemia, the self-monitoring blood glucose (SMBG) device measuring capillary blood with finger-sticks, and the continuous glucose monitoring device (CGM) measuring interstitial fluid continuously.</w:t>
      </w:r>
      <w:r>
        <w:rPr>
          <w:vertAlign w:val="superscript"/>
        </w:rPr>
        <w:t xml:space="preserve">9,10</w:t>
      </w:r>
      <w:r>
        <w:t xml:space="preserve"> </w:t>
      </w:r>
      <w:r>
        <w:t xml:space="preserve">Both monitoring devices have shown to improve glycemic control in people with diabetes, however the CGM is superior when it comes to immediate information and alerts on asymptomatic hypo- and hyperglycemic events and provide a comprehensive glucose profile including both pre- and postprandial blood glucose measurements.</w:t>
      </w:r>
      <w:r>
        <w:rPr>
          <w:vertAlign w:val="superscript"/>
        </w:rPr>
        <w:t xml:space="preserve">9,11,12</w:t>
      </w:r>
    </w:p>
    <w:bookmarkEnd w:id="34"/>
    <w:bookmarkStart w:id="41" w:name="continuous-glucose-monitoring-devices"/>
    <w:p>
      <w:pPr>
        <w:pStyle w:val="Heading2"/>
      </w:pPr>
      <w:r>
        <w:t xml:space="preserve">1.3 Continuous Glucose Monitoring Devices</w:t>
      </w:r>
    </w:p>
    <w:p>
      <w:pPr>
        <w:pStyle w:val="FirstParagraph"/>
      </w:pPr>
      <w:r>
        <w:t xml:space="preserve">The CGM devices measures the glucose in the interstitial fluid, which is the fluid around and between cells. It corresponds with plasma glucose although a lag can appear when glucose levels rise or fall rapidly.</w:t>
      </w:r>
      <w:r>
        <w:rPr>
          <w:b/>
          <w:bCs/>
          <w:vertAlign w:val="superscript"/>
        </w:rPr>
        <w:t xml:space="preserve">ADA2026_ch7?</w:t>
      </w:r>
      <w:r>
        <w:t xml:space="preserve"> </w:t>
      </w:r>
      <w:r>
        <w:t xml:space="preserve">Use of CGM devices has shown to improve glycemic control in both T1D and T2D with improvements in HbA1c levels and more time spent in target range (3.9-10 mmol/L) regardless of age, sex, eduction and income.</w:t>
      </w:r>
      <w:r>
        <w:rPr>
          <w:b/>
          <w:bCs/>
          <w:vertAlign w:val="superscript"/>
        </w:rPr>
        <w:t xml:space="preserve">ADA2026_ch6?</w:t>
      </w:r>
      <w:r>
        <w:rPr>
          <w:vertAlign w:val="superscript"/>
        </w:rPr>
        <w:t xml:space="preserve">,</w:t>
      </w:r>
      <w:r>
        <w:rPr>
          <w:b/>
          <w:bCs/>
          <w:vertAlign w:val="superscript"/>
        </w:rPr>
        <w:t xml:space="preserve">ADA2026_ch7?</w:t>
      </w:r>
      <w:r>
        <w:t xml:space="preserve"> </w:t>
      </w:r>
      <w:r>
        <w:t xml:space="preserve">CGM devices focuses on monitoring and it is possible to get an ambulatory glucose profile (AGP) report from you device (</w:t>
      </w:r>
      <w:hyperlink w:anchor="fig-agp">
        <w:r>
          <w:rPr>
            <w:rStyle w:val="Hyperlink"/>
          </w:rPr>
          <w:t xml:space="preserve">Figure 1.1</w:t>
        </w:r>
      </w:hyperlink>
      <w:r>
        <w:t xml:space="preserve">). The AGP report shows summary statistics over all your data (usually a two weeks period). Some of the most important management measures from the CGM is time in range (TIR), and it is the time spent within normal range in percentage over a given time (often two weeks). Other CGM-derived metrics are time above range (TAR), time below range (TBR), glucose management indicator (GMI), coefficient of variation (CV) and the mean glucose (MBG), number of days CGM was worn and the percentage of time the CGM was active (</w:t>
      </w:r>
      <w:hyperlink w:anchor="tbl-agp">
        <w:r>
          <w:rPr>
            <w:rStyle w:val="Hyperlink"/>
          </w:rPr>
          <w:t xml:space="preserve">Table 1.2</w:t>
        </w:r>
      </w:hyperlink>
      <w:r>
        <w:t xml:space="preserve">).</w:t>
      </w:r>
      <w:r>
        <w:rPr>
          <w:vertAlign w:val="superscript"/>
        </w:rPr>
        <w:t xml:space="preserve">11</w:t>
      </w:r>
    </w:p>
    <w:tbl>
      <w:tblPr>
        <w:tblStyle w:val="Table"/>
        <w:tblW w:type="pct" w:w="5000"/>
        <w:tblLayout w:type="fixed"/>
        <w:tblLook w:firstRow="0" w:lastRow="0" w:firstColumn="0" w:lastColumn="0" w:noHBand="0" w:noVBand="0" w:val="0000"/>
      </w:tblPr>
      <w:tblGrid>
        <w:gridCol w:w="7920"/>
      </w:tblGrid>
      <w:tr>
        <w:tc>
          <w:tcPr/>
          <w:bookmarkStart w:id="39" w:name="fig-agp"/>
          <w:p>
            <w:pPr>
              <w:pStyle w:val="Compact"/>
              <w:jc w:val="center"/>
            </w:pPr>
            <w:hyperlink r:id="rId38">
              <w:r>
                <w:drawing>
                  <wp:inline>
                    <wp:extent cx="5334000" cy="6178550"/>
                    <wp:effectExtent b="0" l="0" r="0" t="0"/>
                    <wp:docPr descr="" title="" id="36" name="Picture"/>
                    <a:graphic>
                      <a:graphicData uri="http://schemas.openxmlformats.org/drawingml/2006/picture">
                        <pic:pic>
                          <pic:nvPicPr>
                            <pic:cNvPr descr="figures/1_intro_fig/agp.png" id="37" name="Picture"/>
                            <pic:cNvPicPr>
                              <a:picLocks noChangeArrowheads="1" noChangeAspect="1"/>
                            </pic:cNvPicPr>
                          </pic:nvPicPr>
                          <pic:blipFill>
                            <a:blip r:embed="rId35"/>
                            <a:stretch>
                              <a:fillRect/>
                            </a:stretch>
                          </pic:blipFill>
                          <pic:spPr bwMode="auto">
                            <a:xfrm>
                              <a:off x="0" y="0"/>
                              <a:ext cx="5334000" cy="6178550"/>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1.1: Ambulatory glucose profile report from female without diabetes. Data points are from the author herself using an expired intermittently-scanned FreeStyle LibreLink sensor (Manuel data upload).</w:t>
            </w:r>
          </w:p>
          <w:bookmarkEnd w:id="39"/>
        </w:tc>
      </w:tr>
    </w:tbl>
    <w:p/>
    <w:tbl>
      <w:tblPr>
        <w:tblStyle w:val="Table"/>
        <w:tblW w:type="pct" w:w="5000"/>
        <w:tblLayout w:type="fixed"/>
        <w:tblLook w:firstRow="0" w:lastRow="0" w:firstColumn="0" w:lastColumn="0" w:noHBand="0" w:noVBand="0" w:val="0000"/>
      </w:tblPr>
      <w:tblGrid>
        <w:gridCol w:w="7920"/>
      </w:tblGrid>
      <w:tr>
        <w:tc>
          <w:tcPr/>
          <w:bookmarkStart w:id="40" w:name="tbl-agp"/>
          <w:p>
            <w:pPr>
              <w:jc w:val="center"/>
            </w:pPr>
            <w:pPr>
              <w:jc w:val="left"/>
              <w:spacing w:before="200"/>
              <w:pStyle w:val="ImageCaption"/>
            </w:pPr>
            <w:r>
              <w:t xml:space="preserve">Table 1.2: CGM-derived metrics presented in the ambulatory glucose profile report with target values.</w:t>
            </w:r>
          </w:p>
          <w:bookmarkEnd w:id="40"/>
        </w:tc>
      </w:tr>
    </w:tbl>
    <w:bookmarkEnd w:id="41"/>
    <w:bookmarkStart w:id="42" w:name="management"/>
    <w:p>
      <w:pPr>
        <w:pStyle w:val="Heading2"/>
      </w:pPr>
      <w:r>
        <w:t xml:space="preserve">1.4 Management</w:t>
      </w:r>
    </w:p>
    <w:bookmarkEnd w:id="42"/>
    <w:bookmarkStart w:id="43" w:name="glycemic-markers-and-glucose-monitoring"/>
    <w:p>
      <w:pPr>
        <w:pStyle w:val="Heading2"/>
      </w:pPr>
      <w:r>
        <w:t xml:space="preserve">1.5 Glycemic markers and glucose monitoring</w:t>
      </w:r>
    </w:p>
    <w:p>
      <w:pPr>
        <w:pStyle w:val="Compact"/>
        <w:numPr>
          <w:ilvl w:val="0"/>
          <w:numId w:val="1002"/>
        </w:numPr>
      </w:pPr>
      <w:r>
        <w:t xml:space="preserve">☒ HbA1c and its limitations</w:t>
      </w:r>
    </w:p>
    <w:p>
      <w:pPr>
        <w:pStyle w:val="Compact"/>
        <w:numPr>
          <w:ilvl w:val="0"/>
          <w:numId w:val="1002"/>
        </w:numPr>
      </w:pPr>
      <w:r>
        <w:t xml:space="preserve">☒ Continuous glucose monitoring (CGM)</w:t>
      </w:r>
    </w:p>
    <w:p>
      <w:pPr>
        <w:pStyle w:val="Compact"/>
        <w:numPr>
          <w:ilvl w:val="0"/>
          <w:numId w:val="1002"/>
        </w:numPr>
      </w:pPr>
      <w:r>
        <w:t xml:space="preserve">☐ AIDs use CGMs and algorithms to adjust insulin delivery.</w:t>
      </w:r>
      <w:r>
        <w:rPr>
          <w:b/>
          <w:bCs/>
          <w:vertAlign w:val="superscript"/>
        </w:rPr>
        <w:t xml:space="preserve">ADA2026_ch7?</w:t>
      </w:r>
    </w:p>
    <w:p>
      <w:pPr>
        <w:pStyle w:val="Compact"/>
        <w:numPr>
          <w:ilvl w:val="0"/>
          <w:numId w:val="1002"/>
        </w:numPr>
      </w:pPr>
      <w:r>
        <w:t xml:space="preserve">[ ]Glycemic variability</w:t>
      </w:r>
    </w:p>
    <w:p>
      <w:pPr>
        <w:pStyle w:val="Compact"/>
        <w:numPr>
          <w:ilvl w:val="1"/>
          <w:numId w:val="1003"/>
        </w:numPr>
      </w:pPr>
      <w:r>
        <w:t xml:space="preserve">Metrics of glycemic variability</w:t>
      </w:r>
    </w:p>
    <w:p>
      <w:pPr>
        <w:pStyle w:val="Compact"/>
        <w:numPr>
          <w:ilvl w:val="1"/>
          <w:numId w:val="1004"/>
        </w:numPr>
      </w:pPr>
      <w:r>
        <w:t xml:space="preserve">Clinical challenges of glycemic variability (Think HbA1c and MBG and variability study)</w:t>
      </w:r>
    </w:p>
    <w:bookmarkEnd w:id="43"/>
    <w:bookmarkStart w:id="44" w:name="cardiovascular-diseases-and-diabetes"/>
    <w:p>
      <w:pPr>
        <w:pStyle w:val="Heading2"/>
      </w:pPr>
      <w:r>
        <w:t xml:space="preserve">1.6 Cardiovascular diseases and Diabetes</w:t>
      </w:r>
    </w:p>
    <w:p>
      <w:pPr>
        <w:pStyle w:val="Compact"/>
        <w:numPr>
          <w:ilvl w:val="0"/>
          <w:numId w:val="1005"/>
        </w:numPr>
      </w:pPr>
      <w:r>
        <w:t xml:space="preserve">Cardiovascular complications</w:t>
      </w:r>
    </w:p>
    <w:p>
      <w:pPr>
        <w:pStyle w:val="Compact"/>
        <w:numPr>
          <w:ilvl w:val="0"/>
          <w:numId w:val="1005"/>
        </w:numPr>
      </w:pPr>
      <w:r>
        <w:t xml:space="preserve">Heart failure in diabetes</w:t>
      </w:r>
    </w:p>
    <w:p>
      <w:pPr>
        <w:pStyle w:val="FirstParagraph"/>
      </w:pPr>
      <w:r>
        <w:t xml:space="preserve">Williams2020 expenditures and complications: https://www.sciencedirect.com/science/article/pii/S0168822720301388</w:t>
      </w:r>
      <w:r>
        <w:t xml:space="preserve"> </w:t>
      </w:r>
      <w:r>
        <w:t xml:space="preserve">## Cardiovascular risk prediction in diabetes</w:t>
      </w:r>
      <w:r>
        <w:t xml:space="preserve"> </w:t>
      </w:r>
      <w:r>
        <w:t xml:space="preserve">* Traditional risk models</w:t>
      </w:r>
      <w:r>
        <w:t xml:space="preserve"> </w:t>
      </w:r>
      <w:r>
        <w:t xml:space="preserve">* SCORE2-Diabetes risk score</w:t>
      </w:r>
      <w:r>
        <w:t xml:space="preserve"> </w:t>
      </w:r>
      <w:r>
        <w:t xml:space="preserve">* What is SCORE2-Diabetes 10 year CVD risk score?</w:t>
      </w:r>
      <w:r>
        <w:t xml:space="preserve"> </w:t>
      </w:r>
      <w:r>
        <w:t xml:space="preserve">* Limitations of conventional predictors</w:t>
      </w:r>
    </w:p>
    <w:bookmarkEnd w:id="44"/>
    <w:bookmarkStart w:id="45" w:name="machine-learning"/>
    <w:p>
      <w:pPr>
        <w:pStyle w:val="Heading2"/>
      </w:pPr>
      <w:r>
        <w:t xml:space="preserve">1.7 Machine learning</w:t>
      </w:r>
    </w:p>
    <w:p>
      <w:pPr>
        <w:pStyle w:val="FirstParagraph"/>
      </w:pPr>
      <w:r>
        <w:rPr>
          <w:b/>
          <w:bCs/>
        </w:rPr>
        <w:t xml:space="preserve">Relevant?</w:t>
      </w:r>
      <w:r>
        <w:t xml:space="preserve"> </w:t>
      </w:r>
      <w:r>
        <w:t xml:space="preserve">Artificial Intelligence: The Future for Diabetes Care: https://www.clinicalkey.com/#!/content/playContent/1-s2.0-S0002934320303399?returnurl=https:%2F%2Flinkinghub.elsevier.com%2Fretrieve%2Fpii%2FS0002934320303399%3Fshowall%3Dtrue&amp;referrer=</w:t>
      </w:r>
    </w:p>
    <w:p>
      <w:pPr>
        <w:pStyle w:val="Compact"/>
        <w:numPr>
          <w:ilvl w:val="0"/>
          <w:numId w:val="1006"/>
        </w:numPr>
      </w:pPr>
      <w:r>
        <w:t xml:space="preserve">Data-driven vs hypothesis-drivenly(knowledge-based) paradigms</w:t>
      </w:r>
    </w:p>
    <w:p>
      <w:pPr>
        <w:pStyle w:val="Compact"/>
        <w:numPr>
          <w:ilvl w:val="0"/>
          <w:numId w:val="1006"/>
        </w:numPr>
      </w:pPr>
      <w:r>
        <w:t xml:space="preserve">Why machine learning in diabetes and cardiovascular risk prediction?</w:t>
      </w:r>
    </w:p>
    <w:p>
      <w:pPr>
        <w:pStyle w:val="Compact"/>
        <w:numPr>
          <w:ilvl w:val="0"/>
          <w:numId w:val="1006"/>
        </w:numPr>
      </w:pPr>
      <w:r>
        <w:t xml:space="preserve">Why are ML fantastic for CGM data?</w:t>
      </w:r>
    </w:p>
    <w:p>
      <w:pPr>
        <w:pStyle w:val="Compact"/>
        <w:numPr>
          <w:ilvl w:val="0"/>
          <w:numId w:val="1006"/>
        </w:numPr>
      </w:pPr>
      <w:r>
        <w:t xml:space="preserve">Types of machine learning methods</w:t>
      </w:r>
    </w:p>
    <w:p>
      <w:pPr>
        <w:numPr>
          <w:ilvl w:val="1"/>
          <w:numId w:val="1007"/>
        </w:numPr>
      </w:pPr>
      <w:r>
        <w:t xml:space="preserve">Logistic regression</w:t>
      </w:r>
    </w:p>
    <w:p>
      <w:pPr>
        <w:numPr>
          <w:ilvl w:val="1"/>
          <w:numId w:val="1007"/>
        </w:numPr>
      </w:pPr>
      <w:r>
        <w:t xml:space="preserve">LSTM and CNNs</w:t>
      </w:r>
    </w:p>
    <w:p>
      <w:pPr>
        <w:numPr>
          <w:ilvl w:val="1"/>
          <w:numId w:val="1007"/>
        </w:numPr>
      </w:pPr>
      <w:r>
        <w:t xml:space="preserve">Foundation models and their advantage</w:t>
      </w:r>
      <w:r>
        <w:t xml:space="preserve"> </w:t>
      </w:r>
      <w:r>
        <w:t xml:space="preserve"> </w:t>
      </w:r>
      <w:r>
        <w:t xml:space="preserve"> </w:t>
      </w:r>
    </w:p>
    <w:p>
      <w:pPr>
        <w:numPr>
          <w:ilvl w:val="1"/>
          <w:numId w:val="1007"/>
        </w:numPr>
      </w:pPr>
      <w:r>
        <w:t xml:space="preserve">The CGMformer is bla bla bla</w:t>
      </w:r>
      <w:r>
        <w:rPr>
          <w:vertAlign w:val="superscript"/>
        </w:rPr>
        <w:t xml:space="preserve">13</w:t>
      </w:r>
    </w:p>
    <w:p>
      <w:pPr>
        <w:pStyle w:val="Compact"/>
        <w:numPr>
          <w:ilvl w:val="0"/>
          <w:numId w:val="1006"/>
        </w:numPr>
      </w:pPr>
      <w:r>
        <w:t xml:space="preserve">Challenges and pitfalls of machine learning in healthcare</w:t>
      </w:r>
    </w:p>
    <w:p>
      <w:pPr>
        <w:pStyle w:val="Compact"/>
        <w:numPr>
          <w:ilvl w:val="1"/>
          <w:numId w:val="1008"/>
        </w:numPr>
      </w:pPr>
      <w:r>
        <w:t xml:space="preserve">Overfitting and generalizability</w:t>
      </w:r>
    </w:p>
    <w:p>
      <w:pPr>
        <w:pStyle w:val="Compact"/>
        <w:numPr>
          <w:ilvl w:val="1"/>
          <w:numId w:val="1008"/>
        </w:numPr>
      </w:pPr>
      <w:r>
        <w:t xml:space="preserve">Interpretability and explainability</w:t>
      </w:r>
    </w:p>
    <w:bookmarkEnd w:id="45"/>
    <w:bookmarkStart w:id="46" w:name="fairness-and-bias-in-machine-learning"/>
    <w:p>
      <w:pPr>
        <w:pStyle w:val="Heading2"/>
      </w:pPr>
      <w:r>
        <w:t xml:space="preserve">1.8 Fairness and bias in machine learning</w:t>
      </w:r>
    </w:p>
    <w:p>
      <w:pPr>
        <w:numPr>
          <w:ilvl w:val="0"/>
          <w:numId w:val="1009"/>
        </w:numPr>
      </w:pPr>
      <w:r>
        <w:t xml:space="preserve">Define race and ethnicity</w:t>
      </w:r>
    </w:p>
    <w:p>
      <w:pPr>
        <w:numPr>
          <w:ilvl w:val="0"/>
          <w:numId w:val="1009"/>
        </w:numPr>
      </w:pPr>
      <w:r>
        <w:t xml:space="preserve">Algorithmic bias and group fairness</w:t>
      </w:r>
    </w:p>
    <w:p>
      <w:pPr>
        <w:numPr>
          <w:ilvl w:val="0"/>
          <w:numId w:val="1009"/>
        </w:numPr>
      </w:pPr>
      <w:r>
        <w:t xml:space="preserve">Fairness metrics and mitigation strategies</w:t>
      </w:r>
    </w:p>
    <w:p>
      <w:pPr>
        <w:numPr>
          <w:ilvl w:val="0"/>
          <w:numId w:val="1009"/>
        </w:numPr>
      </w:pPr>
      <w:r>
        <w:t xml:space="preserve">Trends in the quality of care and racial disparities in Medicare managed care: https://pubmed.ncbi.nlm.nih.gov/16107622/</w:t>
      </w:r>
    </w:p>
    <w:bookmarkEnd w:id="46"/>
    <w:bookmarkEnd w:id="47"/>
    <w:bookmarkStart w:id="48" w:name="specific-aims"/>
    <w:p>
      <w:pPr>
        <w:pStyle w:val="Heading1"/>
      </w:pPr>
      <w:r>
        <w:t xml:space="preserve">2. Specific Aims</w:t>
      </w:r>
    </w:p>
    <w:p>
      <w:pPr>
        <w:pStyle w:val="FirstParagraph"/>
      </w:pPr>
      <w:r>
        <w:t xml:space="preserve"># Aims {#sec-aims}</w:t>
      </w:r>
    </w:p>
    <w:p>
      <w:pPr>
        <w:pStyle w:val="BodyText"/>
      </w:pPr>
      <w:r>
        <w:t xml:space="preserve">The overall aim of this PhD dissertation was to investigate the potential of continuous glucose monitoring (CGM) data to improve cardiovascular risk assessment and to evaluate the role of machine learning in extracting clinically relevant information from CGM data across different diabetes populations.</w:t>
      </w:r>
    </w:p>
    <w:p>
      <w:pPr>
        <w:pStyle w:val="BodyText"/>
      </w:pPr>
      <w:r>
        <w:rPr>
          <w:b/>
          <w:bCs/>
        </w:rPr>
        <w:t xml:space="preserve">Aim 1:</w:t>
      </w:r>
      <w:r>
        <w:t xml:space="preserve"> </w:t>
      </w:r>
      <w:r>
        <w:t xml:space="preserve">To identify and summarize the existing literature on the associations between glycemic control and cardiovascular outcomes, including the use of CGM-derived metrics for cardiovascular risk prediction.</w:t>
      </w:r>
      <w:r>
        <w:t xml:space="preserve"> </w:t>
      </w:r>
      <w:r>
        <w:rPr>
          <w:i/>
          <w:iCs/>
        </w:rPr>
        <w:t xml:space="preserve">(Study I)</w:t>
      </w:r>
    </w:p>
    <w:p>
      <w:pPr>
        <w:pStyle w:val="BodyText"/>
      </w:pPr>
      <w:r>
        <w:rPr>
          <w:b/>
          <w:bCs/>
        </w:rPr>
        <w:t xml:space="preserve">Aim 2:</w:t>
      </w:r>
      <w:r>
        <w:t xml:space="preserve"> </w:t>
      </w:r>
      <w:r>
        <w:t xml:space="preserve">To determine whether a CGM foundation model captures meaningful and interpretable glucose representations in individuals with type 1 and type 2 diabetes.</w:t>
      </w:r>
      <w:r>
        <w:t xml:space="preserve"> </w:t>
      </w:r>
      <w:r>
        <w:rPr>
          <w:i/>
          <w:iCs/>
        </w:rPr>
        <w:t xml:space="preserve">(Study II)</w:t>
      </w:r>
    </w:p>
    <w:p>
      <w:pPr>
        <w:pStyle w:val="BodyText"/>
      </w:pPr>
      <w:r>
        <w:rPr>
          <w:b/>
          <w:bCs/>
        </w:rPr>
        <w:t xml:space="preserve">Aim 3:</w:t>
      </w:r>
      <w:r>
        <w:t xml:space="preserve"> </w:t>
      </w:r>
      <w:r>
        <w:t xml:space="preserve">To evaluate whether conventional CGM-derived metrics and learned glucose representations improve prediction of elevated NT-proBNP beyond established clinical risk factors in individuals with type 2 diabetes.</w:t>
      </w:r>
      <w:r>
        <w:t xml:space="preserve"> </w:t>
      </w:r>
      <w:r>
        <w:rPr>
          <w:i/>
          <w:iCs/>
        </w:rPr>
        <w:t xml:space="preserve">(Study II)</w:t>
      </w:r>
    </w:p>
    <w:p>
      <w:pPr>
        <w:pStyle w:val="BodyText"/>
      </w:pPr>
      <w:r>
        <w:rPr>
          <w:b/>
          <w:bCs/>
        </w:rPr>
        <w:t xml:space="preserve">Aim 4:</w:t>
      </w:r>
      <w:r>
        <w:t xml:space="preserve"> </w:t>
      </w:r>
      <w:r>
        <w:t xml:space="preserve">To evaluate the fairness of machine learning models for glucose prediction and compare strategies for tailoring prediction models to individual characteristics.</w:t>
      </w:r>
      <w:r>
        <w:t xml:space="preserve"> </w:t>
      </w:r>
      <w:r>
        <w:rPr>
          <w:i/>
          <w:iCs/>
        </w:rPr>
        <w:t xml:space="preserve">(Study III)</w:t>
      </w:r>
    </w:p>
    <w:bookmarkEnd w:id="48"/>
    <w:bookmarkStart w:id="125" w:name="methods"/>
    <w:p>
      <w:pPr>
        <w:pStyle w:val="Heading1"/>
      </w:pPr>
      <w:r>
        <w:t xml:space="preserve">3. Methods</w:t>
      </w:r>
    </w:p>
    <w:p>
      <w:pPr>
        <w:pStyle w:val="FirstParagraph"/>
      </w:pPr>
      <w:r>
        <w:t xml:space="preserve">In this chapter the three studies included in this PhD will be presented. The data will be described together with the chosen methods of the three studies and the different clinical variables, CGM-derived metrics and relevant cardiovascular outcomes will be explained.</w:t>
      </w:r>
    </w:p>
    <w:p>
      <w:pPr>
        <w:pStyle w:val="Compact"/>
        <w:numPr>
          <w:ilvl w:val="0"/>
          <w:numId w:val="1010"/>
        </w:numPr>
      </w:pPr>
      <w:r>
        <w:t xml:space="preserve">What was done (Description)</w:t>
      </w:r>
    </w:p>
    <w:p>
      <w:pPr>
        <w:pStyle w:val="Compact"/>
        <w:numPr>
          <w:ilvl w:val="0"/>
          <w:numId w:val="1011"/>
        </w:numPr>
      </w:pPr>
      <w:r>
        <w:t xml:space="preserve">Why it was done (Justification)</w:t>
      </w:r>
    </w:p>
    <w:p>
      <w:pPr>
        <w:pStyle w:val="Compact"/>
        <w:numPr>
          <w:ilvl w:val="0"/>
          <w:numId w:val="1012"/>
        </w:numPr>
      </w:pPr>
      <w:r>
        <w:t xml:space="preserve">tell about the 7-point fingerprick?</w:t>
      </w:r>
    </w:p>
    <w:bookmarkStart w:id="51" w:name="overview-of-the-studies"/>
    <w:p>
      <w:pPr>
        <w:pStyle w:val="Heading2"/>
      </w:pPr>
      <w:r>
        <w:t xml:space="preserve">3.1 Overview of the Studies</w:t>
      </w:r>
    </w:p>
    <w:tbl>
      <w:tblPr>
        <w:tblStyle w:val="Table"/>
        <w:tblW w:type="pct" w:w="5000"/>
        <w:tblLayout w:type="fixed"/>
        <w:tblLook w:firstRow="0" w:lastRow="0" w:firstColumn="0" w:lastColumn="0" w:noHBand="0" w:noVBand="0" w:val="0000"/>
      </w:tblPr>
      <w:tblGrid>
        <w:gridCol w:w="7920"/>
      </w:tblGrid>
      <w:tr>
        <w:tc>
          <w:tcPr/>
          <w:bookmarkStart w:id="49" w:name="tbl-prediction-models"/>
          <w:p>
            <w:pPr>
              <w:jc w:val="center"/>
            </w:pPr>
            <w:pPr>
              <w:jc w:val="left"/>
              <w:spacing w:before="200"/>
              <w:pStyle w:val="ImageCaption"/>
            </w:pPr>
            <w:r>
              <w:t xml:space="preserve">Table 3.1: Overview of models and predictors</w:t>
            </w:r>
          </w:p>
          <w:tbl>
            <w:tblPr>
              <w:tblStyle w:val="Table"/>
              <w:tblW w:type="pct" w:w="4870"/>
              <w:tblLayout w:type="fixed"/>
              <w:tblLook w:firstRow="1" w:lastRow="0" w:firstColumn="0" w:lastColumn="0" w:noHBand="0" w:noVBand="0" w:val="0020"/>
            </w:tblPr>
            <w:tblGrid>
              <w:gridCol w:w="1851"/>
              <w:gridCol w:w="822"/>
              <w:gridCol w:w="2571"/>
              <w:gridCol w:w="2468"/>
            </w:tblGrid>
            <w:tr>
              <w:trPr>
                <w:tblHeader w:val="on"/>
              </w:trPr>
              <w:tc>
                <w:tcPr/>
                <w:p>
                  <w:pPr>
                    <w:pStyle w:val="Compact"/>
                    <w:jc w:val="center"/>
                  </w:pPr>
                  <w:r>
                    <w:t xml:space="preserve">Model family</w:t>
                  </w:r>
                </w:p>
              </w:tc>
              <w:tc>
                <w:tcPr/>
                <w:p>
                  <w:pPr>
                    <w:pStyle w:val="Compact"/>
                    <w:jc w:val="center"/>
                  </w:pPr>
                  <w:r>
                    <w:t xml:space="preserve">Model</w:t>
                  </w:r>
                </w:p>
              </w:tc>
              <w:tc>
                <w:tcPr/>
                <w:p>
                  <w:pPr>
                    <w:pStyle w:val="Compact"/>
                    <w:jc w:val="center"/>
                  </w:pPr>
                  <w:r>
                    <w:t xml:space="preserve">Baseline predictors</w:t>
                  </w:r>
                </w:p>
              </w:tc>
              <w:tc>
                <w:tcPr/>
                <w:p>
                  <w:pPr>
                    <w:pStyle w:val="Compact"/>
                    <w:jc w:val="center"/>
                  </w:pPr>
                  <w:r>
                    <w:t xml:space="preserve">Additional predictors</w:t>
                  </w:r>
                </w:p>
              </w:tc>
            </w:tr>
            <w:tr>
              <w:tc>
                <w:tcPr/>
                <w:p>
                  <w:pPr>
                    <w:pStyle w:val="Compact"/>
                    <w:jc w:val="center"/>
                  </w:pPr>
                  <w:r>
                    <w:t xml:space="preserve">Clinical</w:t>
                  </w:r>
                </w:p>
              </w:tc>
              <w:tc>
                <w:tcPr/>
                <w:p>
                  <w:pPr>
                    <w:pStyle w:val="Compact"/>
                    <w:jc w:val="center"/>
                  </w:pPr>
                  <w:r>
                    <w:rPr>
                      <w:b/>
                      <w:bCs/>
                    </w:rPr>
                    <w:t xml:space="preserve">A0</w:t>
                  </w:r>
                </w:p>
              </w:tc>
              <w:tc>
                <w:tcPr/>
                <w:p>
                  <w:pPr>
                    <w:pStyle w:val="Compact"/>
                    <w:jc w:val="center"/>
                  </w:pPr>
                  <w:r>
                    <w:t xml:space="preserve">Age</w:t>
                  </w:r>
                </w:p>
              </w:tc>
              <w:tc>
                <w:tcPr/>
                <w:p>
                  <w:pPr>
                    <w:pStyle w:val="Compact"/>
                    <w:jc w:val="center"/>
                  </w:pPr>
                  <w:r>
                    <w:t xml:space="preserve">–</w:t>
                  </w:r>
                </w:p>
              </w:tc>
            </w:tr>
            <w:tr>
              <w:tc>
                <w:tcPr/>
                <w:p>
                  <w:pPr>
                    <w:pStyle w:val="Compact"/>
                    <w:jc w:val="center"/>
                  </w:pPr>
                  <w:r>
                    <w:t xml:space="preserve">Clinical</w:t>
                  </w:r>
                </w:p>
              </w:tc>
              <w:tc>
                <w:tcPr/>
                <w:p>
                  <w:pPr>
                    <w:pStyle w:val="Compact"/>
                    <w:jc w:val="center"/>
                  </w:pPr>
                  <w:r>
                    <w:rPr>
                      <w:b/>
                      <w:bCs/>
                    </w:rPr>
                    <w:t xml:space="preserve">A1</w:t>
                  </w:r>
                </w:p>
              </w:tc>
              <w:tc>
                <w:tcPr/>
                <w:p>
                  <w:pPr>
                    <w:pStyle w:val="Compact"/>
                    <w:jc w:val="center"/>
                  </w:pPr>
                  <w:r>
                    <w:t xml:space="preserve">Clinical variables</w:t>
                  </w:r>
                  <w:r>
                    <w:rPr>
                      <w:vertAlign w:val="superscript"/>
                    </w:rPr>
                    <w:t xml:space="preserve">*</w:t>
                  </w:r>
                </w:p>
              </w:tc>
              <w:tc>
                <w:tcPr/>
                <w:p>
                  <w:pPr>
                    <w:pStyle w:val="Compact"/>
                    <w:jc w:val="center"/>
                  </w:pPr>
                  <w:r>
                    <w:t xml:space="preserve">–</w:t>
                  </w:r>
                </w:p>
              </w:tc>
            </w:tr>
            <w:tr>
              <w:tc>
                <w:tcPr/>
                <w:p>
                  <w:pPr>
                    <w:pStyle w:val="Compact"/>
                    <w:jc w:val="center"/>
                  </w:pPr>
                  <w:r>
                    <w:t xml:space="preserve">Clinical</w:t>
                  </w:r>
                </w:p>
              </w:tc>
              <w:tc>
                <w:tcPr/>
                <w:p>
                  <w:pPr>
                    <w:pStyle w:val="Compact"/>
                    <w:jc w:val="center"/>
                  </w:pPr>
                  <w:r>
                    <w:rPr>
                      <w:b/>
                      <w:bCs/>
                    </w:rPr>
                    <w:t xml:space="preserve">A2</w:t>
                  </w:r>
                </w:p>
              </w:tc>
              <w:tc>
                <w:tcPr/>
                <w:p>
                  <w:pPr>
                    <w:pStyle w:val="Compact"/>
                    <w:jc w:val="center"/>
                  </w:pPr>
                  <w:r>
                    <w:t xml:space="preserve">Clinical variables</w:t>
                  </w:r>
                  <w:r>
                    <w:rPr>
                      <w:vertAlign w:val="superscript"/>
                    </w:rPr>
                    <w:t xml:space="preserve">*</w:t>
                  </w:r>
                </w:p>
              </w:tc>
              <w:tc>
                <w:tcPr/>
                <w:p>
                  <w:pPr>
                    <w:pStyle w:val="Compact"/>
                    <w:jc w:val="center"/>
                  </w:pPr>
                  <w:r>
                    <w:t xml:space="preserve">TIR + MAGE</w:t>
                  </w:r>
                </w:p>
              </w:tc>
            </w:tr>
            <w:tr>
              <w:tc>
                <w:tcPr/>
                <w:p>
                  <w:pPr>
                    <w:pStyle w:val="Compact"/>
                    <w:jc w:val="center"/>
                  </w:pPr>
                  <w:r>
                    <w:t xml:space="preserve">Clinical</w:t>
                  </w:r>
                </w:p>
              </w:tc>
              <w:tc>
                <w:tcPr/>
                <w:p>
                  <w:pPr>
                    <w:pStyle w:val="Compact"/>
                    <w:jc w:val="center"/>
                  </w:pPr>
                  <w:r>
                    <w:rPr>
                      <w:b/>
                      <w:bCs/>
                    </w:rPr>
                    <w:t xml:space="preserve">A3</w:t>
                  </w:r>
                </w:p>
              </w:tc>
              <w:tc>
                <w:tcPr/>
                <w:p>
                  <w:pPr>
                    <w:pStyle w:val="Compact"/>
                    <w:jc w:val="center"/>
                  </w:pPr>
                  <w:r>
                    <w:t xml:space="preserve">Clinical variables</w:t>
                  </w:r>
                  <w:r>
                    <w:rPr>
                      <w:vertAlign w:val="superscript"/>
                    </w:rPr>
                    <w:t xml:space="preserve">*</w:t>
                  </w:r>
                </w:p>
              </w:tc>
              <w:tc>
                <w:tcPr/>
                <w:p>
                  <w:pPr>
                    <w:pStyle w:val="Compact"/>
                    <w:jc w:val="center"/>
                  </w:pPr>
                  <w:r>
                    <w:t xml:space="preserve">UMAP dimensions</w:t>
                  </w:r>
                </w:p>
              </w:tc>
            </w:tr>
            <w:tr>
              <w:tc>
                <w:tcPr/>
                <w:p>
                  <w:pPr>
                    <w:pStyle w:val="Compact"/>
                    <w:jc w:val="center"/>
                  </w:pPr>
                  <w:r>
                    <w:t xml:space="preserve">SCORE2-Diabetes</w:t>
                  </w:r>
                </w:p>
              </w:tc>
              <w:tc>
                <w:tcPr/>
                <w:p>
                  <w:pPr>
                    <w:pStyle w:val="Compact"/>
                    <w:jc w:val="center"/>
                  </w:pPr>
                  <w:r>
                    <w:rPr>
                      <w:b/>
                      <w:bCs/>
                    </w:rPr>
                    <w:t xml:space="preserve">B1</w:t>
                  </w:r>
                </w:p>
              </w:tc>
              <w:tc>
                <w:tcPr/>
                <w:p>
                  <w:pPr>
                    <w:pStyle w:val="Compact"/>
                    <w:jc w:val="center"/>
                  </w:pPr>
                  <w:r>
                    <w:t xml:space="preserve">SCORE2-Diabetes score</w:t>
                  </w:r>
                </w:p>
              </w:tc>
              <w:tc>
                <w:tcPr/>
                <w:p>
                  <w:pPr>
                    <w:pStyle w:val="Compact"/>
                    <w:jc w:val="center"/>
                  </w:pPr>
                  <w:r>
                    <w:t xml:space="preserve">–</w:t>
                  </w:r>
                </w:p>
              </w:tc>
            </w:tr>
            <w:tr>
              <w:tc>
                <w:tcPr/>
                <w:p>
                  <w:pPr>
                    <w:pStyle w:val="Compact"/>
                    <w:jc w:val="center"/>
                  </w:pPr>
                  <w:r>
                    <w:t xml:space="preserve">SCORE2-Diabetes</w:t>
                  </w:r>
                </w:p>
              </w:tc>
              <w:tc>
                <w:tcPr/>
                <w:p>
                  <w:pPr>
                    <w:pStyle w:val="Compact"/>
                    <w:jc w:val="center"/>
                  </w:pPr>
                  <w:r>
                    <w:rPr>
                      <w:b/>
                      <w:bCs/>
                    </w:rPr>
                    <w:t xml:space="preserve">B2</w:t>
                  </w:r>
                </w:p>
              </w:tc>
              <w:tc>
                <w:tcPr/>
                <w:p>
                  <w:pPr>
                    <w:pStyle w:val="Compact"/>
                    <w:jc w:val="center"/>
                  </w:pPr>
                  <w:r>
                    <w:t xml:space="preserve">SCORE2-Diabetes score</w:t>
                  </w:r>
                </w:p>
              </w:tc>
              <w:tc>
                <w:tcPr/>
                <w:p>
                  <w:pPr>
                    <w:pStyle w:val="Compact"/>
                    <w:jc w:val="center"/>
                  </w:pPr>
                  <w:r>
                    <w:t xml:space="preserve">TIR + MAGE</w:t>
                  </w:r>
                </w:p>
              </w:tc>
            </w:tr>
            <w:tr>
              <w:tc>
                <w:tcPr/>
                <w:p>
                  <w:pPr>
                    <w:pStyle w:val="Compact"/>
                    <w:jc w:val="center"/>
                  </w:pPr>
                  <w:r>
                    <w:t xml:space="preserve">SCORE2-Diabetes</w:t>
                  </w:r>
                </w:p>
              </w:tc>
              <w:tc>
                <w:tcPr/>
                <w:p>
                  <w:pPr>
                    <w:pStyle w:val="Compact"/>
                    <w:jc w:val="center"/>
                  </w:pPr>
                  <w:r>
                    <w:rPr>
                      <w:b/>
                      <w:bCs/>
                    </w:rPr>
                    <w:t xml:space="preserve">B3</w:t>
                  </w:r>
                </w:p>
              </w:tc>
              <w:tc>
                <w:tcPr/>
                <w:p>
                  <w:pPr>
                    <w:pStyle w:val="Compact"/>
                    <w:jc w:val="center"/>
                  </w:pPr>
                  <w:r>
                    <w:t xml:space="preserve">SCORE2-Diabetes score</w:t>
                  </w:r>
                </w:p>
              </w:tc>
              <w:tc>
                <w:tcPr/>
                <w:p>
                  <w:pPr>
                    <w:pStyle w:val="Compact"/>
                    <w:jc w:val="center"/>
                  </w:pPr>
                  <w:r>
                    <w:t xml:space="preserve">UMAP dimensions</w:t>
                  </w:r>
                </w:p>
              </w:tc>
            </w:tr>
            <w:tr>
              <w:tc>
                <w:tcPr/>
                <w:p>
                  <w:pPr>
                    <w:pStyle w:val="Compact"/>
                    <w:jc w:val="center"/>
                  </w:pPr>
                  <w:r>
                    <w:t xml:space="preserve">CGM only</w:t>
                  </w:r>
                </w:p>
              </w:tc>
              <w:tc>
                <w:tcPr/>
                <w:p>
                  <w:pPr>
                    <w:pStyle w:val="Compact"/>
                    <w:jc w:val="center"/>
                  </w:pPr>
                  <w:r>
                    <w:rPr>
                      <w:b/>
                      <w:bCs/>
                    </w:rPr>
                    <w:t xml:space="preserve">C1</w:t>
                  </w:r>
                </w:p>
              </w:tc>
              <w:tc>
                <w:tcPr/>
                <w:p>
                  <w:pPr>
                    <w:pStyle w:val="Compact"/>
                    <w:jc w:val="center"/>
                  </w:pPr>
                  <w:r>
                    <w:t xml:space="preserve">TIR + MAGE</w:t>
                  </w:r>
                </w:p>
              </w:tc>
              <w:tc>
                <w:tcPr/>
                <w:p>
                  <w:pPr>
                    <w:pStyle w:val="Compact"/>
                    <w:jc w:val="center"/>
                  </w:pPr>
                  <w:r>
                    <w:t xml:space="preserve">–</w:t>
                  </w:r>
                </w:p>
              </w:tc>
            </w:tr>
            <w:tr>
              <w:tc>
                <w:tcPr/>
                <w:p>
                  <w:pPr>
                    <w:pStyle w:val="Compact"/>
                    <w:jc w:val="center"/>
                  </w:pPr>
                  <w:r>
                    <w:t xml:space="preserve">Embeddings only</w:t>
                  </w:r>
                </w:p>
              </w:tc>
              <w:tc>
                <w:tcPr/>
                <w:p>
                  <w:pPr>
                    <w:pStyle w:val="Compact"/>
                    <w:jc w:val="center"/>
                  </w:pPr>
                  <w:r>
                    <w:rPr>
                      <w:b/>
                      <w:bCs/>
                    </w:rPr>
                    <w:t xml:space="preserve">D1</w:t>
                  </w:r>
                </w:p>
              </w:tc>
              <w:tc>
                <w:tcPr/>
                <w:p>
                  <w:pPr>
                    <w:pStyle w:val="Compact"/>
                    <w:jc w:val="center"/>
                  </w:pPr>
                  <w:r>
                    <w:t xml:space="preserve">UMAP dimensions</w:t>
                  </w:r>
                </w:p>
              </w:tc>
              <w:tc>
                <w:tcPr/>
                <w:p>
                  <w:pPr>
                    <w:pStyle w:val="Compact"/>
                    <w:jc w:val="center"/>
                  </w:pPr>
                  <w:r>
                    <w:t xml:space="preserve">–</w:t>
                  </w:r>
                </w:p>
              </w:tc>
            </w:tr>
          </w:tbl>
          <w:bookmarkEnd w:id="49"/>
          <w:p/>
        </w:tc>
      </w:tr>
    </w:tbl>
    <w:p>
      <w:pPr>
        <w:pStyle w:val="BodyText"/>
      </w:pPr>
      <w:r>
        <w:rPr>
          <w:vertAlign w:val="superscript"/>
        </w:rPr>
        <w:t xml:space="preserve">*</w:t>
      </w:r>
      <w:r>
        <w:t xml:space="preserve"> </w:t>
      </w:r>
      <w:r>
        <w:t xml:space="preserve">Clinical variables are the same as those included in the SCORE2-Diabetes risk model: age, sex, smoking status, systolic blood pressure, HDL cholesterol, total cholesterol, diabetes duration, HbA1c, and eGFR</w:t>
      </w:r>
      <w:r>
        <w:rPr>
          <w:vertAlign w:val="superscript"/>
        </w:rPr>
        <w:t xml:space="preserve">14</w:t>
      </w:r>
      <w:r>
        <w:t xml:space="preserve">.</w:t>
      </w:r>
      <w:r>
        <w:br/>
      </w:r>
      <w:r>
        <w:rPr>
          <w:i/>
          <w:iCs/>
        </w:rPr>
        <w:t xml:space="preserve">TIR = time in range; MAGE = mean amplitude of glycemic excursions.</w:t>
      </w:r>
    </w:p>
    <w:tbl>
      <w:tblPr>
        <w:tblStyle w:val="Table"/>
        <w:tblW w:type="pct" w:w="5000"/>
        <w:tblLayout w:type="fixed"/>
        <w:tblLook w:firstRow="0" w:lastRow="0" w:firstColumn="0" w:lastColumn="0" w:noHBand="0" w:noVBand="0" w:val="0000"/>
      </w:tblPr>
      <w:tblGrid>
        <w:gridCol w:w="7920"/>
      </w:tblGrid>
      <w:tr>
        <w:tc>
          <w:tcPr/>
          <w:bookmarkStart w:id="50" w:name="tbl-overview-studies"/>
          <w:p>
            <w:pPr>
              <w:jc w:val="center"/>
            </w:pPr>
            <w:pPr>
              <w:jc w:val="left"/>
              <w:spacing w:before="200"/>
              <w:pStyle w:val="ImageCaption"/>
            </w:pPr>
            <w:r>
              <w:t xml:space="preserve">Table 3.2: Overview of the three studies included in this PhD</w:t>
            </w:r>
          </w:p>
          <w:tbl>
            <w:tblPr>
              <w:tblStyle w:val="Table"/>
              <w:tblW w:type="pct" w:w="5000"/>
              <w:tblLayout w:type="fixed"/>
              <w:tblLook w:firstRow="1" w:lastRow="0" w:firstColumn="0" w:lastColumn="0" w:noHBand="0" w:noVBand="0" w:val="0020"/>
            </w:tblPr>
            <w:tblGrid>
              <w:gridCol w:w="931"/>
              <w:gridCol w:w="2329"/>
              <w:gridCol w:w="2329"/>
              <w:gridCol w:w="2329"/>
            </w:tblGrid>
            <w:tr>
              <w:trPr>
                <w:tblHeader w:val="on"/>
              </w:trPr>
              <w:tc>
                <w:tcPr/>
                <w:p>
                  <w:pPr>
                    <w:pStyle w:val="Compact"/>
                  </w:pPr>
                </w:p>
              </w:tc>
              <w:tc>
                <w:tcPr/>
                <w:p>
                  <w:pPr>
                    <w:pStyle w:val="Compact"/>
                    <w:jc w:val="left"/>
                    <w:jc w:val="center"/>
                  </w:pPr>
                  <w:r>
                    <w:t xml:space="preserve">Study I</w:t>
                  </w:r>
                </w:p>
              </w:tc>
              <w:tc>
                <w:tcPr/>
                <w:p>
                  <w:pPr>
                    <w:pStyle w:val="Compact"/>
                    <w:jc w:val="left"/>
                    <w:jc w:val="center"/>
                  </w:pPr>
                  <w:r>
                    <w:t xml:space="preserve">Study II</w:t>
                  </w:r>
                </w:p>
              </w:tc>
              <w:tc>
                <w:tcPr/>
                <w:p>
                  <w:pPr>
                    <w:pStyle w:val="Compact"/>
                    <w:jc w:val="left"/>
                    <w:jc w:val="center"/>
                  </w:pPr>
                  <w:r>
                    <w:t xml:space="preserve">Study III</w:t>
                  </w:r>
                </w:p>
              </w:tc>
            </w:tr>
            <w:tr>
              <w:tc>
                <w:tcPr/>
                <w:p>
                  <w:pPr>
                    <w:pStyle w:val="Compact"/>
                    <w:jc w:val="left"/>
                    <w:jc w:val="center"/>
                  </w:pPr>
                  <w:r>
                    <w:t xml:space="preserve">Title</w:t>
                  </w:r>
                </w:p>
              </w:tc>
              <w:tc>
                <w:tcPr/>
                <w:p>
                  <w:pPr>
                    <w:pStyle w:val="Compact"/>
                    <w:jc w:val="left"/>
                    <w:jc w:val="center"/>
                  </w:pPr>
                  <w:r>
                    <w:t xml:space="preserve">Continuous Glucose Monitoring–Derived Metrics and Cardiovascular Risk Among People With Diabetes: Systematic Scoping Review</w:t>
                  </w:r>
                </w:p>
              </w:tc>
              <w:tc>
                <w:tcPr/>
                <w:p>
                  <w:pPr>
                    <w:pStyle w:val="Compact"/>
                    <w:jc w:val="left"/>
                    <w:jc w:val="center"/>
                  </w:pPr>
                  <w:r>
                    <w:t xml:space="preserve">Foundation model–derived representations of continuous glucose monitoring data: relation to glycemic patterns and cardiovascular risk</w:t>
                  </w:r>
                </w:p>
              </w:tc>
              <w:tc>
                <w:tcPr/>
                <w:p>
                  <w:pPr>
                    <w:pStyle w:val="Compact"/>
                    <w:jc w:val="left"/>
                    <w:jc w:val="center"/>
                  </w:pPr>
                  <w:r>
                    <w:t xml:space="preserve">Racial disparities in continuous glucose monitoring-based 60-min glucose predictions among people with type 1 diabetes</w:t>
                  </w:r>
                </w:p>
              </w:tc>
            </w:tr>
            <w:tr>
              <w:tc>
                <w:tcPr/>
                <w:p>
                  <w:pPr>
                    <w:pStyle w:val="Compact"/>
                    <w:jc w:val="left"/>
                    <w:jc w:val="center"/>
                  </w:pPr>
                  <w:r>
                    <w:t xml:space="preserve">Study Type</w:t>
                  </w:r>
                </w:p>
              </w:tc>
              <w:tc>
                <w:tcPr/>
                <w:p>
                  <w:pPr>
                    <w:pStyle w:val="Compact"/>
                    <w:jc w:val="left"/>
                    <w:jc w:val="center"/>
                  </w:pPr>
                  <w:r>
                    <w:t xml:space="preserve">Review</w:t>
                  </w:r>
                </w:p>
              </w:tc>
              <w:tc>
                <w:tcPr/>
                <w:p>
                  <w:pPr>
                    <w:pStyle w:val="Compact"/>
                    <w:jc w:val="left"/>
                    <w:jc w:val="center"/>
                  </w:pPr>
                  <w:r>
                    <w:t xml:space="preserve">CGM foundation model evaluation study</w:t>
                  </w:r>
                </w:p>
              </w:tc>
              <w:tc>
                <w:tcPr/>
                <w:p>
                  <w:pPr>
                    <w:pStyle w:val="Compact"/>
                    <w:jc w:val="left"/>
                    <w:jc w:val="center"/>
                  </w:pPr>
                  <w:r>
                    <w:t xml:space="preserve">Algorithmic fairness study</w:t>
                  </w:r>
                </w:p>
              </w:tc>
            </w:tr>
            <w:tr>
              <w:tc>
                <w:tcPr/>
                <w:p>
                  <w:pPr>
                    <w:pStyle w:val="Compact"/>
                    <w:jc w:val="left"/>
                    <w:jc w:val="center"/>
                  </w:pPr>
                  <w:r>
                    <w:t xml:space="preserve">Data Sources</w:t>
                  </w:r>
                </w:p>
              </w:tc>
              <w:tc>
                <w:tcPr/>
                <w:p>
                  <w:pPr>
                    <w:pStyle w:val="Compact"/>
                    <w:jc w:val="left"/>
                    <w:jc w:val="center"/>
                  </w:pPr>
                  <w:r>
                    <w:t xml:space="preserve">Literature on Embase and MEDLINE</w:t>
                  </w:r>
                </w:p>
              </w:tc>
              <w:tc>
                <w:tcPr/>
                <w:p>
                  <w:pPr>
                    <w:pStyle w:val="Compact"/>
                    <w:jc w:val="left"/>
                    <w:jc w:val="center"/>
                  </w:pPr>
                  <w:r>
                    <w:t xml:space="preserve">The CANCAN study and the T1D Exchange (T1DX) dataset</w:t>
                  </w:r>
                </w:p>
              </w:tc>
              <w:tc>
                <w:tcPr/>
                <w:p>
                  <w:pPr>
                    <w:pStyle w:val="Compact"/>
                    <w:jc w:val="left"/>
                    <w:jc w:val="center"/>
                  </w:pPr>
                  <w:r>
                    <w:t xml:space="preserve">T1D Exchange (T1DX) dataset</w:t>
                  </w:r>
                </w:p>
              </w:tc>
            </w:tr>
            <w:tr>
              <w:tc>
                <w:tcPr/>
                <w:p>
                  <w:pPr>
                    <w:pStyle w:val="Compact"/>
                    <w:jc w:val="left"/>
                    <w:jc w:val="center"/>
                  </w:pPr>
                  <w:r>
                    <w:t xml:space="preserve">Population</w:t>
                  </w:r>
                </w:p>
              </w:tc>
              <w:tc>
                <w:tcPr/>
                <w:p>
                  <w:pPr>
                    <w:pStyle w:val="Compact"/>
                    <w:jc w:val="left"/>
                    <w:jc w:val="center"/>
                  </w:pPr>
                  <w:r>
                    <w:t xml:space="preserve">Studies including people with type 1 diabetes, type 2 diabetes and/or prediabetes</w:t>
                  </w:r>
                </w:p>
              </w:tc>
              <w:tc>
                <w:tcPr/>
                <w:p>
                  <w:pPr>
                    <w:pStyle w:val="Compact"/>
                    <w:jc w:val="left"/>
                    <w:jc w:val="center"/>
                  </w:pPr>
                  <w:r>
                    <w:t xml:space="preserve">159 people with type 2 diabetes 205 people with type 1 Diabetes</w:t>
                  </w:r>
                </w:p>
              </w:tc>
              <w:tc>
                <w:tcPr/>
                <w:p>
                  <w:pPr>
                    <w:pStyle w:val="Compact"/>
                    <w:jc w:val="left"/>
                    <w:jc w:val="center"/>
                  </w:pPr>
                  <w:r>
                    <w:t xml:space="preserve">205 people with type 1 Diabetes</w:t>
                  </w:r>
                </w:p>
              </w:tc>
            </w:tr>
            <w:tr>
              <w:tc>
                <w:tcPr/>
                <w:p>
                  <w:pPr>
                    <w:pStyle w:val="Compact"/>
                    <w:jc w:val="left"/>
                    <w:jc w:val="center"/>
                  </w:pPr>
                  <w:r>
                    <w:t xml:space="preserve">Input, predictors and exposures</w:t>
                  </w:r>
                </w:p>
              </w:tc>
              <w:tc>
                <w:tcPr/>
                <w:p>
                  <w:pPr>
                    <w:pStyle w:val="Compact"/>
                    <w:jc w:val="left"/>
                    <w:jc w:val="center"/>
                  </w:pPr>
                  <w:r>
                    <w:t xml:space="preserve">Search strategy and eligibility criteria</w:t>
                  </w:r>
                </w:p>
              </w:tc>
              <w:tc>
                <w:tcPr/>
                <w:p>
                  <w:pPr>
                    <w:pStyle w:val="Compact"/>
                    <w:jc w:val="left"/>
                    <w:jc w:val="center"/>
                  </w:pPr>
                  <w:r>
                    <w:t xml:space="preserve">Clinical variables, CGM-derived metrics and continuous CGM data</w:t>
                  </w:r>
                </w:p>
              </w:tc>
              <w:tc>
                <w:tcPr/>
                <w:p>
                  <w:pPr>
                    <w:pStyle w:val="Compact"/>
                    <w:jc w:val="left"/>
                    <w:jc w:val="center"/>
                  </w:pPr>
                  <w:r>
                    <w:t xml:space="preserve">Continuous CGM data</w:t>
                  </w:r>
                </w:p>
              </w:tc>
            </w:tr>
            <w:tr>
              <w:tc>
                <w:tcPr/>
                <w:p>
                  <w:pPr>
                    <w:pStyle w:val="Compact"/>
                    <w:jc w:val="left"/>
                    <w:jc w:val="center"/>
                  </w:pPr>
                  <w:r>
                    <w:t xml:space="preserve">Outcome, target</w:t>
                  </w:r>
                </w:p>
              </w:tc>
              <w:tc>
                <w:tcPr/>
                <w:p>
                  <w:pPr>
                    <w:pStyle w:val="Compact"/>
                    <w:jc w:val="left"/>
                    <w:jc w:val="center"/>
                  </w:pPr>
                  <w:r>
                    <w:t xml:space="preserve">All studies that uses CGM data to say something about cardiovascular disease risk and outcomes</w:t>
                  </w:r>
                </w:p>
              </w:tc>
              <w:tc>
                <w:tcPr/>
                <w:p>
                  <w:pPr>
                    <w:pStyle w:val="Compact"/>
                    <w:jc w:val="left"/>
                    <w:jc w:val="center"/>
                  </w:pPr>
                  <w:r>
                    <w:t xml:space="preserve">Visualisation of foundation model embeddings and elevated NT-proBNP prediction</w:t>
                  </w:r>
                </w:p>
              </w:tc>
              <w:tc>
                <w:tcPr/>
                <w:p>
                  <w:pPr>
                    <w:pStyle w:val="Compact"/>
                    <w:jc w:val="left"/>
                    <w:jc w:val="center"/>
                  </w:pPr>
                  <w:r>
                    <w:t xml:space="preserve">Next blood glucose value</w:t>
                  </w:r>
                </w:p>
              </w:tc>
            </w:tr>
            <w:tr>
              <w:tc>
                <w:tcPr/>
                <w:p>
                  <w:pPr>
                    <w:pStyle w:val="Compact"/>
                    <w:jc w:val="left"/>
                    <w:jc w:val="center"/>
                  </w:pPr>
                  <w:r>
                    <w:t xml:space="preserve">Analysis</w:t>
                  </w:r>
                </w:p>
              </w:tc>
              <w:tc>
                <w:tcPr/>
                <w:p>
                  <w:pPr>
                    <w:pStyle w:val="Compact"/>
                    <w:jc w:val="left"/>
                    <w:jc w:val="center"/>
                  </w:pPr>
                  <w:r>
                    <w:t xml:space="preserve">Systematic scoping review, study characterization, and narrative synthesis</w:t>
                  </w:r>
                </w:p>
              </w:tc>
              <w:tc>
                <w:tcPr/>
                <w:p>
                  <w:pPr>
                    <w:pStyle w:val="Compact"/>
                    <w:jc w:val="left"/>
                    <w:jc w:val="center"/>
                  </w:pPr>
                  <w:r>
                    <w:t xml:space="preserve">Foundation models and logistic regression models</w:t>
                  </w:r>
                </w:p>
              </w:tc>
              <w:tc>
                <w:tcPr/>
                <w:p>
                  <w:pPr>
                    <w:pStyle w:val="Compact"/>
                    <w:jc w:val="left"/>
                    <w:jc w:val="center"/>
                  </w:pPr>
                  <w:r>
                    <w:t xml:space="preserve">Long short term memory models (LSTM) and Linear mixed effect models (LMEM)</w:t>
                  </w:r>
                </w:p>
              </w:tc>
            </w:tr>
          </w:tbl>
          <w:bookmarkEnd w:id="50"/>
          <w:p/>
        </w:tc>
      </w:tr>
    </w:tbl>
    <w:bookmarkEnd w:id="51"/>
    <w:bookmarkStart w:id="57" w:name="study-i-a-scoping-review"/>
    <w:p>
      <w:pPr>
        <w:pStyle w:val="Heading2"/>
      </w:pPr>
      <w:r>
        <w:t xml:space="preserve">3.2 Study I: A Scoping Review</w:t>
      </w:r>
    </w:p>
    <w:p>
      <w:pPr>
        <w:pStyle w:val="FirstParagraph"/>
      </w:pPr>
      <w:r>
        <w:t xml:space="preserve">A scoping review was conducted to investigate current knowledge of CGM-data and its possible connection and predictive power to clinical and subclinical cardiovascular outcomes.</w:t>
      </w:r>
      <w:r>
        <w:t xml:space="preserve"> </w:t>
      </w:r>
      <w:r>
        <w:t xml:space="preserve">Given the expected heterogeneity between studies, a scoping review was considered the most appropriate methodology.</w:t>
      </w:r>
      <w:r>
        <w:t xml:space="preserve"> </w:t>
      </w:r>
      <w:r>
        <w:t xml:space="preserve">The scoping review followed the Manual for Evidence Synthesis (Chapter 10 - Scoping reviews) from the Joanna Briggs Institute and reported according to the Preferred Reporting Items for Systematic Reviews and Meta-analyses extension for scoping review (PRISMA-ScR) guidelines.</w:t>
      </w:r>
      <w:r>
        <w:rPr>
          <w:vertAlign w:val="superscript"/>
        </w:rPr>
        <w:t xml:space="preserve">15,16</w:t>
      </w:r>
    </w:p>
    <w:bookmarkStart w:id="53" w:name="concepts-and-definitions"/>
    <w:p>
      <w:pPr>
        <w:pStyle w:val="Heading3"/>
      </w:pPr>
      <w:r>
        <w:t xml:space="preserve">Concepts and Definitions</w:t>
      </w:r>
    </w:p>
    <w:p>
      <w:pPr>
        <w:pStyle w:val="FirstParagraph"/>
      </w:pPr>
      <w:r>
        <w:t xml:space="preserve">The review focused solely on CGM-data for the input to any association or prediction models in the literature. This meant that studies only investigating self-monitored blood glucose with finger-prick measurements or blood sample measurements such as HbA1c were not considered in this review. CVD outcomes were divided into subclinical or clinical For the clinical CVD, the following outcomes were considered: cardiovascular mortality, major adverse cardiovascular events, coronary artery disease, heart failure, stroke, and peripheral artery disease with synonymous terms included (e.g., ischemic heart diseases) and also clinical events (e.g., undergoing coronary artery bypass surgery). Subclinical CVD was grouped into six subcategories: arterial stiffness, flow resistance, arterial wall thickness, arterial wall composition, cardiac and pulse-related measures, and arterial lumen. CVD outcomes did not include broader risk factors nonspecific to cardiovascular risk (e.g., age or sex). Eligibility criterias for the scoping review</w:t>
      </w:r>
      <w:r>
        <w:rPr>
          <w:vertAlign w:val="superscript"/>
        </w:rPr>
        <w:t xml:space="preserve">17</w:t>
      </w:r>
      <w:r>
        <w:t xml:space="preserve"> </w:t>
      </w:r>
      <w:r>
        <w:t xml:space="preserve">(Study I) can be found in</w:t>
      </w:r>
      <w:r>
        <w:t xml:space="preserve"> </w:t>
      </w:r>
      <w:hyperlink w:anchor="tbl-study1-eligibility-criteria">
        <w:r>
          <w:rPr>
            <w:rStyle w:val="Hyperlink"/>
          </w:rPr>
          <w:t xml:space="preserve">Table 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tbl-study1-eligibility-criteria"/>
          <w:p>
            <w:pPr>
              <w:jc w:val="center"/>
            </w:pPr>
            <w:pPr>
              <w:jc w:val="left"/>
              <w:spacing w:before="200"/>
              <w:pStyle w:val="ImageCaption"/>
            </w:pPr>
            <w:r>
              <w:t xml:space="preserve">Table 3.3: Eligibility criteria for the scoping review (Study I)</w:t>
            </w:r>
          </w:p>
          <w:tbl>
            <w:tblPr>
              <w:tblStyle w:val="Table"/>
              <w:tblW w:type="pct" w:w="5000"/>
              <w:tblLayout w:type="fixed"/>
              <w:tblLook w:firstRow="1" w:lastRow="0" w:firstColumn="0" w:lastColumn="0" w:noHBand="0" w:noVBand="0" w:val="0020"/>
            </w:tblPr>
            <w:tblGrid>
              <w:gridCol w:w="4428"/>
              <w:gridCol w:w="3491"/>
            </w:tblGrid>
            <w:tr>
              <w:trPr>
                <w:tblHeader w:val="on"/>
              </w:trPr>
              <w:tc>
                <w:tcPr/>
                <w:p>
                  <w:pPr>
                    <w:pStyle w:val="Compact"/>
                    <w:jc w:val="left"/>
                    <w:jc w:val="center"/>
                  </w:pPr>
                  <w:r>
                    <w:t xml:space="preserve">Inclusion Criteria</w:t>
                  </w:r>
                </w:p>
              </w:tc>
              <w:tc>
                <w:tcPr/>
                <w:p>
                  <w:pPr>
                    <w:pStyle w:val="Compact"/>
                    <w:jc w:val="left"/>
                    <w:jc w:val="center"/>
                  </w:pPr>
                  <w:r>
                    <w:t xml:space="preserve">Exclusion Criteria</w:t>
                  </w:r>
                </w:p>
              </w:tc>
            </w:tr>
            <w:tr>
              <w:tc>
                <w:tcPr/>
                <w:p>
                  <w:pPr>
                    <w:jc w:val="left"/>
                    <w:jc w:val="center"/>
                  </w:pPr>
                  <w:r>
                    <w:t xml:space="preserve">Human clinical studies including participants with prediabetes or any type of diabetes except for gestational diabetes, regardless of definitions</w:t>
                  </w:r>
                </w:p>
                <w:p>
                  <w:pPr>
                    <w:jc w:val="left"/>
                    <w:jc w:val="center"/>
                  </w:pPr>
                  <w:r>
                    <w:t xml:space="preserve">Peer-reviewed published original articles (including brief reports).</w:t>
                  </w:r>
                </w:p>
                <w:p>
                  <w:pPr>
                    <w:jc w:val="left"/>
                    <w:jc w:val="center"/>
                  </w:pPr>
                  <w:r>
                    <w:t xml:space="preserve">Studies investigating either:</w:t>
                  </w:r>
                  <w:r>
                    <w:br/>
                  </w:r>
                  <w:r>
                    <w:t xml:space="preserve">  a) The association between CGM-derived metrics of glycemic control and cardiovascular risk markers or cardiovascular diseases (prevalent or incident).</w:t>
                  </w:r>
                  <w:r>
                    <w:br/>
                  </w:r>
                  <w:r>
                    <w:t xml:space="preserve">  b) CGM-derived metrics of glycemic control as predictors of cardiovascular risk markers or cardiovascular diseases (prevalent or incident).</w:t>
                  </w:r>
                </w:p>
              </w:tc>
              <w:tc>
                <w:tcPr/>
                <w:p>
                  <w:pPr>
                    <w:jc w:val="left"/>
                    <w:jc w:val="center"/>
                  </w:pPr>
                  <w:r>
                    <w:t xml:space="preserve">Review articles, editorials, case reports, protocols, conference abstracts, and preprints.</w:t>
                  </w:r>
                </w:p>
                <w:p>
                  <w:pPr>
                    <w:jc w:val="left"/>
                    <w:jc w:val="center"/>
                  </w:pPr>
                  <w:r>
                    <w:t xml:space="preserve">Animal studies not including any human participants.</w:t>
                  </w:r>
                </w:p>
                <w:p>
                  <w:pPr>
                    <w:jc w:val="left"/>
                    <w:jc w:val="center"/>
                  </w:pPr>
                  <w:r>
                    <w:t xml:space="preserve">Studies not including metrics derived from continuous glucose monitoring device data.</w:t>
                  </w:r>
                </w:p>
                <w:p>
                  <w:pPr>
                    <w:jc w:val="left"/>
                    <w:jc w:val="center"/>
                  </w:pPr>
                  <w:r>
                    <w:t xml:space="preserve">Studies including CGM-derived metrics as outcomes.</w:t>
                  </w:r>
                </w:p>
                <w:p>
                  <w:pPr>
                    <w:jc w:val="left"/>
                    <w:jc w:val="center"/>
                  </w:pPr>
                  <w:r>
                    <w:t xml:space="preserve">Studies not focusing on CVD outcomes according to our definition, as outlined in the “Concepts and Definitions” section.</w:t>
                  </w:r>
                </w:p>
                <w:p>
                  <w:pPr>
                    <w:jc w:val="left"/>
                    <w:jc w:val="center"/>
                  </w:pPr>
                  <w:r>
                    <w:t xml:space="preserve">Studies focusing on pregnant women with any form of diabetes including gestational diabetes.</w:t>
                  </w:r>
                </w:p>
                <w:p>
                  <w:pPr>
                    <w:jc w:val="left"/>
                    <w:jc w:val="center"/>
                  </w:pPr>
                  <w:r>
                    <w:t xml:space="preserve">Studies where participants were monitored post-surgery or during hospitalization (e.g. Intensive care unit).</w:t>
                  </w:r>
                </w:p>
                <w:p>
                  <w:pPr>
                    <w:jc w:val="left"/>
                    <w:jc w:val="center"/>
                  </w:pPr>
                  <w:r>
                    <w:t xml:space="preserve">Language not understood by authors</w:t>
                  </w:r>
                </w:p>
              </w:tc>
            </w:tr>
          </w:tbl>
          <w:bookmarkEnd w:id="52"/>
          <w:p/>
        </w:tc>
      </w:tr>
    </w:tbl>
    <w:bookmarkEnd w:id="53"/>
    <w:bookmarkStart w:id="54" w:name="search-and-selection-of-sources"/>
    <w:p>
      <w:pPr>
        <w:pStyle w:val="Heading3"/>
      </w:pPr>
      <w:r>
        <w:t xml:space="preserve">Search and Selection of Sources</w:t>
      </w:r>
    </w:p>
    <w:p>
      <w:pPr>
        <w:pStyle w:val="FirstParagraph"/>
      </w:pPr>
      <w:r>
        <w:t xml:space="preserve">The databases Embase and Medline were searched from inception to March 11, 2025. The seach strategy was tested against 13 articles in the field, found through an initial exploratory search.</w:t>
      </w:r>
      <w:r>
        <w:rPr>
          <w:vertAlign w:val="superscript"/>
        </w:rPr>
        <w:t xml:space="preserve">18–30</w:t>
      </w:r>
      <w:r>
        <w:t xml:space="preserve">.</w:t>
      </w:r>
      <w:r>
        <w:t xml:space="preserve"> </w:t>
      </w:r>
      <w:r>
        <w:t xml:space="preserve">The full search strategy can be found in</w:t>
      </w:r>
      <w:r>
        <w:t xml:space="preserve"> </w:t>
      </w:r>
      <w:hyperlink w:anchor="sec-suppl-search-strings">
        <w:r>
          <w:rPr>
            <w:rStyle w:val="Hyperlink"/>
          </w:rPr>
          <w:t xml:space="preserve">Appendix A</w:t>
        </w:r>
      </w:hyperlink>
      <w:r>
        <w:t xml:space="preserve">.</w:t>
      </w:r>
    </w:p>
    <w:p>
      <w:pPr>
        <w:pStyle w:val="BodyText"/>
      </w:pPr>
      <w:r>
        <w:t xml:space="preserve">All identified records were uploaded into EPPI reviewer 6</w:t>
      </w:r>
      <w:r>
        <w:rPr>
          <w:vertAlign w:val="superscript"/>
        </w:rPr>
        <w:t xml:space="preserve">31</w:t>
      </w:r>
      <w:r>
        <w:t xml:space="preserve"> </w:t>
      </w:r>
      <w:r>
        <w:t xml:space="preserve">and duplicates were removed. Titles and abstracts were screened by at least two independent reviewers and a meeting was held after ~5% of the titles and abstracts had been screened, to resolve disagreements and ensure consistency between reviewers. Afterwards full-text screening was performed by two independent reviewers and held up against eligibility criteria. Disagreements were resolved through discussion at physical meetings between reviewers.</w:t>
      </w:r>
    </w:p>
    <w:p>
      <w:pPr>
        <w:pStyle w:val="BodyText"/>
      </w:pPr>
      <w:r>
        <w:t xml:space="preserve">Backward and forward citation searching was performed on all the included studies after the screening process using citationchaser</w:t>
      </w:r>
      <w:r>
        <w:rPr>
          <w:vertAlign w:val="superscript"/>
        </w:rPr>
        <w:t xml:space="preserve">32</w:t>
      </w:r>
      <w:r>
        <w:t xml:space="preserve"> </w:t>
      </w:r>
      <w:r>
        <w:t xml:space="preserve">and the screen process was repeated until no further new studies were identified through the citationchaser.</w:t>
      </w:r>
    </w:p>
    <w:bookmarkEnd w:id="54"/>
    <w:bookmarkStart w:id="55" w:name="data-charting-process-and-data-items"/>
    <w:p>
      <w:pPr>
        <w:pStyle w:val="Heading3"/>
      </w:pPr>
      <w:r>
        <w:t xml:space="preserve">Data Charting Process and Data Items</w:t>
      </w:r>
    </w:p>
    <w:p>
      <w:pPr>
        <w:pStyle w:val="FirstParagraph"/>
      </w:pPr>
      <w:r>
        <w:t xml:space="preserve">Research questions were defined before the screening process and data was extracted based on these research questions (</w:t>
      </w:r>
      <w:hyperlink w:anchor="nte-study1-research-q">
        <w:r>
          <w:rPr>
            <w:rStyle w:val="Hyperlink"/>
          </w:rPr>
          <w:t xml:space="preserve">Note 3.1</w:t>
        </w:r>
      </w:hyperlink>
      <w:r>
        <w:t xml:space="preserve"> </w:t>
      </w:r>
      <w:r>
        <w:t xml:space="preserve">) and following the requirements from the PRISMA-ScR checklist.</w:t>
      </w:r>
      <w:r>
        <w:rPr>
          <w:vertAlign w:val="superscript"/>
        </w:rPr>
        <w:t xml:space="preserve">15</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Note 3.1: Research Questions (Study 1)</w:t>
            </w:r>
          </w:p>
          <w:p>
            <w:pPr>
              <w:pStyle w:val="Compact"/>
              <w:numPr>
                <w:ilvl w:val="0"/>
                <w:numId w:val="1013"/>
              </w:numPr>
            </w:pPr>
            <w:r>
              <w:t xml:space="preserve">Is there an association between glycemic control and CVD risk?</w:t>
            </w:r>
          </w:p>
          <w:p>
            <w:pPr>
              <w:pStyle w:val="Compact"/>
              <w:numPr>
                <w:ilvl w:val="0"/>
                <w:numId w:val="1013"/>
              </w:numPr>
            </w:pPr>
            <w:r>
              <w:t xml:space="preserve">Can CGM-derived metrics predict CVD risk?</w:t>
            </w:r>
          </w:p>
          <w:p>
            <w:pPr>
              <w:pStyle w:val="Compact"/>
              <w:numPr>
                <w:ilvl w:val="0"/>
                <w:numId w:val="1013"/>
              </w:numPr>
            </w:pPr>
            <w:r>
              <w:t xml:space="preserve">What CGM-derived metrics are used in the literature?</w:t>
            </w:r>
          </w:p>
          <w:p>
            <w:pPr>
              <w:pStyle w:val="Compact"/>
              <w:numPr>
                <w:ilvl w:val="0"/>
                <w:numId w:val="1013"/>
              </w:numPr>
            </w:pPr>
            <w:r>
              <w:t xml:space="preserve">Which cardiovascular markers and diseases are included as outcomes in the studies?</w:t>
            </w:r>
          </w:p>
          <w:p>
            <w:pPr>
              <w:pStyle w:val="Compact"/>
              <w:numPr>
                <w:ilvl w:val="0"/>
                <w:numId w:val="1013"/>
              </w:numPr>
            </w:pPr>
            <w:r>
              <w:t xml:space="preserve">What characterizes study populations (age, sex, ethnicity, geographic location)?</w:t>
            </w:r>
          </w:p>
          <w:p>
            <w:pPr>
              <w:pStyle w:val="Compact"/>
              <w:numPr>
                <w:ilvl w:val="0"/>
                <w:numId w:val="1013"/>
              </w:numPr>
            </w:pPr>
            <w:r>
              <w:t xml:space="preserve">What study designs are used (e.g., longitudinal cohort studies, randomized controlled trials, cross-sectional studies)?</w:t>
            </w:r>
          </w:p>
          <w:p>
            <w:pPr>
              <w:pStyle w:val="Compact"/>
              <w:numPr>
                <w:ilvl w:val="0"/>
                <w:numId w:val="1013"/>
              </w:numPr>
            </w:pPr>
            <w:r>
              <w:t xml:space="preserve">How was data collected (e.g., clinical trial, epidemiological study, routinely collected data)?</w:t>
            </w:r>
          </w:p>
          <w:p>
            <w:pPr>
              <w:pStyle w:val="Compact"/>
              <w:numPr>
                <w:ilvl w:val="0"/>
                <w:numId w:val="1013"/>
              </w:numPr>
            </w:pPr>
            <w:r>
              <w:t xml:space="preserve">What CGM devices were used?</w:t>
            </w:r>
          </w:p>
          <w:p>
            <w:pPr>
              <w:pStyle w:val="Compact"/>
              <w:numPr>
                <w:ilvl w:val="0"/>
                <w:numId w:val="1013"/>
              </w:numPr>
            </w:pPr>
            <w:r>
              <w:t xml:space="preserve">What statistical models were used in the studies?</w:t>
            </w:r>
          </w:p>
          <w:p>
            <w:pPr>
              <w:pStyle w:val="Compact"/>
              <w:numPr>
                <w:ilvl w:val="0"/>
                <w:numId w:val="1013"/>
              </w:numPr>
            </w:pPr>
            <w:r>
              <w:t xml:space="preserve">Is the data openly available?</w:t>
            </w:r>
          </w:p>
          <w:p>
            <w:pPr>
              <w:pStyle w:val="Compact"/>
              <w:numPr>
                <w:ilvl w:val="0"/>
                <w:numId w:val="1013"/>
              </w:numPr>
            </w:pPr>
            <w:r>
              <w:t xml:space="preserve">Is the code openly available?</w:t>
            </w:r>
          </w:p>
        </w:tc>
      </w:tr>
    </w:tbl>
    <w:bookmarkEnd w:id="55"/>
    <w:bookmarkStart w:id="56" w:name="synthesis-of-results"/>
    <w:p>
      <w:pPr>
        <w:pStyle w:val="Heading3"/>
      </w:pPr>
      <w:r>
        <w:t xml:space="preserve">Synthesis of Results</w:t>
      </w:r>
    </w:p>
    <w:p>
      <w:pPr>
        <w:pStyle w:val="FirstParagraph"/>
      </w:pPr>
      <w:r>
        <w:t xml:space="preserve">Study characteristics were synthesized using descriptive statistics and supplemented by a narrative summary. Only the most adjusted models in the main population for each study was considered in this review. This approach was necessary as several studies reported numerous estimates across varying adjustments, different combinations of CGM-derived metrics and CVD outcomes, and/or distinct subgroup stratifications. Given the large volume of literature, studies investigating clinical cardiovascular outcomes were prioritized in the main synthesis. While subclinical markers offer valuable insight into early vascular changes and disease progression, clinical outcomes are more directly relevant to cardiovascular risk prediction and clinical decision-making. The main synthesis of clinical outcomes included both effect estimates and measures of statistical significance whereas the supplementary synthesis on subclinical CVD focused primarily on creating an overview of the chosen CGM-derived metrics and the statistical significance of reported associations. All evaluation metrics mentioned in the studies doing prediction analyses were reported based on what the studies reported.</w:t>
      </w:r>
    </w:p>
    <w:bookmarkEnd w:id="56"/>
    <w:bookmarkEnd w:id="57"/>
    <w:bookmarkStart w:id="65" w:name="study-populations"/>
    <w:p>
      <w:pPr>
        <w:pStyle w:val="Heading2"/>
      </w:pPr>
      <w:r>
        <w:t xml:space="preserve">3.3 Study Populations</w:t>
      </w:r>
    </w:p>
    <w:p>
      <w:pPr>
        <w:pStyle w:val="FirstParagraph"/>
      </w:pPr>
      <w:r>
        <w:t xml:space="preserve">Two datasets were used in this PhD (Study II and study III) which are presented in the following sections</w:t>
      </w:r>
    </w:p>
    <w:bookmarkStart w:id="63" w:name="cancan"/>
    <w:p>
      <w:pPr>
        <w:pStyle w:val="Heading3"/>
      </w:pPr>
      <w:r>
        <w:t xml:space="preserve">CANCAN</w:t>
      </w:r>
    </w:p>
    <w:p>
      <w:pPr>
        <w:pStyle w:val="FirstParagraph"/>
      </w:pPr>
      <w:r>
        <w:t xml:space="preserve">The CANCAN dataset was collected in an observational case-control study from three hospital outpatient clinics (Denmark). The aim of the CANCAN Study was to investigate if cardiac autonomic neuropathy (CAN) assessments, CGM and heart failure indicators could be used in risk stratification in people with T2D. Participants were included if they were adults (&lt; 18 years old) and had T2D for at least a year. Exclusion criteria were atrial fibrillation or laser-treated eye disease within the past three months, were pregnant or lactating, had a life-threatening disease (expected survival &lt; 1 year), or had cognitive disabilities rendering them unable to understand and give consent. Data were collected during a clinical examination, during which blood and urine samples were obtained, and a blinded CGM sensor was inserted. Blood samples to obtain NT-proBNP values were collected when the CGM sensors were returned, after the 2-week CGM data collection period had ended (</w:t>
      </w:r>
      <w:hyperlink w:anchor="fig-cancan-timeline">
        <w:r>
          <w:rPr>
            <w:rStyle w:val="Hyperlink"/>
          </w:rPr>
          <w:t xml:space="preserve">Figure 3.1</w:t>
        </w:r>
      </w:hyperlink>
      <w:r>
        <w:t xml:space="preserve">). In total, 159 participants were incluceded since the rest were missing age, sex, HbA1c, BMI, NT-proBNP, HDL, total cholesterol, or eGFR and these values were needed for the analyses in Study II.</w:t>
      </w:r>
    </w:p>
    <w:tbl>
      <w:tblPr>
        <w:tblStyle w:val="Table"/>
        <w:tblW w:type="pct" w:w="5000"/>
        <w:tblLayout w:type="fixed"/>
        <w:tblLook w:firstRow="0" w:lastRow="0" w:firstColumn="0" w:lastColumn="0" w:noHBand="0" w:noVBand="0" w:val="0000"/>
      </w:tblPr>
      <w:tblGrid>
        <w:gridCol w:w="7920"/>
      </w:tblGrid>
      <w:tr>
        <w:tc>
          <w:tcPr/>
          <w:bookmarkStart w:id="62" w:name="fig-cancan-timeline"/>
          <w:p>
            <w:pPr>
              <w:pStyle w:val="Compact"/>
              <w:jc w:val="center"/>
            </w:pPr>
            <w:hyperlink r:id="rId61">
              <w:r>
                <w:drawing>
                  <wp:inline>
                    <wp:extent cx="4119377" cy="3350426"/>
                    <wp:effectExtent b="0" l="0" r="0" t="0"/>
                    <wp:docPr descr="" title="" id="59" name="Picture"/>
                    <a:graphic>
                      <a:graphicData uri="http://schemas.openxmlformats.org/drawingml/2006/picture">
                        <pic:pic>
                          <pic:nvPicPr>
                            <pic:cNvPr descr="figures/3_methods_fig/cancan_timeline.png" id="60" name="Picture"/>
                            <pic:cNvPicPr>
                              <a:picLocks noChangeArrowheads="1" noChangeAspect="1"/>
                            </pic:cNvPicPr>
                          </pic:nvPicPr>
                          <pic:blipFill>
                            <a:blip r:embed="rId58"/>
                            <a:stretch>
                              <a:fillRect/>
                            </a:stretch>
                          </pic:blipFill>
                          <pic:spPr bwMode="auto">
                            <a:xfrm>
                              <a:off x="0" y="0"/>
                              <a:ext cx="4119377" cy="3350426"/>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 Data collection timeline for the CANCAN Study</w:t>
            </w:r>
          </w:p>
          <w:bookmarkEnd w:id="62"/>
        </w:tc>
      </w:tr>
    </w:tbl>
    <w:bookmarkEnd w:id="63"/>
    <w:bookmarkStart w:id="64" w:name="t1dx"/>
    <w:p>
      <w:pPr>
        <w:pStyle w:val="Heading3"/>
      </w:pPr>
      <w:r>
        <w:t xml:space="preserve">T1DX</w:t>
      </w:r>
    </w:p>
    <w:p>
      <w:pPr>
        <w:pStyle w:val="FirstParagraph"/>
      </w:pPr>
      <w:r>
        <w:t xml:space="preserve">The publicly available T1D Exchange (T1DX) dataset, distributed by the JAEB Center for Health Research under the protocol “Racial Differences in Mean CGM Glucose in Relation to HbA1c, was collected in 10 diabetes centers (US).</w:t>
      </w:r>
      <w:r>
        <w:rPr>
          <w:vertAlign w:val="superscript"/>
        </w:rPr>
        <w:t xml:space="preserve">33</w:t>
      </w:r>
      <w:r>
        <w:t xml:space="preserve"> </w:t>
      </w:r>
      <w:r>
        <w:t xml:space="preserve">The data was collected to determine if there is a racial difference in the association between mean glucose and glycated hemoglobin (HbA1c) between non-Hispanic African Americans or black (Black) and non-Hispanic white (White) people with T1D. In the T1DX study ethnicity and race was defined through self-identified and self-reported ethnicity/race verification forms where ethnicity was defined as Hispanic or Latino as:</w:t>
      </w:r>
      <w:r>
        <w:t xml:space="preserve"> </w:t>
      </w:r>
      <w:r>
        <w:rPr>
          <w:i/>
          <w:iCs/>
        </w:rPr>
        <w:t xml:space="preserve">“a person of Cuban, Mexican, Puerto Rican, South or Central American, or other Spanish culture or origin, regardless of race. The term “Spanish origin” could be used in addition to “Hispanic” or “Latino”“</w:t>
      </w:r>
      <w:r>
        <w:t xml:space="preserve">.</w:t>
      </w:r>
      <w:r>
        <w:rPr>
          <w:vertAlign w:val="superscript"/>
        </w:rPr>
        <w:t xml:space="preserve">34</w:t>
      </w:r>
      <w:r>
        <w:t xml:space="preserve"> </w:t>
      </w:r>
      <w:r>
        <w:t xml:space="preserve">For race a participant defined as White was</w:t>
      </w:r>
      <w:r>
        <w:t xml:space="preserve"> </w:t>
      </w:r>
      <w:r>
        <w:rPr>
          <w:i/>
          <w:iCs/>
        </w:rPr>
        <w:t xml:space="preserve">“a person having origins in any of the original peoples of Europe, the Middle East or North Africa.” and Black or African American as “a person having origins in any of the Black racial groups of Africa. Terms such as “Haitian” or “Negro” can be used in addition to “Black” or “African American””</w:t>
      </w:r>
      <w:r>
        <w:t xml:space="preserve">.</w:t>
      </w:r>
      <w:r>
        <w:rPr>
          <w:vertAlign w:val="superscript"/>
        </w:rPr>
        <w:t xml:space="preserve">34</w:t>
      </w:r>
      <w:r>
        <w:t xml:space="preserve"> </w:t>
      </w:r>
      <w:r>
        <w:t xml:space="preserve">In this thesis, the term race will be used moving forward, as it aligns with the terminology used by Bergenstal et al.</w:t>
      </w:r>
      <w:r>
        <w:rPr>
          <w:vertAlign w:val="superscript"/>
        </w:rPr>
        <w:t xml:space="preserve">34</w:t>
      </w:r>
      <w:r>
        <w:t xml:space="preserve">, it is, however, acknowledge that it is inherently difficult to define race.</w:t>
      </w:r>
      <w:r>
        <w:rPr>
          <w:vertAlign w:val="superscript"/>
        </w:rPr>
        <w:t xml:space="preserve">35</w:t>
      </w:r>
      <w:r>
        <w:t xml:space="preserve"> </w:t>
      </w:r>
      <w:r>
        <w:t xml:space="preserve">The T1DX study adhered to the tenets of the Declaration of Helsinki and was approved by the local institutional review boards and 205 people completed the study by providing written informed consent and assent when applicable.</w:t>
      </w:r>
      <w:r>
        <w:rPr>
          <w:vertAlign w:val="superscript"/>
        </w:rPr>
        <w:t xml:space="preserve">34</w:t>
      </w:r>
      <w:r>
        <w:t xml:space="preserve"> </w:t>
      </w:r>
      <w:r>
        <w:t xml:space="preserve">All 205 participants were included in further analyses. Of the 205 participants, 101 were White and 104 were Black. For each race, two age groups were sampled 8 to &lt;18 years old and &gt;18. Each participant wore a blinded modified investigational version of Abbott Diabetes Care’s Flash Glucose Monitoring System (CGM) as continuously as possible for 12 weeks. CGM data was sampled every 15 minutes in a range between 2.21 - 27.65 mmol/L (40 and 498 mg/dL). Blood samples were taken for measurement at enrollment, at some of the follow-up visits, and at the end of enrollment.</w:t>
      </w:r>
      <w:r>
        <w:t xml:space="preserve"> </w:t>
      </w:r>
    </w:p>
    <w:bookmarkEnd w:id="64"/>
    <w:bookmarkEnd w:id="65"/>
    <w:bookmarkStart w:id="83" w:name="X2eb1b3f1a56fe1a9eef0165a876a83f54231662"/>
    <w:p>
      <w:pPr>
        <w:pStyle w:val="Heading2"/>
      </w:pPr>
      <w:r>
        <w:t xml:space="preserve">3.4 Study II: Foundation Models and Predictive Utility of CGM data</w:t>
      </w:r>
    </w:p>
    <w:p>
      <w:pPr>
        <w:pStyle w:val="FirstParagraph"/>
      </w:pPr>
      <w:r>
        <w:t xml:space="preserve">The second study was focused on investigating the knowledge and predictive utility of CGM data, both extracting a novel CGM-derived metric and the classical known ones found in study I.</w:t>
      </w:r>
      <w:r>
        <w:rPr>
          <w:vertAlign w:val="superscript"/>
        </w:rPr>
        <w:t xml:space="preserve">17</w:t>
      </w:r>
    </w:p>
    <w:bookmarkStart w:id="66" w:name="study-ii-data-and-participant-selection"/>
    <w:p>
      <w:pPr>
        <w:pStyle w:val="Heading3"/>
      </w:pPr>
      <w:r>
        <w:t xml:space="preserve">Study II: Data and Participant Selection</w:t>
      </w:r>
    </w:p>
    <w:p>
      <w:pPr>
        <w:pStyle w:val="FirstParagraph"/>
      </w:pPr>
      <w:r>
        <w:t xml:space="preserve">Both the CANCAN and the T1DX dataset was used for Study II.</w:t>
      </w:r>
      <w:r>
        <w:t xml:space="preserve"> </w:t>
      </w:r>
      <w:r>
        <w:t xml:space="preserve">Participants with missing age, sex, HbA1c or BMI were removed for both cohorts and additional CANCAN participants with missing NT-proBNP, HDL, total cholesterol, and eGFR were also removed, since it was wished to calculate the SCORE2-Diabetes risk score.</w:t>
      </w:r>
      <w:r>
        <w:t xml:space="preserve"> </w:t>
      </w:r>
      <w:r>
        <w:t xml:space="preserve">T1DX participants with missing race data were also removed.</w:t>
      </w:r>
      <w:r>
        <w:t xml:space="preserve"> </w:t>
      </w:r>
      <w:r>
        <w:t xml:space="preserve">Days with less than 70% of CGM data were removed as well as participants with less than one day of data from both datasets to ensure sufficient data for the analyses.</w:t>
      </w:r>
      <w:r>
        <w:t xml:space="preserve"> </w:t>
      </w:r>
      <w:r>
        <w:t xml:space="preserve">The final number of participants included in Study II was 159 from the CANCAN dataset and 205 from the T1DX dataset.</w:t>
      </w:r>
    </w:p>
    <w:bookmarkEnd w:id="66"/>
    <w:bookmarkStart w:id="82" w:name="embeddings"/>
    <w:p>
      <w:pPr>
        <w:pStyle w:val="Heading3"/>
      </w:pPr>
      <w:r>
        <w:t xml:space="preserve">Embeddings</w:t>
      </w:r>
    </w:p>
    <w:p>
      <w:pPr>
        <w:pStyle w:val="FirstParagraph"/>
      </w:pPr>
      <w:r>
        <w:t xml:space="preserve">Two promising CGM specific foundation models exist, both published within the last year.</w:t>
      </w:r>
      <w:r>
        <w:rPr>
          <w:vertAlign w:val="superscript"/>
        </w:rPr>
        <w:t xml:space="preserve">36</w:t>
      </w:r>
      <w:r>
        <w:t xml:space="preserve"> </w:t>
      </w:r>
      <w:r>
        <w:t xml:space="preserve">Of the two foundation models, only one model is fully open access, the CGMformer.</w:t>
      </w:r>
      <w:r>
        <w:rPr>
          <w:vertAlign w:val="superscript"/>
        </w:rPr>
        <w:t xml:space="preserve">13</w:t>
      </w:r>
      <w:r>
        <w:t xml:space="preserve"> </w:t>
      </w:r>
      <w:r>
        <w:t xml:space="preserve">The CGMformer was therefore chosen and the data was organized in 24-hour long-format input to match the input requirements of the CGMformer.</w:t>
      </w:r>
      <w:r>
        <w:t xml:space="preserve"> </w:t>
      </w:r>
      <w:r>
        <w:t xml:space="preserve">The output of the foundation model is an embedding, which is a numerical vector that summarizes the characteristics of the input glucose profile.</w:t>
      </w:r>
      <w:r>
        <w:t xml:space="preserve"> </w:t>
      </w:r>
      <w:r>
        <w:t xml:space="preserve">A simple vector can be drawn as an arrow in a 2-dimensional space as shown in</w:t>
      </w:r>
      <w:r>
        <w:t xml:space="preserve"> </w:t>
      </w:r>
      <w:hyperlink w:anchor="fig-cancan-embedding">
        <w:r>
          <w:rPr>
            <w:rStyle w:val="Hyperlink"/>
          </w:rPr>
          <w:t xml:space="preserve">Figure 3.2</w:t>
        </w:r>
      </w:hyperlink>
      <w:r>
        <w:t xml:space="preserve">, however the CGMformer gives a 128-dimensional embedding vector for each 24-hour CGM data input which is not possible to visualize.</w:t>
      </w:r>
      <w:r>
        <w:t xml:space="preserve"> </w:t>
      </w:r>
      <w:r>
        <w:t xml:space="preserve">Uniform Manifold Approximation and Projection (UMAP) algorithm was used to reduce the dimensionality of the embeddings to two dimensions for visualization purposes and to compare with current literature.</w:t>
      </w:r>
      <w:r>
        <w:rPr>
          <w:vertAlign w:val="superscript"/>
        </w:rPr>
        <w:t xml:space="preserve">13,36,37</w:t>
      </w:r>
      <w:r>
        <w:t xml:space="preserve">. The UMAPs were colored by TIR, and MAGE to investigate if the embeddings were able to capture relevant information about glycemic patterns. History of CVD and elevated NT-proBNPfor the CANCAN embeddings were also used to color the UMAPs to investigate if the embeddings were able to capture relevant information about cardiovascular risk and race was used to color the T1DX embeddings to investigate if the embeddings were able to capture relevant information about racial differences in glycemic patterns.</w:t>
      </w:r>
    </w:p>
    <w:tbl>
      <w:tblPr>
        <w:tblStyle w:val="Table"/>
        <w:tblW w:type="pct" w:w="5000"/>
        <w:tblLayout w:type="fixed"/>
        <w:tblLook w:firstRow="0" w:lastRow="0" w:firstColumn="0" w:lastColumn="0" w:noHBand="0" w:noVBand="0" w:val="0000"/>
      </w:tblPr>
      <w:tblGrid>
        <w:gridCol w:w="7920"/>
      </w:tblGrid>
      <w:tr>
        <w:tc>
          <w:tcPr/>
          <w:bookmarkStart w:id="71" w:name="fig-cancan-embedding"/>
          <w:p>
            <w:pPr>
              <w:pStyle w:val="Compact"/>
              <w:jc w:val="center"/>
            </w:pPr>
            <w:hyperlink r:id="rId70">
              <w:r>
                <w:drawing>
                  <wp:inline>
                    <wp:extent cx="1760048" cy="1760048"/>
                    <wp:effectExtent b="0" l="0" r="0" t="0"/>
                    <wp:docPr descr="" title="" id="68" name="Picture"/>
                    <a:graphic>
                      <a:graphicData uri="http://schemas.openxmlformats.org/drawingml/2006/picture">
                        <pic:pic>
                          <pic:nvPicPr>
                            <pic:cNvPr descr="figures/3_methods_fig/study2_embedding.png" id="69" name="Picture"/>
                            <pic:cNvPicPr>
                              <a:picLocks noChangeArrowheads="1" noChangeAspect="1"/>
                            </pic:cNvPicPr>
                          </pic:nvPicPr>
                          <pic:blipFill>
                            <a:blip r:embed="rId67"/>
                            <a:stretch>
                              <a:fillRect/>
                            </a:stretch>
                          </pic:blipFill>
                          <pic:spPr bwMode="auto">
                            <a:xfrm>
                              <a:off x="0" y="0"/>
                              <a:ext cx="1760048" cy="176004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3.2: Embeddings shown as 2-dimensional vectors with the angle</w:t>
            </w:r>
            <w:r>
              <w:t xml:space="preserve"> </w:t>
            </w:r>
            <m:oMath>
              <m:r>
                <m:t>θ</m:t>
              </m:r>
            </m:oMath>
            <w:r>
              <w:t xml:space="preserve"> </w:t>
            </w:r>
            <w:r>
              <w:t xml:space="preserve">between the two embeddings.</w:t>
            </w:r>
          </w:p>
          <w:bookmarkEnd w:id="71"/>
        </w:tc>
      </w:tr>
    </w:tbl>
    <w:p>
      <w:pPr>
        <w:pStyle w:val="BodyText"/>
      </w:pPr>
      <w:r>
        <w:t xml:space="preserve">Because embeddings are numerical vectors, they can be compared to quantify the similarity between glucose profiles. Cosine similarity was used because it measures the angle between two embedding vectors independent of their magnitude (the length of the vectors).</w:t>
      </w:r>
      <w:r>
        <w:t xml:space="preserve"> </w:t>
      </w:r>
      <w:r>
        <w:t xml:space="preserve">The cosine similarity is calculated by measuring the cosine angle between two vectors as shown by</w:t>
      </w:r>
      <w:r>
        <w:t xml:space="preserve"> </w:t>
      </w:r>
      <m:oMath>
        <m:r>
          <m:t>θ</m:t>
        </m:r>
      </m:oMath>
      <w:r>
        <w:t xml:space="preserve"> </w:t>
      </w:r>
      <w:r>
        <w:t xml:space="preserve">in</w:t>
      </w:r>
      <w:r>
        <w:t xml:space="preserve"> </w:t>
      </w:r>
      <w:hyperlink w:anchor="fig-cancan-embedding">
        <w:r>
          <w:rPr>
            <w:rStyle w:val="Hyperlink"/>
          </w:rPr>
          <w:t xml:space="preserve">Figure 3.2</w:t>
        </w:r>
      </w:hyperlink>
      <w:r>
        <w:t xml:space="preserve">. The cosine similarity is a number between -1 and 1, where 1 means the two vectors are identical, 0 means they are unrelated, and -1 means that they are pointing in opposite directions(</w:t>
      </w:r>
      <w:hyperlink w:anchor="fig-cancan-co_sim_emb">
        <w:r>
          <w:rPr>
            <w:rStyle w:val="Hyperlink"/>
          </w:rPr>
          <w:t xml:space="preserve">Figure 3.3</w:t>
        </w:r>
      </w:hyperlink>
      <w:r>
        <w:t xml:space="preserve">). For the analyses in this study, cosine distance (1 − cosine similarity) was used because it expresses similarity as a distance measure, allowing embeddings with similar orientations to have small distances and facilitating downstream analyses and visualizations. The cosine distances range from 0 to 2 where 0 means the two vectors are identical, 1 means they are unrelated, and 2 means that they are pointing in opposite directions.</w:t>
      </w:r>
    </w:p>
    <w:tbl>
      <w:tblPr>
        <w:tblStyle w:val="Table"/>
        <w:tblW w:type="pct" w:w="5000"/>
        <w:tblLayout w:type="fixed"/>
        <w:tblLook w:firstRow="0" w:lastRow="0" w:firstColumn="0" w:lastColumn="0" w:noHBand="0" w:noVBand="0" w:val="0000"/>
      </w:tblPr>
      <w:tblGrid>
        <w:gridCol w:w="7920"/>
      </w:tblGrid>
      <w:tr>
        <w:tc>
          <w:tcPr/>
          <w:bookmarkStart w:id="76" w:name="fig-cancan-co_sim_emb"/>
          <w:p>
            <w:pPr>
              <w:pStyle w:val="Compact"/>
              <w:jc w:val="center"/>
            </w:pPr>
            <w:hyperlink r:id="rId75">
              <w:r>
                <w:drawing>
                  <wp:inline>
                    <wp:extent cx="5334000" cy="2260979"/>
                    <wp:effectExtent b="0" l="0" r="0" t="0"/>
                    <wp:docPr descr="" title="" id="73" name="Picture"/>
                    <a:graphic>
                      <a:graphicData uri="http://schemas.openxmlformats.org/drawingml/2006/picture">
                        <pic:pic>
                          <pic:nvPicPr>
                            <pic:cNvPr descr="figures/3_methods_fig/study2_co_sim_emb.png" id="74" name="Picture"/>
                            <pic:cNvPicPr>
                              <a:picLocks noChangeArrowheads="1" noChangeAspect="1"/>
                            </pic:cNvPicPr>
                          </pic:nvPicPr>
                          <pic:blipFill>
                            <a:blip r:embed="rId72"/>
                            <a:stretch>
                              <a:fillRect/>
                            </a:stretch>
                          </pic:blipFill>
                          <pic:spPr bwMode="auto">
                            <a:xfrm>
                              <a:off x="0" y="0"/>
                              <a:ext cx="5334000" cy="2260979"/>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3.3: Embeddings shown with different cosine similarities. The cosine similarity is calculated as the cosine of the angle (</w:t>
            </w:r>
            <m:oMath>
              <m:r>
                <m:t>θ</m:t>
              </m:r>
            </m:oMath>
            <w:r>
              <w:t xml:space="preserve">) between two embeddings.</w:t>
            </w:r>
          </w:p>
          <w:bookmarkEnd w:id="76"/>
        </w:tc>
      </w:tr>
    </w:tbl>
    <w:p>
      <w:pPr>
        <w:pStyle w:val="BodyText"/>
      </w:pPr>
      <w:r>
        <w:t xml:space="preserve">Kernel density plots were used to visualize the distribution of cosine distances within specific clinical strata and across differing participants (</w:t>
      </w:r>
      <w:hyperlink w:anchor="fig-cancan-clin_strata">
        <w:r>
          <w:rPr>
            <w:rStyle w:val="Hyperlink"/>
          </w:rPr>
          <w:t xml:space="preserve">Figure 3.4</w:t>
        </w:r>
      </w:hyperlink>
      <w:r>
        <w:t xml:space="preserve">).</w:t>
      </w:r>
      <w:r>
        <w:t xml:space="preserve"> </w:t>
      </w:r>
      <w:r>
        <w:t xml:space="preserve">Groupings were made based on days from the same participant, days from different participants with the same clinical strata, and days from different participants with different clinical strata. The main focus was on TIR and HbA1c were the thresholds were as followed: TIR ≥ 70% (70–180 mg/dL, 3.9–10.0 mmol/L) and HbA1c &lt;7.0 % (&lt; 53 mmol/mol).</w:t>
      </w:r>
      <w:r>
        <w:t xml:space="preserve"> </w:t>
      </w:r>
      <w:r>
        <w:t xml:space="preserve">Other UMAPS coloring and groupings were also explored including race, MAGE, previous history of CVD, NT-proBNP, and SCORE2-Diabetes scores.</w:t>
      </w:r>
    </w:p>
    <w:tbl>
      <w:tblPr>
        <w:tblStyle w:val="Table"/>
        <w:tblW w:type="pct" w:w="5000"/>
        <w:tblLayout w:type="fixed"/>
        <w:tblLook w:firstRow="0" w:lastRow="0" w:firstColumn="0" w:lastColumn="0" w:noHBand="0" w:noVBand="0" w:val="0000"/>
      </w:tblPr>
      <w:tblGrid>
        <w:gridCol w:w="7920"/>
      </w:tblGrid>
      <w:tr>
        <w:tc>
          <w:tcPr/>
          <w:bookmarkStart w:id="81" w:name="fig-cancan-clin_strata"/>
          <w:p>
            <w:pPr>
              <w:pStyle w:val="Compact"/>
              <w:jc w:val="center"/>
            </w:pPr>
            <w:hyperlink r:id="rId80">
              <w:r>
                <w:drawing>
                  <wp:inline>
                    <wp:extent cx="5334000" cy="4422285"/>
                    <wp:effectExtent b="0" l="0" r="0" t="0"/>
                    <wp:docPr descr="" title="" id="78" name="Picture"/>
                    <a:graphic>
                      <a:graphicData uri="http://schemas.openxmlformats.org/drawingml/2006/picture">
                        <pic:pic>
                          <pic:nvPicPr>
                            <pic:cNvPr descr="figures/3_methods_fig/study2_clin_strata.png" id="79" name="Picture"/>
                            <pic:cNvPicPr>
                              <a:picLocks noChangeArrowheads="1" noChangeAspect="1"/>
                            </pic:cNvPicPr>
                          </pic:nvPicPr>
                          <pic:blipFill>
                            <a:blip r:embed="rId77"/>
                            <a:stretch>
                              <a:fillRect/>
                            </a:stretch>
                          </pic:blipFill>
                          <pic:spPr bwMode="auto">
                            <a:xfrm>
                              <a:off x="0" y="0"/>
                              <a:ext cx="5334000" cy="4422285"/>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3.4: The sex strata is used as an example to illustrate the cosine distance analysis of the within and between cosine distance pairs</w:t>
            </w:r>
          </w:p>
          <w:bookmarkEnd w:id="81"/>
        </w:tc>
      </w:tr>
    </w:tbl>
    <w:bookmarkEnd w:id="82"/>
    <w:bookmarkEnd w:id="83"/>
    <w:bookmarkStart w:id="89" w:name="study-ii-cardiovascular-risk-assessment"/>
    <w:p>
      <w:pPr>
        <w:pStyle w:val="Heading2"/>
      </w:pPr>
      <w:r>
        <w:t xml:space="preserve">3.5 Study II: Cardiovascular Risk Assessment</w:t>
      </w:r>
    </w:p>
    <w:p>
      <w:pPr>
        <w:pStyle w:val="FirstParagraph"/>
      </w:pPr>
      <w:r>
        <w:t xml:space="preserve">The following section is about cardiovascular risk assessment evaluated predicting NT-proBNP as a binary outcome using a &gt;125 pg/mL threshold.</w:t>
      </w:r>
      <w:r>
        <w:rPr>
          <w:b/>
          <w:bCs/>
          <w:vertAlign w:val="superscript"/>
        </w:rPr>
        <w:t xml:space="preserve">source?</w:t>
      </w:r>
      <w:r>
        <w:t xml:space="preserve"> </w:t>
      </w:r>
      <w:r>
        <w:t xml:space="preserve">The CANCAN dataset was the only dataset used for this CVD risk assessment.</w:t>
      </w:r>
      <w:r>
        <w:t xml:space="preserve"> </w:t>
      </w:r>
      <w:r>
        <w:t xml:space="preserve">The focus was to test the predictive power of CGM data both as represented as embeddings and as well-established CGM-derived metrics. Some models also included clinical predictors to compare up against baseline models.</w:t>
      </w:r>
      <w:r>
        <w:rPr>
          <w:b/>
          <w:bCs/>
          <w:vertAlign w:val="superscript"/>
        </w:rPr>
        <w:t xml:space="preserve">source_kovatchev?orAnotherSourceOnMAGE?</w:t>
      </w:r>
      <w:r>
        <w:t xml:space="preserve"> </w:t>
      </w:r>
      <w:r>
        <w:t xml:space="preserve">Prediction models integrated clinical, standard CGM-derived, and learned representations.</w:t>
      </w:r>
    </w:p>
    <w:bookmarkStart w:id="84" w:name="nt-probnp---the-target"/>
    <w:p>
      <w:pPr>
        <w:pStyle w:val="Heading3"/>
      </w:pPr>
      <w:r>
        <w:t xml:space="preserve">NT-proBNP - The target</w:t>
      </w:r>
    </w:p>
    <w:p>
      <w:pPr>
        <w:pStyle w:val="Compact"/>
        <w:numPr>
          <w:ilvl w:val="0"/>
          <w:numId w:val="1014"/>
        </w:numPr>
      </w:pPr>
      <w:r>
        <w:t xml:space="preserve">What is NT-proBNP (scale, unit and connection with heart failure)</w:t>
      </w:r>
    </w:p>
    <w:bookmarkEnd w:id="84"/>
    <w:bookmarkStart w:id="85" w:name="predictors"/>
    <w:p>
      <w:pPr>
        <w:pStyle w:val="Heading3"/>
      </w:pPr>
      <w:r>
        <w:t xml:space="preserve">Predictors</w:t>
      </w:r>
    </w:p>
    <w:p>
      <w:pPr>
        <w:pStyle w:val="Compact"/>
        <w:numPr>
          <w:ilvl w:val="0"/>
          <w:numId w:val="1015"/>
        </w:numPr>
      </w:pPr>
      <w:r>
        <w:t xml:space="preserve">What is the SCORE2-diabetes and why was it chosen? (The Outcome + european dataset</w:t>
      </w:r>
      <w:r>
        <w:t xml:space="preserve"> </w:t>
      </w:r>
      <w:r>
        <w:t xml:space="preserve">)</w:t>
      </w:r>
      <w:r>
        <w:t xml:space="preserve"> </w:t>
      </w:r>
      <w:r>
        <w:t xml:space="preserve">Inspiration was drawn from the SCORE2-Diabetes risk score, which is a 10-year CVD risk score for european people with diabetes. It was decided to use the input predictors of the SCORE2-Diabetes risk score as the clinical set of predictors used in this study.</w:t>
      </w:r>
      <w:r>
        <w:rPr>
          <w:b/>
          <w:bCs/>
          <w:vertAlign w:val="superscript"/>
        </w:rPr>
        <w:t xml:space="preserve">source?</w:t>
      </w:r>
      <w:r>
        <w:t xml:space="preserve"> </w:t>
      </w:r>
      <w:r>
        <w:t xml:space="preserve">This resulted in set of clinical predictors including age, sex, smoking status, systolic blood pressure, total cholesterol, and HbA1c.</w:t>
      </w:r>
      <w:r>
        <w:rPr>
          <w:b/>
          <w:bCs/>
          <w:vertAlign w:val="superscript"/>
        </w:rPr>
        <w:t xml:space="preserve">source?</w:t>
      </w:r>
      <w:r>
        <w:t xml:space="preserve"> </w:t>
      </w:r>
      <w:r>
        <w:t xml:space="preserve">Initial testing quickly showed that the numbers of predictors had to be limited and the SCORE2-Diabetes risk score was chosen as another way to represent the clinical predictor set while keeping the number of predictors down.</w:t>
      </w:r>
      <w:r>
        <w:t xml:space="preserve"> </w:t>
      </w:r>
      <w:r>
        <w:t xml:space="preserve">Additionally age was tested as a predictor on its own to see if it was a strong predictor of elevated NT-proBNP, since NT-proBNP is known to increase with age.</w:t>
      </w:r>
      <w:r>
        <w:rPr>
          <w:vertAlign w:val="superscript"/>
        </w:rPr>
        <w:t xml:space="preserve">38</w:t>
      </w:r>
      <w:r>
        <w:t xml:space="preserve"> </w:t>
      </w:r>
      <w:r>
        <w:t xml:space="preserve">Time in range (TIR) and mean amplitude of glycemic excursions (MAGE) were chosen as they were the CGM-derived metrics most commonly used in the literature based on the findings from Study I.</w:t>
      </w:r>
      <w:r>
        <w:rPr>
          <w:vertAlign w:val="superscript"/>
        </w:rPr>
        <w:t xml:space="preserve">17</w:t>
      </w:r>
      <w:r>
        <w:t xml:space="preserve"> </w:t>
      </w:r>
      <w:r>
        <w:t xml:space="preserve">All CGM-derived metrics in this thesis were calculated using the IGLU package</w:t>
      </w:r>
      <w:r>
        <w:rPr>
          <w:b/>
          <w:bCs/>
          <w:vertAlign w:val="superscript"/>
        </w:rPr>
        <w:t xml:space="preserve">source?</w:t>
      </w:r>
      <w:r>
        <w:t xml:space="preserve"> </w:t>
      </w:r>
      <w:r>
        <w:t xml:space="preserve">in R with default settings. TIR was calculated as the percentage of time spent in the range of 3.9–10.0 mmol/L (70–180 mg/dL).</w:t>
      </w:r>
      <w:r>
        <w:rPr>
          <w:vertAlign w:val="superscript"/>
        </w:rPr>
        <w:t xml:space="preserve">11</w:t>
      </w:r>
      <w:r>
        <w:t xml:space="preserve"> </w:t>
      </w:r>
      <w:r>
        <w:t xml:space="preserve">MAGE was calculated as the mean amplitude of glucose excursions, where the included excursions were consecutive peak-to-nadir (or nadir-to-peak) glucose differences exceeding one standard deviation of the individual’s glucose measurementsDoes . The iglu implementation computationally reproduces the original manual procedure proposed by Service et al.</w:t>
      </w:r>
      <w:r>
        <w:rPr>
          <w:vertAlign w:val="superscript"/>
        </w:rPr>
        <w:t xml:space="preserve">39</w:t>
      </w:r>
      <w:r>
        <w:t xml:space="preserve"> </w:t>
      </w:r>
      <w:r>
        <w:t xml:space="preserve">To aggregate multiple days into a single observation per participant, daily CGMformer representations were minimum-, maximum-, and mean-pooled, and reduced to two dimensions via UMAP. Maximum pooling was considered the default based on previous work.</w:t>
      </w:r>
      <w:r>
        <w:rPr>
          <w:vertAlign w:val="superscript"/>
        </w:rPr>
        <w:t xml:space="preserve">36</w:t>
      </w:r>
      <w:r>
        <w:t xml:space="preserve"> </w:t>
      </w:r>
      <w:r>
        <w:t xml:space="preserve">The CGMformer generated one 128-dimensional embedding for each 24-hour CGM recording. Because NT-proBNP was measured at the participant level, a single embedding was required for each participant. Therefore, embeddings from multiple recording days were aggregated using pooling to obtain one participant-level embedding. Both minimum, maximum, and mean pooling were explored to determine the most effective aggregation method.</w:t>
      </w:r>
      <w:r>
        <w:t xml:space="preserve"> </w:t>
      </w:r>
      <w:r>
        <w:t xml:space="preserve">The resulting 128-dimensional embeddings were subsequently reduced to two dimensions using UMAP, thereby enabling their use in the prediction models while keeping the number of predictors down to a minimum.</w:t>
      </w:r>
    </w:p>
    <w:bookmarkEnd w:id="85"/>
    <w:bookmarkStart w:id="86" w:name="model-development-and-evaluation"/>
    <w:p>
      <w:pPr>
        <w:pStyle w:val="Heading3"/>
      </w:pPr>
      <w:r>
        <w:t xml:space="preserve">Model development and evaluation</w:t>
      </w:r>
    </w:p>
    <w:p>
      <w:pPr>
        <w:pStyle w:val="FirstParagraph"/>
      </w:pPr>
      <w:r>
        <w:t xml:space="preserve">Prediction models were developed using logistic regression to predict elevated NT-proBNP (&gt;125 pg/mL) as a binary outcome. The models were evaluated using the area under the receiver operating characteristic curve (AUROC) as the primary metric.</w:t>
      </w:r>
      <w:r>
        <w:t xml:space="preserve"> </w:t>
      </w:r>
      <w:r>
        <w:t xml:space="preserve">Bootstrap with optimism correction was employed for internal validation because of the limited sample size and the absence of an external validation cohort. The method repeatedly sampled bootstrap samples by sampling with replacement from the original dataset. For each bootstrap sample, the prediction model is fitted and its performance is evaluated both in the bootstrap sample (apparent performance) and in the original dataset (test performance). The difference between these two performance estimates represents the optimism due to overfitting. Averaging the optimism across all bootstrap samples and subtracting it from the apparent performance of the model fitted to the full dataset yields an optimism-corrected estimate of model performance. Internal validation was performed using 500 bootstrap resamples.</w:t>
      </w:r>
      <w:r>
        <w:rPr>
          <w:vertAlign w:val="superscript"/>
        </w:rPr>
        <w:t xml:space="preserve">40,41</w:t>
      </w:r>
      <w:r>
        <w:t xml:space="preserve"> </w:t>
      </w:r>
      <w:r>
        <w:t xml:space="preserve">Risk distribution plots were reported for each model across all bootstrap samples.</w:t>
      </w:r>
      <w:r>
        <w:rPr>
          <w:vertAlign w:val="superscript"/>
        </w:rPr>
        <w:t xml:space="preserve">41,42</w:t>
      </w:r>
    </w:p>
    <w:bookmarkEnd w:id="86"/>
    <w:bookmarkStart w:id="88" w:name="prediction-scheme-overview"/>
    <w:p>
      <w:pPr>
        <w:pStyle w:val="Heading3"/>
      </w:pPr>
      <w:r>
        <w:t xml:space="preserve">Prediction scheme overview</w:t>
      </w:r>
    </w:p>
    <w:p>
      <w:pPr>
        <w:pStyle w:val="FirstParagraph"/>
      </w:pPr>
      <w:r>
        <w:t xml:space="preserve">The prediction models were structured hierarchically based on clinical variables (Model A) and the calculated SCORE2-Diabetes score (Model B) in the configurations shown in</w:t>
      </w:r>
      <w:r>
        <w:t xml:space="preserve"> </w:t>
      </w:r>
      <w:r>
        <w:rPr>
          <w:b/>
          <w:bCs/>
        </w:rPr>
        <w:t xml:space="preserve">?@tbl-models</w:t>
      </w:r>
    </w:p>
    <w:tbl>
      <w:tblPr>
        <w:tblStyle w:val="Table"/>
        <w:tblW w:type="pct" w:w="5000"/>
        <w:tblLayout w:type="fixed"/>
        <w:tblLook w:firstRow="0" w:lastRow="0" w:firstColumn="0" w:lastColumn="0" w:noHBand="0" w:noVBand="0" w:val="0000"/>
      </w:tblPr>
      <w:tblGrid>
        <w:gridCol w:w="7920"/>
      </w:tblGrid>
      <w:tr>
        <w:tc>
          <w:tcPr/>
          <w:bookmarkStart w:id="87" w:name="tbl-prediction_models"/>
          <w:p>
            <w:pPr>
              <w:jc w:val="center"/>
            </w:pPr>
            <w:pPr>
              <w:jc w:val="left"/>
              <w:spacing w:before="200"/>
              <w:pStyle w:val="ImageCaption"/>
            </w:pPr>
            <w:r>
              <w:t xml:space="preserve">Table 3.4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Model family</w:t>
                  </w:r>
                </w:p>
              </w:tc>
              <w:tc>
                <w:tcPr/>
                <w:p>
                  <w:pPr>
                    <w:pStyle w:val="Compact"/>
                    <w:jc w:val="center"/>
                    <w:jc w:val="center"/>
                  </w:pPr>
                  <w:r>
                    <w:t xml:space="preserve">Model</w:t>
                  </w:r>
                </w:p>
              </w:tc>
              <w:tc>
                <w:tcPr/>
                <w:p>
                  <w:pPr>
                    <w:pStyle w:val="Compact"/>
                    <w:jc w:val="left"/>
                    <w:jc w:val="center"/>
                  </w:pPr>
                  <w:r>
                    <w:t xml:space="preserve">Baseline predictors</w:t>
                  </w:r>
                </w:p>
              </w:tc>
              <w:tc>
                <w:tcPr/>
                <w:p>
                  <w:pPr>
                    <w:pStyle w:val="Compact"/>
                    <w:jc w:val="left"/>
                    <w:jc w:val="center"/>
                  </w:pPr>
                  <w:r>
                    <w:t xml:space="preserve">Additional predictors</w:t>
                  </w:r>
                </w:p>
              </w:tc>
            </w:tr>
            <w:tr>
              <w:tc>
                <w:tcPr/>
                <w:p>
                  <w:pPr>
                    <w:pStyle w:val="Compact"/>
                    <w:jc w:val="left"/>
                    <w:jc w:val="center"/>
                  </w:pPr>
                  <w:r>
                    <w:t xml:space="preserve">Clinical</w:t>
                  </w:r>
                </w:p>
              </w:tc>
              <w:tc>
                <w:tcPr/>
                <w:p>
                  <w:pPr>
                    <w:pStyle w:val="Compact"/>
                    <w:jc w:val="center"/>
                    <w:jc w:val="center"/>
                  </w:pPr>
                  <w:r>
                    <w:rPr>
                      <w:b/>
                      <w:bCs/>
                    </w:rPr>
                    <w:t xml:space="preserve">A0</w:t>
                  </w:r>
                </w:p>
              </w:tc>
              <w:tc>
                <w:tcPr/>
                <w:p>
                  <w:pPr>
                    <w:pStyle w:val="Compact"/>
                    <w:jc w:val="left"/>
                    <w:jc w:val="center"/>
                  </w:pPr>
                  <w:r>
                    <w:t xml:space="preserve">Age</w:t>
                  </w:r>
                </w:p>
              </w:tc>
              <w:tc>
                <w:tcPr/>
                <w:p>
                  <w:pPr>
                    <w:pStyle w:val="Compact"/>
                    <w:jc w:val="left"/>
                    <w:jc w:val="center"/>
                  </w:pPr>
                  <w:r>
                    <w:t xml:space="preserve">–</w:t>
                  </w:r>
                </w:p>
              </w:tc>
            </w:tr>
            <w:tr>
              <w:tc>
                <w:tcPr/>
                <w:p>
                  <w:pPr>
                    <w:pStyle w:val="Compact"/>
                    <w:jc w:val="left"/>
                    <w:jc w:val="center"/>
                  </w:pPr>
                  <w:r>
                    <w:t xml:space="preserve">Clinical</w:t>
                  </w:r>
                </w:p>
              </w:tc>
              <w:tc>
                <w:tcPr/>
                <w:p>
                  <w:pPr>
                    <w:pStyle w:val="Compact"/>
                    <w:jc w:val="center"/>
                    <w:jc w:val="center"/>
                  </w:pPr>
                  <w:r>
                    <w:rPr>
                      <w:b/>
                      <w:bCs/>
                    </w:rPr>
                    <w:t xml:space="preserve">A1</w:t>
                  </w:r>
                </w:p>
              </w:tc>
              <w:tc>
                <w:tcPr/>
                <w:p>
                  <w:pPr>
                    <w:pStyle w:val="Compact"/>
                    <w:jc w:val="left"/>
                    <w:jc w:val="center"/>
                  </w:pPr>
                  <w:r>
                    <w:t xml:space="preserve">Clinical variables*</w:t>
                  </w:r>
                </w:p>
              </w:tc>
              <w:tc>
                <w:tcPr/>
                <w:p>
                  <w:pPr>
                    <w:pStyle w:val="Compact"/>
                    <w:jc w:val="left"/>
                    <w:jc w:val="center"/>
                  </w:pPr>
                  <w:r>
                    <w:t xml:space="preserve">–</w:t>
                  </w:r>
                </w:p>
              </w:tc>
            </w:tr>
            <w:tr>
              <w:tc>
                <w:tcPr/>
                <w:p>
                  <w:pPr>
                    <w:pStyle w:val="Compact"/>
                    <w:jc w:val="left"/>
                    <w:jc w:val="center"/>
                  </w:pPr>
                  <w:r>
                    <w:t xml:space="preserve">Clinical</w:t>
                  </w:r>
                </w:p>
              </w:tc>
              <w:tc>
                <w:tcPr/>
                <w:p>
                  <w:pPr>
                    <w:pStyle w:val="Compact"/>
                    <w:jc w:val="center"/>
                    <w:jc w:val="center"/>
                  </w:pPr>
                  <w:r>
                    <w:rPr>
                      <w:b/>
                      <w:bCs/>
                    </w:rPr>
                    <w:t xml:space="preserve">A2</w:t>
                  </w:r>
                </w:p>
              </w:tc>
              <w:tc>
                <w:tcPr/>
                <w:p>
                  <w:pPr>
                    <w:pStyle w:val="Compact"/>
                    <w:jc w:val="left"/>
                    <w:jc w:val="center"/>
                  </w:pPr>
                  <w:r>
                    <w:t xml:space="preserve">Clinical variables*</w:t>
                  </w:r>
                </w:p>
              </w:tc>
              <w:tc>
                <w:tcPr/>
                <w:p>
                  <w:pPr>
                    <w:pStyle w:val="Compact"/>
                    <w:jc w:val="left"/>
                    <w:jc w:val="center"/>
                  </w:pPr>
                  <w:r>
                    <w:t xml:space="preserve">TIR + MAGE</w:t>
                  </w:r>
                </w:p>
              </w:tc>
            </w:tr>
            <w:tr>
              <w:tc>
                <w:tcPr/>
                <w:p>
                  <w:pPr>
                    <w:pStyle w:val="Compact"/>
                    <w:jc w:val="left"/>
                    <w:jc w:val="center"/>
                  </w:pPr>
                  <w:r>
                    <w:t xml:space="preserve">Clinical</w:t>
                  </w:r>
                </w:p>
              </w:tc>
              <w:tc>
                <w:tcPr/>
                <w:p>
                  <w:pPr>
                    <w:pStyle w:val="Compact"/>
                    <w:jc w:val="center"/>
                    <w:jc w:val="center"/>
                  </w:pPr>
                  <w:r>
                    <w:rPr>
                      <w:b/>
                      <w:bCs/>
                    </w:rPr>
                    <w:t xml:space="preserve">A3</w:t>
                  </w:r>
                </w:p>
              </w:tc>
              <w:tc>
                <w:tcPr/>
                <w:p>
                  <w:pPr>
                    <w:pStyle w:val="Compact"/>
                    <w:jc w:val="left"/>
                    <w:jc w:val="center"/>
                  </w:pPr>
                  <w:r>
                    <w:t xml:space="preserve">Clinical variables*</w:t>
                  </w:r>
                </w:p>
              </w:tc>
              <w:tc>
                <w:tcPr/>
                <w:p>
                  <w:pPr>
                    <w:pStyle w:val="Compact"/>
                    <w:jc w:val="left"/>
                    <w:jc w:val="center"/>
                  </w:pPr>
                  <w:r>
                    <w:t xml:space="preserve">UMAP dimensions</w:t>
                  </w:r>
                </w:p>
              </w:tc>
            </w:tr>
            <w:tr>
              <w:tc>
                <w:tcPr/>
                <w:p>
                  <w:pPr>
                    <w:pStyle w:val="Compact"/>
                    <w:jc w:val="left"/>
                    <w:jc w:val="center"/>
                  </w:pPr>
                  <w:r>
                    <w:t xml:space="preserve">SCORE2-Diabetes</w:t>
                  </w:r>
                </w:p>
              </w:tc>
              <w:tc>
                <w:tcPr/>
                <w:p>
                  <w:pPr>
                    <w:pStyle w:val="Compact"/>
                    <w:jc w:val="center"/>
                    <w:jc w:val="center"/>
                  </w:pPr>
                  <w:r>
                    <w:rPr>
                      <w:b/>
                      <w:bCs/>
                    </w:rPr>
                    <w:t xml:space="preserve">B1</w:t>
                  </w:r>
                </w:p>
              </w:tc>
              <w:tc>
                <w:tcPr/>
                <w:p>
                  <w:pPr>
                    <w:pStyle w:val="Compact"/>
                    <w:jc w:val="left"/>
                    <w:jc w:val="center"/>
                  </w:pPr>
                  <w:r>
                    <w:t xml:space="preserve">SCORE2-Diabetes score</w:t>
                  </w:r>
                </w:p>
              </w:tc>
              <w:tc>
                <w:tcPr/>
                <w:p>
                  <w:pPr>
                    <w:pStyle w:val="Compact"/>
                    <w:jc w:val="left"/>
                    <w:jc w:val="center"/>
                  </w:pPr>
                  <w:r>
                    <w:t xml:space="preserve">–</w:t>
                  </w:r>
                </w:p>
              </w:tc>
            </w:tr>
            <w:tr>
              <w:tc>
                <w:tcPr/>
                <w:p>
                  <w:pPr>
                    <w:pStyle w:val="Compact"/>
                    <w:jc w:val="left"/>
                    <w:jc w:val="center"/>
                  </w:pPr>
                  <w:r>
                    <w:t xml:space="preserve">SCORE2-Diabetes</w:t>
                  </w:r>
                </w:p>
              </w:tc>
              <w:tc>
                <w:tcPr/>
                <w:p>
                  <w:pPr>
                    <w:pStyle w:val="Compact"/>
                    <w:jc w:val="center"/>
                    <w:jc w:val="center"/>
                  </w:pPr>
                  <w:r>
                    <w:rPr>
                      <w:b/>
                      <w:bCs/>
                    </w:rPr>
                    <w:t xml:space="preserve">B2</w:t>
                  </w:r>
                </w:p>
              </w:tc>
              <w:tc>
                <w:tcPr/>
                <w:p>
                  <w:pPr>
                    <w:pStyle w:val="Compact"/>
                    <w:jc w:val="left"/>
                    <w:jc w:val="center"/>
                  </w:pPr>
                  <w:r>
                    <w:t xml:space="preserve">SCORE2-Diabetes score</w:t>
                  </w:r>
                </w:p>
              </w:tc>
              <w:tc>
                <w:tcPr/>
                <w:p>
                  <w:pPr>
                    <w:pStyle w:val="Compact"/>
                    <w:jc w:val="left"/>
                    <w:jc w:val="center"/>
                  </w:pPr>
                  <w:r>
                    <w:t xml:space="preserve">TIR + MAGE</w:t>
                  </w:r>
                </w:p>
              </w:tc>
            </w:tr>
            <w:tr>
              <w:tc>
                <w:tcPr/>
                <w:p>
                  <w:pPr>
                    <w:pStyle w:val="Compact"/>
                    <w:jc w:val="left"/>
                    <w:jc w:val="center"/>
                  </w:pPr>
                  <w:r>
                    <w:t xml:space="preserve">SCORE2-Diabetes</w:t>
                  </w:r>
                </w:p>
              </w:tc>
              <w:tc>
                <w:tcPr/>
                <w:p>
                  <w:pPr>
                    <w:pStyle w:val="Compact"/>
                    <w:jc w:val="center"/>
                    <w:jc w:val="center"/>
                  </w:pPr>
                  <w:r>
                    <w:rPr>
                      <w:b/>
                      <w:bCs/>
                    </w:rPr>
                    <w:t xml:space="preserve">B3</w:t>
                  </w:r>
                </w:p>
              </w:tc>
              <w:tc>
                <w:tcPr/>
                <w:p>
                  <w:pPr>
                    <w:pStyle w:val="Compact"/>
                    <w:jc w:val="left"/>
                    <w:jc w:val="center"/>
                  </w:pPr>
                  <w:r>
                    <w:t xml:space="preserve">SCORE2-Diabetes score</w:t>
                  </w:r>
                </w:p>
              </w:tc>
              <w:tc>
                <w:tcPr/>
                <w:p>
                  <w:pPr>
                    <w:pStyle w:val="Compact"/>
                    <w:jc w:val="left"/>
                    <w:jc w:val="center"/>
                  </w:pPr>
                  <w:r>
                    <w:t xml:space="preserve">UMAP dimensions</w:t>
                  </w:r>
                </w:p>
              </w:tc>
            </w:tr>
            <w:tr>
              <w:tc>
                <w:tcPr/>
                <w:p>
                  <w:pPr>
                    <w:pStyle w:val="Compact"/>
                    <w:jc w:val="left"/>
                    <w:jc w:val="center"/>
                  </w:pPr>
                  <w:r>
                    <w:t xml:space="preserve">CGM only</w:t>
                  </w:r>
                </w:p>
              </w:tc>
              <w:tc>
                <w:tcPr/>
                <w:p>
                  <w:pPr>
                    <w:pStyle w:val="Compact"/>
                    <w:jc w:val="center"/>
                    <w:jc w:val="center"/>
                  </w:pPr>
                  <w:r>
                    <w:rPr>
                      <w:b/>
                      <w:bCs/>
                    </w:rPr>
                    <w:t xml:space="preserve">C1</w:t>
                  </w:r>
                </w:p>
              </w:tc>
              <w:tc>
                <w:tcPr/>
                <w:p>
                  <w:pPr>
                    <w:pStyle w:val="Compact"/>
                    <w:jc w:val="left"/>
                    <w:jc w:val="center"/>
                  </w:pPr>
                  <w:r>
                    <w:t xml:space="preserve">TIR + MAGE</w:t>
                  </w:r>
                </w:p>
              </w:tc>
              <w:tc>
                <w:tcPr/>
                <w:p>
                  <w:pPr>
                    <w:pStyle w:val="Compact"/>
                    <w:jc w:val="left"/>
                    <w:jc w:val="center"/>
                  </w:pPr>
                  <w:r>
                    <w:t xml:space="preserve">–</w:t>
                  </w:r>
                </w:p>
              </w:tc>
            </w:tr>
            <w:tr>
              <w:tc>
                <w:tcPr/>
                <w:p>
                  <w:pPr>
                    <w:pStyle w:val="Compact"/>
                    <w:jc w:val="left"/>
                    <w:jc w:val="center"/>
                  </w:pPr>
                  <w:r>
                    <w:t xml:space="preserve">Embeddings only</w:t>
                  </w:r>
                </w:p>
              </w:tc>
              <w:tc>
                <w:tcPr/>
                <w:p>
                  <w:pPr>
                    <w:pStyle w:val="Compact"/>
                    <w:jc w:val="center"/>
                    <w:jc w:val="center"/>
                  </w:pPr>
                  <w:r>
                    <w:rPr>
                      <w:b/>
                      <w:bCs/>
                    </w:rPr>
                    <w:t xml:space="preserve">D1</w:t>
                  </w:r>
                </w:p>
              </w:tc>
              <w:tc>
                <w:tcPr/>
                <w:p>
                  <w:pPr>
                    <w:pStyle w:val="Compact"/>
                    <w:jc w:val="left"/>
                    <w:jc w:val="center"/>
                  </w:pPr>
                  <w:r>
                    <w:t xml:space="preserve">UMAP dimensions</w:t>
                  </w:r>
                </w:p>
              </w:tc>
              <w:tc>
                <w:tcPr/>
                <w:p>
                  <w:pPr>
                    <w:pStyle w:val="Compact"/>
                  </w:pPr>
                </w:p>
              </w:tc>
            </w:tr>
          </w:tbl>
          <w:p>
            <w:pPr>
              <w:jc w:val="center"/>
            </w:pPr>
            <w:r>
              <w:t xml:space="preserve">Overview of models and predictors {#tbl-models}</w:t>
            </w:r>
          </w:p>
          <w:p>
            <w:pPr>
              <w:jc w:val="center"/>
            </w:pPr>
            <w:r>
              <w:rPr>
                <w:vertAlign w:val="superscript"/>
              </w:rPr>
              <w:t xml:space="preserve">*</w:t>
            </w:r>
            <w:r>
              <w:rPr>
                <w:i/>
                <w:iCs/>
              </w:rPr>
              <w:t xml:space="preserve">Clinical variables are the same as those included in the SCORE2-Diabetes risk model: Age, sex, smoking status, systolic blood pressure, HDL cholesterol, total cholesterol, diabetes duration, HbA1c, and eGFR.</w:t>
            </w:r>
            <w:r>
              <w:rPr>
                <w:i/>
                <w:iCs/>
                <w:vertAlign w:val="superscript"/>
              </w:rPr>
              <w:t xml:space="preserve">14</w:t>
            </w:r>
            <w:r>
              <w:br/>
            </w:r>
            <w:r>
              <w:rPr>
                <w:i/>
                <w:iCs/>
              </w:rPr>
              <w:t xml:space="preserve">TIR = Time in Range; MAGE = Mean Amplitude of Glycemic Excursions.</w:t>
            </w:r>
          </w:p>
          <w:bookmarkEnd w:id="87"/>
        </w:tc>
      </w:tr>
    </w:tbl>
    <w:bookmarkEnd w:id="88"/>
    <w:bookmarkEnd w:id="89"/>
    <w:bookmarkStart w:id="124" w:name="X09edbc054251a1d7415b167d365fa9133614cf6"/>
    <w:p>
      <w:pPr>
        <w:pStyle w:val="Heading2"/>
      </w:pPr>
      <w:r>
        <w:t xml:space="preserve">3.6 Study III: Algorithmic Fairness in Blood Glucose Forecasting</w:t>
      </w:r>
    </w:p>
    <w:p>
      <w:pPr>
        <w:pStyle w:val="FirstParagraph"/>
      </w:pPr>
      <w:r>
        <w:t xml:space="preserve">The third study was investigating racial bias in a data driven machine learning model only based on blood glucose measurements from a CGM-sensor as this is an important consideration in the path to get ML models into use</w:t>
      </w:r>
    </w:p>
    <w:bookmarkStart w:id="95" w:name="Xce711955e38166110a1f6bdd67a0668dff261f4"/>
    <w:p>
      <w:pPr>
        <w:pStyle w:val="Heading3"/>
      </w:pPr>
      <w:r>
        <w:t xml:space="preserve">Preprocessing of CGM data for Forecasting</w:t>
      </w:r>
    </w:p>
    <w:p>
      <w:pPr>
        <w:pStyle w:val="FirstParagraph"/>
      </w:pPr>
      <w:r>
        <w:t xml:space="preserve">All data was sorted into 60 minutes windows with 4 values to predict 60-minutes into the future as visualized in</w:t>
      </w:r>
      <w:r>
        <w:t xml:space="preserve"> </w:t>
      </w:r>
      <w:hyperlink w:anchor="fig-study3_pred_horizon">
        <w:r>
          <w:rPr>
            <w:rStyle w:val="Hyperlink"/>
          </w:rPr>
          <w:t xml:space="preserve">Figure 3.5</w:t>
        </w:r>
      </w:hyperlink>
      <w:r>
        <w:t xml:space="preserve">.</w:t>
      </w:r>
      <w:r>
        <w:t xml:space="preserve"> </w:t>
      </w:r>
      <w:r>
        <w:t xml:space="preserve">There are no clear answers in the literature about which prediction horizon is the best to choose, however CGM devices measure in the interstitial fluid and there is a physiological delay between the measured blood glucose and the interstitial glucose levels.</w:t>
      </w:r>
      <w:r>
        <w:rPr>
          <w:b/>
          <w:bCs/>
          <w:vertAlign w:val="superscript"/>
        </w:rPr>
        <w:t xml:space="preserve">source?</w:t>
      </w:r>
      <w:r>
        <w:t xml:space="preserve"> </w:t>
      </w:r>
      <w:r>
        <w:t xml:space="preserve">Of the European approved CGM devices it is only the Dexcom that shows trends to the users and since CGM devices mainly focuses on monitoring, the forecasting question is only really interesting when administering insulin in order to catch hypo- and hyperglycemic events ahead of time.</w:t>
      </w:r>
      <w:r>
        <w:rPr>
          <w:b/>
          <w:bCs/>
          <w:vertAlign w:val="superscript"/>
        </w:rPr>
        <w:t xml:space="preserve">source?</w:t>
      </w:r>
      <w:r>
        <w:t xml:space="preserve"> </w:t>
      </w:r>
      <w:r>
        <w:t xml:space="preserve">It is very difficult to figure out how the prediction algorithms in insulin pumps are made and so far I have had very little luck in figuring it out. It is assumed that the companies use linear regression and the last 20 minutes of data to predict the next values which is usually the last four samples since the resolution of the used CGM devices usually are between 1 to 5 minutes.</w:t>
      </w:r>
      <w:r>
        <w:rPr>
          <w:b/>
          <w:bCs/>
          <w:vertAlign w:val="superscript"/>
        </w:rPr>
        <w:t xml:space="preserve">source?</w:t>
      </w:r>
      <w:r>
        <w:t xml:space="preserve"> </w:t>
      </w:r>
      <w:r>
        <w:t xml:space="preserve">With a CGM measurement every 15 minutes and the physiological delay in mind, the 60 minutes were decided to be a good prediction horizon.</w:t>
      </w:r>
      <w:r>
        <w:t xml:space="preserve"> </w:t>
      </w:r>
      <w:r>
        <w:t xml:space="preserve">All samples with missing values were removed.</w:t>
      </w:r>
    </w:p>
    <w:tbl>
      <w:tblPr>
        <w:tblStyle w:val="Table"/>
        <w:tblW w:type="pct" w:w="5000"/>
        <w:tblLayout w:type="fixed"/>
        <w:tblLook w:firstRow="0" w:lastRow="0" w:firstColumn="0" w:lastColumn="0" w:noHBand="0" w:noVBand="0" w:val="0000"/>
      </w:tblPr>
      <w:tblGrid>
        <w:gridCol w:w="7920"/>
      </w:tblGrid>
      <w:tr>
        <w:tc>
          <w:tcPr/>
          <w:bookmarkStart w:id="94" w:name="fig-study3_pred_horizon"/>
          <w:p>
            <w:pPr>
              <w:pStyle w:val="Compact"/>
              <w:jc w:val="center"/>
            </w:pPr>
            <w:hyperlink r:id="rId93">
              <w:r>
                <w:drawing>
                  <wp:inline>
                    <wp:extent cx="5334000" cy="1817162"/>
                    <wp:effectExtent b="0" l="0" r="0" t="0"/>
                    <wp:docPr descr="" title="" id="91" name="Picture"/>
                    <a:graphic>
                      <a:graphicData uri="http://schemas.openxmlformats.org/drawingml/2006/picture">
                        <pic:pic>
                          <pic:nvPicPr>
                            <pic:cNvPr descr="figures/3_methods_fig/study3_pred_horizon.png" id="92" name="Picture"/>
                            <pic:cNvPicPr>
                              <a:picLocks noChangeArrowheads="1" noChangeAspect="1"/>
                            </pic:cNvPicPr>
                          </pic:nvPicPr>
                          <pic:blipFill>
                            <a:blip r:embed="rId90"/>
                            <a:stretch>
                              <a:fillRect/>
                            </a:stretch>
                          </pic:blipFill>
                          <pic:spPr bwMode="auto">
                            <a:xfrm>
                              <a:off x="0" y="0"/>
                              <a:ext cx="5334000" cy="1817162"/>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3.5: The prediction horizon and overview of the creation of samples (predictors and targets).</w:t>
            </w:r>
          </w:p>
          <w:bookmarkEnd w:id="94"/>
        </w:tc>
      </w:tr>
    </w:tbl>
    <w:bookmarkEnd w:id="95"/>
    <w:bookmarkStart w:id="106" w:name="partitioning-of-the-dataset"/>
    <w:p>
      <w:pPr>
        <w:pStyle w:val="Heading3"/>
      </w:pPr>
      <w:r>
        <w:t xml:space="preserve">Partitioning of the Dataset</w:t>
      </w:r>
    </w:p>
    <w:p>
      <w:pPr>
        <w:pStyle w:val="FirstParagraph"/>
      </w:pPr>
      <w:r>
        <w:t xml:space="preserve">The T1DX dataset was randomly resampled without replacement at the participant level to avoid data leakage and to evaluate model performance on independent participants. As illustrated in</w:t>
      </w:r>
      <w:r>
        <w:t xml:space="preserve"> </w:t>
      </w:r>
      <w:hyperlink w:anchor="fig-study3_partitioning">
        <w:r>
          <w:rPr>
            <w:rStyle w:val="Hyperlink"/>
          </w:rPr>
          <w:t xml:space="preserve">Figure 3.6</w:t>
        </w:r>
      </w:hyperlink>
      <w:r>
        <w:t xml:space="preserve">, training subsets with varying proportions of Black and White participants were generated by randomly selecting participants from the original dataset while keeping the train-test split at the participant level. Eleven training set compositions were created, ranging from 100% White/0% Black to 0% White/100% Black in 10% increments.</w:t>
      </w:r>
    </w:p>
    <w:p>
      <w:pPr>
        <w:pStyle w:val="BodyText"/>
      </w:pPr>
      <w:r>
        <w:t xml:space="preserve">Because some training subsets consisted entirely of participants from a single racial group, the maximum training set size was constrained by the size of the smaller racial group minus the participant kept for testing. Consequently, each training subset contained approximately half the number of participants in the original T1DX dataset. Repeating this procedure for each participant resulted in 2,255 training datasets (205 participants × 11 training set compositions) and 205 independent test sets. Throughout all resampling procedures, all CGM recordings from a participant were kept together to prevent data leakage between the training and test sets.</w:t>
      </w:r>
    </w:p>
    <w:tbl>
      <w:tblPr>
        <w:tblStyle w:val="Table"/>
        <w:tblW w:type="pct" w:w="5000"/>
        <w:tblLayout w:type="fixed"/>
        <w:tblLook w:firstRow="0" w:lastRow="0" w:firstColumn="0" w:lastColumn="0" w:noHBand="0" w:noVBand="0" w:val="0000"/>
      </w:tblPr>
      <w:tblGrid>
        <w:gridCol w:w="7920"/>
      </w:tblGrid>
      <w:tr>
        <w:tc>
          <w:tcPr/>
          <w:bookmarkStart w:id="100" w:name="fig-study3_partitioning"/>
          <w:p>
            <w:pPr>
              <w:pStyle w:val="Compact"/>
              <w:jc w:val="center"/>
            </w:pPr>
            <w:hyperlink r:id="rId99">
              <w:r>
                <w:drawing>
                  <wp:inline>
                    <wp:extent cx="5334000" cy="3456188"/>
                    <wp:effectExtent b="0" l="0" r="0" t="0"/>
                    <wp:docPr descr="" title="" id="97" name="Picture"/>
                    <a:graphic>
                      <a:graphicData uri="http://schemas.openxmlformats.org/drawingml/2006/picture">
                        <pic:pic>
                          <pic:nvPicPr>
                            <pic:cNvPr descr="figures/3_methods_fig/study3_partitioning.png" id="98" name="Picture"/>
                            <pic:cNvPicPr>
                              <a:picLocks noChangeArrowheads="1" noChangeAspect="1"/>
                            </pic:cNvPicPr>
                          </pic:nvPicPr>
                          <pic:blipFill>
                            <a:blip r:embed="rId96"/>
                            <a:stretch>
                              <a:fillRect/>
                            </a:stretch>
                          </pic:blipFill>
                          <pic:spPr bwMode="auto">
                            <a:xfrm>
                              <a:off x="0" y="0"/>
                              <a:ext cx="5334000" cy="345618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3.6: The prediction horizon and overview of the creation of subsets for training.</w:t>
            </w:r>
          </w:p>
          <w:bookmarkEnd w:id="100"/>
        </w:tc>
      </w:tr>
    </w:tbl>
    <w:p>
      <w:pPr>
        <w:pStyle w:val="BodyText"/>
      </w:pPr>
      <w:r>
        <w:t xml:space="preserve">Eleven subsets were created for each of the participants and the last weeks worth of data was chosen to test on as illustrated in</w:t>
      </w:r>
      <w:r>
        <w:t xml:space="preserve"> </w:t>
      </w:r>
      <w:hyperlink w:anchor="fig-study3_train_finetune_test_split">
        <w:r>
          <w:rPr>
            <w:rStyle w:val="Hyperlink"/>
          </w:rPr>
          <w:t xml:space="preserve">Figure 3.7</w:t>
        </w:r>
      </w:hyperlink>
      <w:r>
        <w:t xml:space="preserve"> </w:t>
      </w:r>
      <w:r>
        <w:t xml:space="preserve">The one week was chosen because participants had varying amount of CGM data and the participant with the least amount of data had ~ 2 weeks, and all participants were wished to be kept due to the small number of participants in the T1DX dataset.</w:t>
      </w:r>
      <w:r>
        <w:t xml:space="preserve"> </w:t>
      </w:r>
      <w:r>
        <w:t xml:space="preserve">The remaining data were used for training the models.</w:t>
      </w:r>
    </w:p>
    <w:tbl>
      <w:tblPr>
        <w:tblStyle w:val="Table"/>
        <w:tblW w:type="pct" w:w="5000"/>
        <w:tblLayout w:type="fixed"/>
        <w:tblLook w:firstRow="0" w:lastRow="0" w:firstColumn="0" w:lastColumn="0" w:noHBand="0" w:noVBand="0" w:val="0000"/>
      </w:tblPr>
      <w:tblGrid>
        <w:gridCol w:w="7920"/>
      </w:tblGrid>
      <w:tr>
        <w:tc>
          <w:tcPr/>
          <w:bookmarkStart w:id="105" w:name="fig-study3_train_finetune_test_split"/>
          <w:p>
            <w:pPr>
              <w:pStyle w:val="Compact"/>
              <w:jc w:val="center"/>
            </w:pPr>
            <w:hyperlink r:id="rId104">
              <w:r>
                <w:drawing>
                  <wp:inline>
                    <wp:extent cx="4686935" cy="1382279"/>
                    <wp:effectExtent b="0" l="0" r="0" t="0"/>
                    <wp:docPr descr="" title="" id="102" name="Picture"/>
                    <a:graphic>
                      <a:graphicData uri="http://schemas.openxmlformats.org/drawingml/2006/picture">
                        <pic:pic>
                          <pic:nvPicPr>
                            <pic:cNvPr descr="figures/3_methods_fig/study3_train_finetune_test_split.png" id="103" name="Picture"/>
                            <pic:cNvPicPr>
                              <a:picLocks noChangeArrowheads="1" noChangeAspect="1"/>
                            </pic:cNvPicPr>
                          </pic:nvPicPr>
                          <pic:blipFill>
                            <a:blip r:embed="rId101"/>
                            <a:stretch>
                              <a:fillRect/>
                            </a:stretch>
                          </pic:blipFill>
                          <pic:spPr bwMode="auto">
                            <a:xfrm>
                              <a:off x="0" y="0"/>
                              <a:ext cx="4686935" cy="1382279"/>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3.7: The splitting of a participants data to create training, fine-tuning and test sets</w:t>
            </w:r>
          </w:p>
          <w:bookmarkEnd w:id="105"/>
        </w:tc>
      </w:tr>
    </w:tbl>
    <w:bookmarkEnd w:id="106"/>
    <w:bookmarkStart w:id="112" w:name="training-approaches-and-model-selection"/>
    <w:p>
      <w:pPr>
        <w:pStyle w:val="Heading3"/>
      </w:pPr>
      <w:r>
        <w:t xml:space="preserve">Training Approaches and Model Selection</w:t>
      </w:r>
    </w:p>
    <w:p>
      <w:pPr>
        <w:pStyle w:val="FirstParagraph"/>
      </w:pPr>
      <w:r>
        <w:t xml:space="preserve">Four training approaches were developed as illustrated in</w:t>
      </w:r>
      <w:r>
        <w:t xml:space="preserve"> </w:t>
      </w:r>
      <w:hyperlink w:anchor="fig-study3_training_approaches">
        <w:r>
          <w:rPr>
            <w:rStyle w:val="Hyperlink"/>
          </w:rPr>
          <w:t xml:space="preserve">Figure 3.8</w:t>
        </w:r>
      </w:hyperlink>
      <w:r>
        <w:t xml:space="preserve">. The training approaches included a naive baseline and three different machine learning models as described in</w:t>
      </w:r>
      <w:r>
        <w:t xml:space="preserve"> </w:t>
      </w:r>
      <w:r>
        <w:rPr>
          <w:b/>
          <w:bCs/>
        </w:rPr>
        <w:t xml:space="preserve">?@tbl-study3_training_approaches</w:t>
      </w:r>
      <w:r>
        <w:t xml:space="preserve">.</w:t>
      </w:r>
    </w:p>
    <w:p>
      <w:pPr>
        <w:pStyle w:val="BodyText"/>
      </w:pPr>
      <w:r>
        <w:t xml:space="preserve">A long short-term memory model (LSTM) and overall architecture was chosen for the machine learning model, based on a previously described LSTM in van Doorn et al.@vanDoorn2021 (two LSTM layers followed by a dense layer) since there were good performance with this model.</w:t>
      </w:r>
      <w:r>
        <w:t xml:space="preserve"> </w:t>
      </w:r>
      <w:r>
        <w:t xml:space="preserve">All the training data were scaled to be within the range of zero to one.</w:t>
      </w:r>
      <w:r>
        <w:t xml:space="preserve"> </w:t>
      </w:r>
      <w:r>
        <w:t xml:space="preserve">Hyperparameters included the number of neurons in LSTM layers, activation functions, dropout rate, batch size, learning rate, decay rate, and early stopping. These hyperparameters were tuned using a grid search, heatmaps, and manual tuning. Further information is given in in Thomsen et al.</w:t>
      </w:r>
      <w:r>
        <w:rPr>
          <w:vertAlign w:val="superscript"/>
        </w:rPr>
        <w:t xml:space="preserve">43</w:t>
      </w:r>
      <w:r>
        <w:t xml:space="preserve"> </w:t>
      </w:r>
      <w:r>
        <w:t xml:space="preserve">and the code repository</w:t>
      </w:r>
      <w:r>
        <w:rPr>
          <w:vertAlign w:val="superscript"/>
        </w:rPr>
        <w:t xml:space="preserve">44</w:t>
      </w:r>
      <w:r>
        <w:t xml:space="preserve">.</w:t>
      </w:r>
    </w:p>
    <w:tbl>
      <w:tblPr>
        <w:tblStyle w:val="Table"/>
        <w:tblW w:type="pct" w:w="5000"/>
        <w:tblLayout w:type="fixed"/>
        <w:tblLook w:firstRow="0" w:lastRow="0" w:firstColumn="0" w:lastColumn="0" w:noHBand="0" w:noVBand="0" w:val="0000"/>
      </w:tblPr>
      <w:tblGrid>
        <w:gridCol w:w="7920"/>
      </w:tblGrid>
      <w:tr>
        <w:tc>
          <w:tcPr/>
          <w:bookmarkStart w:id="111" w:name="fig-study3_training_approaches"/>
          <w:p>
            <w:pPr>
              <w:pStyle w:val="Compact"/>
              <w:jc w:val="center"/>
            </w:pPr>
            <w:hyperlink r:id="rId110">
              <w:r>
                <w:drawing>
                  <wp:inline>
                    <wp:extent cx="5334000" cy="5134167"/>
                    <wp:effectExtent b="0" l="0" r="0" t="0"/>
                    <wp:docPr descr="" title="" id="108" name="Picture"/>
                    <a:graphic>
                      <a:graphicData uri="http://schemas.openxmlformats.org/drawingml/2006/picture">
                        <pic:pic>
                          <pic:nvPicPr>
                            <pic:cNvPr descr="figures/3_methods_fig/study3_training_approaches.png" id="109" name="Picture"/>
                            <pic:cNvPicPr>
                              <a:picLocks noChangeArrowheads="1" noChangeAspect="1"/>
                            </pic:cNvPicPr>
                          </pic:nvPicPr>
                          <pic:blipFill>
                            <a:blip r:embed="rId107"/>
                            <a:stretch>
                              <a:fillRect/>
                            </a:stretch>
                          </pic:blipFill>
                          <pic:spPr bwMode="auto">
                            <a:xfrm>
                              <a:off x="0" y="0"/>
                              <a:ext cx="5334000" cy="5134167"/>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3.8: The four training approaches. The Base-Individual, Base-Generalized, and Transfer Learned models were based on an LSTM architecture. The base layer (green) consisted of two LSTM layers, while the task-specific layer (blue) consisted of a single dense layer.</w:t>
            </w:r>
          </w:p>
          <w:bookmarkEnd w:id="111"/>
        </w:tc>
      </w:tr>
    </w:tbl>
    <w:p>
      <w:pPr>
        <w:pStyle w:val="BodyText"/>
      </w:pPr>
      <w:r>
        <w:t xml:space="preserve">One of the machine learning models were developed using transfer learning. It is a machine learning technique in which knowledge learned from one domain is transferred to another related domain. One common transfer learning approach is fine-tuning, where a pretrained model is further trained using new data.</w:t>
      </w:r>
      <w:r>
        <w:rPr>
          <w:vertAlign w:val="superscript"/>
        </w:rPr>
        <w:t xml:space="preserve">45</w:t>
      </w:r>
      <w:r>
        <w:t xml:space="preserve"> </w:t>
      </w:r>
      <w:r>
        <w:t xml:space="preserve">In this analysis, generalized glucose prediction models were first trained using data from multiple participants (Base-Generalized model) and subsequently fine-tuned using participant-specific data to personalize glucose predictions (Transfer Learned model).</w:t>
      </w:r>
    </w:p>
    <w:tbl>
      <w:tblPr>
        <w:tblStyle w:val="Table"/>
        <w:tblW w:type="pct" w:w="5000"/>
        <w:tblLayout w:type="fixed"/>
        <w:tblLook w:firstRow="1" w:lastRow="0" w:firstColumn="0" w:lastColumn="0" w:noHBand="0" w:noVBand="0" w:val="0020"/>
      </w:tblPr>
      <w:tblGrid>
        <w:gridCol w:w="2520"/>
        <w:gridCol w:w="2520"/>
        <w:gridCol w:w="2880"/>
      </w:tblGrid>
      <w:tr>
        <w:trPr>
          <w:tblHeader w:val="on"/>
        </w:trPr>
        <w:tc>
          <w:tcPr/>
          <w:p>
            <w:pPr>
              <w:pStyle w:val="Compact"/>
              <w:jc w:val="left"/>
            </w:pPr>
            <w:r>
              <w:t xml:space="preserve">Model names</w:t>
            </w:r>
          </w:p>
        </w:tc>
        <w:tc>
          <w:tcPr/>
          <w:p>
            <w:pPr>
              <w:pStyle w:val="Compact"/>
              <w:jc w:val="left"/>
            </w:pPr>
            <w:r>
              <w:t xml:space="preserve">Description</w:t>
            </w:r>
          </w:p>
        </w:tc>
        <w:tc>
          <w:tcPr/>
          <w:p>
            <w:pPr>
              <w:pStyle w:val="Compact"/>
              <w:jc w:val="left"/>
            </w:pPr>
            <w:r>
              <w:t xml:space="preserve">Training data</w:t>
            </w:r>
          </w:p>
        </w:tc>
      </w:tr>
      <w:tr>
        <w:tc>
          <w:tcPr/>
          <w:p>
            <w:pPr>
              <w:pStyle w:val="Compact"/>
              <w:jc w:val="left"/>
            </w:pPr>
            <w:r>
              <w:t xml:space="preserve">Last observation carried forward (LOCF)</w:t>
            </w:r>
          </w:p>
        </w:tc>
        <w:tc>
          <w:tcPr/>
          <w:p>
            <w:pPr>
              <w:pStyle w:val="Compact"/>
              <w:jc w:val="left"/>
            </w:pPr>
            <w:r>
              <w:t xml:space="preserve">naive baseline: In the LOCF model, a given CGM measurement (x4) was used to predict blood glucose values 60 minutes in advance (x8) in the test set by assuming no change in the last 60 minutes.</w:t>
            </w:r>
          </w:p>
        </w:tc>
        <w:tc>
          <w:tcPr/>
          <w:p>
            <w:pPr>
              <w:pStyle w:val="Compact"/>
              <w:jc w:val="left"/>
            </w:pPr>
            <w:r>
              <w:t xml:space="preserve">No training data required</w:t>
            </w:r>
          </w:p>
        </w:tc>
      </w:tr>
      <w:tr>
        <w:tc>
          <w:tcPr/>
          <w:p>
            <w:pPr>
              <w:pStyle w:val="Compact"/>
              <w:jc w:val="left"/>
            </w:pPr>
            <w:r>
              <w:t xml:space="preserve">Base-Individual</w:t>
            </w:r>
          </w:p>
        </w:tc>
        <w:tc>
          <w:tcPr/>
          <w:p>
            <w:pPr>
              <w:pStyle w:val="Compact"/>
              <w:jc w:val="left"/>
            </w:pPr>
            <w:r>
              <w:t xml:space="preserve">In the Base-Individual model, each participant’s complete CGM data (except for the last week, which was used for the testing data) was used for training.</w:t>
            </w:r>
          </w:p>
        </w:tc>
        <w:tc>
          <w:tcPr/>
          <w:p>
            <w:pPr>
              <w:pStyle w:val="Compact"/>
              <w:jc w:val="left"/>
            </w:pPr>
            <w:r>
              <w:t xml:space="preserve">Only data from 1 participant</w:t>
            </w:r>
            <w:r>
              <w:t xml:space="preserve"> </w:t>
            </w:r>
            <w:hyperlink w:anchor="fig-study3_train_finetune_test_split">
              <w:r>
                <w:rPr>
                  <w:rStyle w:val="Hyperlink"/>
                </w:rPr>
                <w:t xml:space="preserve">Figure 3.7</w:t>
              </w:r>
            </w:hyperlink>
          </w:p>
        </w:tc>
      </w:tr>
      <w:tr>
        <w:tc>
          <w:tcPr/>
          <w:p>
            <w:pPr>
              <w:pStyle w:val="Compact"/>
              <w:jc w:val="left"/>
            </w:pPr>
            <w:r>
              <w:t xml:space="preserve">Base-Generalized</w:t>
            </w:r>
          </w:p>
        </w:tc>
        <w:tc>
          <w:tcPr/>
          <w:p>
            <w:pPr>
              <w:pStyle w:val="Compact"/>
              <w:jc w:val="left"/>
            </w:pPr>
            <w:r>
              <w:t xml:space="preserve">Here, for each participant, the 11 training corresponding datasets described above were used to generate 11 separate models, which were all subsequently tested on the given participant’s last week of CGM data.</w:t>
            </w:r>
          </w:p>
        </w:tc>
        <w:tc>
          <w:tcPr/>
          <w:p>
            <w:pPr>
              <w:pStyle w:val="Compact"/>
              <w:jc w:val="left"/>
            </w:pPr>
            <w:r>
              <w:t xml:space="preserve">All the different subsets of data</w:t>
            </w:r>
            <w:r>
              <w:t xml:space="preserve"> </w:t>
            </w:r>
            <w:hyperlink w:anchor="fig-study3_partitioning">
              <w:r>
                <w:rPr>
                  <w:rStyle w:val="Hyperlink"/>
                </w:rPr>
                <w:t xml:space="preserve">Figure 3.6</w:t>
              </w:r>
            </w:hyperlink>
          </w:p>
        </w:tc>
      </w:tr>
      <w:tr>
        <w:tc>
          <w:tcPr/>
          <w:p>
            <w:pPr>
              <w:pStyle w:val="Compact"/>
              <w:jc w:val="left"/>
            </w:pPr>
            <w:r>
              <w:t xml:space="preserve">Transfer Learned</w:t>
            </w:r>
          </w:p>
        </w:tc>
        <w:tc>
          <w:tcPr/>
          <w:p>
            <w:pPr>
              <w:pStyle w:val="Compact"/>
              <w:jc w:val="left"/>
            </w:pPr>
            <w:r>
              <w:t xml:space="preserve">This model mirrored the Base-Generalized Model’s setup. However, the 11 trained models for each participant were subsequently tailored, i.e., fine-tuned with transfer learning to the given participant’s complete CGM data (except for the last week, which was used for the testing data)</w:t>
            </w:r>
          </w:p>
        </w:tc>
        <w:tc>
          <w:tcPr/>
          <w:p>
            <w:pPr>
              <w:pStyle w:val="Compact"/>
              <w:jc w:val="left"/>
            </w:pPr>
            <w:r>
              <w:t xml:space="preserve">Only data from 1 participant</w:t>
            </w:r>
            <w:r>
              <w:t xml:space="preserve"> </w:t>
            </w:r>
            <w:hyperlink w:anchor="fig-study3_train_finetune_test_split">
              <w:r>
                <w:rPr>
                  <w:rStyle w:val="Hyperlink"/>
                </w:rPr>
                <w:t xml:space="preserve">Figure 3.7</w:t>
              </w:r>
            </w:hyperlink>
          </w:p>
        </w:tc>
      </w:tr>
    </w:tbl>
    <w:p>
      <w:pPr>
        <w:pStyle w:val="BodyText"/>
      </w:pPr>
      <w:r>
        <w:t xml:space="preserve">The four training approaches used to develop glucose prediction models for each participant in the T1DX dataset. {#tbl-study3_training_approaches tbl-colwidths=</w:t>
      </w:r>
      <w:r>
        <w:t xml:space="preserve">“[20,60,20]”</w:t>
      </w:r>
      <w:r>
        <w:t xml:space="preserve">}</w:t>
      </w:r>
    </w:p>
    <w:bookmarkEnd w:id="112"/>
    <w:bookmarkStart w:id="123" w:name="model-evaluation"/>
    <w:p>
      <w:pPr>
        <w:pStyle w:val="Heading3"/>
      </w:pPr>
      <w:r>
        <w:t xml:space="preserve">Model Evaluation</w:t>
      </w:r>
    </w:p>
    <w:p>
      <w:pPr>
        <w:pStyle w:val="FirstParagraph"/>
      </w:pPr>
      <w:r>
        <w:t xml:space="preserve">To evaluate model performance, each participant’s last weeks worth of data (672 measurements) was reserved for internal testing (</w:t>
      </w:r>
      <w:hyperlink w:anchor="fig-study3_train_finetune_test_split">
        <w:r>
          <w:rPr>
            <w:rStyle w:val="Hyperlink"/>
          </w:rPr>
          <w:t xml:space="preserve">Figure 3.7</w:t>
        </w:r>
      </w:hyperlink>
      <w:r>
        <w:t xml:space="preserve">).</w:t>
      </w:r>
      <w:r>
        <w:t xml:space="preserve"> </w:t>
      </w:r>
      <w:r>
        <w:t xml:space="preserve">Model accuracy was assessed by calculating the root mean squared error (RMSE) for each participant across all four modeling approaches. For the LOCF and Base-Individual models, this yielded one RMSE value for each of the 101 White participants and 104 Black participants.</w:t>
      </w:r>
      <w:r>
        <w:t xml:space="preserve"> </w:t>
      </w:r>
      <w:r>
        <w:t xml:space="preserve">For the Base-Generalized and Transfer Learned models, RMSEs were calculated for each participant across 11 data subsets, each representing a unique proportion of White and Black participants.</w:t>
      </w:r>
      <w:r>
        <w:t xml:space="preserve"> </w:t>
      </w:r>
      <w:r>
        <w:t xml:space="preserve">Performance was summarized as the mean RMSE with corresponding 95% confidence intervals (CIs) for each racial group.</w:t>
      </w:r>
    </w:p>
    <w:p>
      <w:pPr>
        <w:pStyle w:val="BodyText"/>
      </w:pPr>
      <w:r>
        <w:t xml:space="preserve">To evaluate the predictive performance across different ratios for the Base-Generalized and Transfer Learned models a linear mixed effect model (LMEM) was used since data was dependent due to participants having an RMSE value for each subset with varying proportions of White and Black participants.</w:t>
      </w:r>
      <w:r>
        <w:t xml:space="preserve"> </w:t>
      </w:r>
      <w:r>
        <w:t xml:space="preserve">It was assumed that RMSE values would vary between individuals and therefore a random intercept was included and the following covariates were included: ratio (proportion of White and Black), race, age, sex, and training data sample size. (Categorical: Race, age, and sex; continuous: RMSE, ratio, and sample size)</w:t>
      </w:r>
      <w:r>
        <w:t xml:space="preserve"> </w:t>
      </w:r>
      <w:r>
        <w:t xml:space="preserve">It was further assumed that the varying proportions of Black and White participants in the training data subsets would affect the performance and an interaction term was therefore added. The interaction term allowed for different slopes in the LMEM which allowed us to test the hypothesis. It was expected that when plotting the proportion of White participants in the training data against the RMSE, the slope would be negative for White participants and positive for Black participants (</w:t>
      </w:r>
      <w:hyperlink w:anchor="fig-study3_rmse">
        <w:r>
          <w:rPr>
            <w:rStyle w:val="Hyperlink"/>
          </w:rPr>
          <w:t xml:space="preserve">Figure 3.9</w:t>
        </w:r>
      </w:hyperlink>
      <w:r>
        <w:t xml:space="preserve">). This would indicate that as the proportion of White participants in the training data increased, the RMSE decreased for White participants and increased for Black participants, indicating racial bias in the model. The Base-Individual model would perform the worst since it was trained on the least amount of data and the Transfer Learned model would remove the slopes that were expected to be seen in the Base-Generalized models.</w:t>
      </w:r>
    </w:p>
    <w:tbl>
      <w:tblPr>
        <w:tblStyle w:val="Table"/>
        <w:tblW w:type="pct" w:w="5000"/>
        <w:tblLayout w:type="fixed"/>
        <w:tblLook w:firstRow="0" w:lastRow="0" w:firstColumn="0" w:lastColumn="0" w:noHBand="0" w:noVBand="0" w:val="0000"/>
      </w:tblPr>
      <w:tblGrid>
        <w:gridCol w:w="7920"/>
      </w:tblGrid>
      <w:tr>
        <w:tc>
          <w:tcPr/>
          <w:bookmarkStart w:id="117" w:name="fig-study3_rmse"/>
          <w:p>
            <w:pPr>
              <w:pStyle w:val="Compact"/>
              <w:jc w:val="center"/>
            </w:pPr>
            <w:hyperlink r:id="rId116">
              <w:r>
                <w:drawing>
                  <wp:inline>
                    <wp:extent cx="5334000" cy="2823882"/>
                    <wp:effectExtent b="0" l="0" r="0" t="0"/>
                    <wp:docPr descr="" title="" id="114" name="Picture"/>
                    <a:graphic>
                      <a:graphicData uri="http://schemas.openxmlformats.org/drawingml/2006/picture">
                        <pic:pic>
                          <pic:nvPicPr>
                            <pic:cNvPr descr="figures/3_methods_fig/study3_rmse.png" id="115" name="Picture"/>
                            <pic:cNvPicPr>
                              <a:picLocks noChangeArrowheads="1" noChangeAspect="1"/>
                            </pic:cNvPicPr>
                          </pic:nvPicPr>
                          <pic:blipFill>
                            <a:blip r:embed="rId113"/>
                            <a:stretch>
                              <a:fillRect/>
                            </a:stretch>
                          </pic:blipFill>
                          <pic:spPr bwMode="auto">
                            <a:xfrm>
                              <a:off x="0" y="0"/>
                              <a:ext cx="5334000" cy="2823882"/>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3.9: The hypothesis for the results of the linear mixed effect models.</w:t>
            </w:r>
          </w:p>
          <w:bookmarkEnd w:id="117"/>
        </w:tc>
      </w:tr>
    </w:tbl>
    <w:p>
      <w:pPr>
        <w:pStyle w:val="BodyText"/>
      </w:pPr>
      <w:r>
        <w:t xml:space="preserve">Surveillance error grids (SEG) were used to get a general idea of the clinical risk of the prediction models.</w:t>
      </w:r>
      <w:r>
        <w:rPr>
          <w:vertAlign w:val="superscript"/>
        </w:rPr>
        <w:t xml:space="preserve">46</w:t>
      </w:r>
      <w:r>
        <w:t xml:space="preserve"> </w:t>
      </w:r>
      <w:r>
        <w:t xml:space="preserve">The error grids are originally developed for the regulatory bodies to asses clinical accuracy of blood glucose monitoring in post-surveillance before the wide spread use of CGM devices.</w:t>
      </w:r>
      <w:r>
        <w:rPr>
          <w:vertAlign w:val="superscript"/>
        </w:rPr>
        <w:t xml:space="preserve">47</w:t>
      </w:r>
      <w:r>
        <w:t xml:space="preserve"> </w:t>
      </w:r>
      <w:r>
        <w:t xml:space="preserve">and the results should therefore be interpreted with caution when using CGM data. The SEG is a 600x600 grid assigned an individual risk score to each datapoint with 15 colored zones, each indicating severity of a monitoring error that is acted upon in regards to risk of hypoglycemia or hyperglycemia (</w:t>
      </w:r>
      <w:hyperlink w:anchor="fig-study3_SEG">
        <w:r>
          <w:rPr>
            <w:rStyle w:val="Hyperlink"/>
          </w:rPr>
          <w:t xml:space="preserve">Figure 3.10</w:t>
        </w:r>
      </w:hyperlink>
      <w:r>
        <w:t xml:space="preserve">).</w:t>
      </w:r>
      <w:r>
        <w:rPr>
          <w:vertAlign w:val="superscript"/>
        </w:rPr>
        <w:t xml:space="preserve">47</w:t>
      </w:r>
      <w:r>
        <w:t xml:space="preserve"> </w:t>
      </w:r>
      <w:r>
        <w:t xml:space="preserve">To facilitate interpretation, the 15 surveillance error grid zones were collapsed into the five broader risk zones (</w:t>
      </w:r>
      <w:r>
        <w:t xml:space="preserve">“No”</w:t>
      </w:r>
      <w:r>
        <w:t xml:space="preserve">,</w:t>
      </w:r>
      <w:r>
        <w:t xml:space="preserve"> </w:t>
      </w:r>
      <w:r>
        <w:t xml:space="preserve">“Slight”</w:t>
      </w:r>
      <w:r>
        <w:t xml:space="preserve">,</w:t>
      </w:r>
      <w:r>
        <w:t xml:space="preserve"> </w:t>
      </w:r>
      <w:r>
        <w:t xml:space="preserve">“Moderate”</w:t>
      </w:r>
      <w:r>
        <w:t xml:space="preserve">,</w:t>
      </w:r>
      <w:r>
        <w:t xml:space="preserve"> </w:t>
      </w:r>
      <w:r>
        <w:t xml:space="preserve">“High”</w:t>
      </w:r>
      <w:r>
        <w:t xml:space="preserve">, and</w:t>
      </w:r>
      <w:r>
        <w:t xml:space="preserve"> </w:t>
      </w:r>
      <w:r>
        <w:t xml:space="preserve">“Extreme”</w:t>
      </w:r>
      <w:r>
        <w:t xml:space="preserve">), as previously suggested in the literature.</w:t>
      </w:r>
      <w:r>
        <w:rPr>
          <w:vertAlign w:val="superscript"/>
        </w:rPr>
        <w:t xml:space="preserve">46</w:t>
      </w:r>
      <w:r>
        <w:t xml:space="preserve"> </w:t>
      </w:r>
      <w:r>
        <w:t xml:space="preserve">Predictions outside of 0–33 mmol/L were changed to 0 or 33 mmol/L to keep within the upper and lower bounds of the surveillance error grid.</w:t>
      </w:r>
    </w:p>
    <w:tbl>
      <w:tblPr>
        <w:tblStyle w:val="Table"/>
        <w:tblW w:type="pct" w:w="5000"/>
        <w:tblLayout w:type="fixed"/>
        <w:tblLook w:firstRow="0" w:lastRow="0" w:firstColumn="0" w:lastColumn="0" w:noHBand="0" w:noVBand="0" w:val="0000"/>
      </w:tblPr>
      <w:tblGrid>
        <w:gridCol w:w="7920"/>
      </w:tblGrid>
      <w:tr>
        <w:tc>
          <w:tcPr/>
          <w:bookmarkStart w:id="122" w:name="fig-study3_SEG"/>
          <w:p>
            <w:pPr>
              <w:pStyle w:val="Compact"/>
              <w:jc w:val="center"/>
            </w:pPr>
            <w:hyperlink r:id="rId121">
              <w:r>
                <w:drawing>
                  <wp:inline>
                    <wp:extent cx="5334000" cy="3561445"/>
                    <wp:effectExtent b="0" l="0" r="0" t="0"/>
                    <wp:docPr descr="" title="" id="119" name="Picture"/>
                    <a:graphic>
                      <a:graphicData uri="http://schemas.openxmlformats.org/drawingml/2006/picture">
                        <pic:pic>
                          <pic:nvPicPr>
                            <pic:cNvPr descr="figures/3_methods_fig/study3_SEG_empty.png" id="120" name="Picture"/>
                            <pic:cNvPicPr>
                              <a:picLocks noChangeArrowheads="1" noChangeAspect="1"/>
                            </pic:cNvPicPr>
                          </pic:nvPicPr>
                          <pic:blipFill>
                            <a:blip r:embed="rId118"/>
                            <a:stretch>
                              <a:fillRect/>
                            </a:stretch>
                          </pic:blipFill>
                          <pic:spPr bwMode="auto">
                            <a:xfrm>
                              <a:off x="0" y="0"/>
                              <a:ext cx="5334000" cy="3561445"/>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3.10: An empty surveillance error grid</w:t>
            </w:r>
          </w:p>
          <w:bookmarkEnd w:id="122"/>
        </w:tc>
      </w:tr>
    </w:tbl>
    <w:bookmarkEnd w:id="123"/>
    <w:bookmarkEnd w:id="124"/>
    <w:bookmarkEnd w:id="125"/>
    <w:bookmarkStart w:id="175" w:name="results"/>
    <w:p>
      <w:pPr>
        <w:pStyle w:val="Heading1"/>
      </w:pPr>
      <w:r>
        <w:t xml:space="preserve">4. Results</w:t>
      </w:r>
    </w:p>
    <w:bookmarkStart w:id="148" w:name="study-i-results-from-a-scoping-review"/>
    <w:p>
      <w:pPr>
        <w:pStyle w:val="Heading2"/>
      </w:pPr>
      <w:r>
        <w:t xml:space="preserve">4.1 Study I: Results from a Scoping Review</w:t>
      </w:r>
    </w:p>
    <w:bookmarkStart w:id="131" w:name="study-selection"/>
    <w:p>
      <w:pPr>
        <w:pStyle w:val="Heading3"/>
      </w:pPr>
      <w:r>
        <w:t xml:space="preserve">Study Selection</w:t>
      </w:r>
    </w:p>
    <w:p>
      <w:pPr>
        <w:pStyle w:val="FirstParagraph"/>
      </w:pPr>
      <w:r>
        <w:t xml:space="preserve">The study selection process is summarized in</w:t>
      </w:r>
      <w:r>
        <w:t xml:space="preserve"> </w:t>
      </w:r>
      <w:hyperlink w:anchor="fig-prisma">
        <w:r>
          <w:rPr>
            <w:rStyle w:val="Hyperlink"/>
          </w:rPr>
          <w:t xml:space="preserve">Figure 4.1</w:t>
        </w:r>
      </w:hyperlink>
      <w:r>
        <w:t xml:space="preserve">. The Medline and Embase search resulted in 4884 records screened on title and abstract, and 81 reports were assessed for eligibility based on full-text review by two independent reviewers. The citation search on the included 51 reports resulted in 2 additional reports, which finally resulted in 53 included reports in the review. All included and excluded reports are reported in</w:t>
      </w:r>
      <w:r>
        <w:t xml:space="preserve"> </w:t>
      </w:r>
      <w:hyperlink w:anchor="sec-suppl-study1-reports">
        <w:r>
          <w:rPr>
            <w:rStyle w:val="Hyperlink"/>
          </w:rPr>
          <w:t xml:space="preserve">Appendix 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0" w:name="fig-prisma"/>
          <w:p>
            <w:pPr>
              <w:pStyle w:val="Compact"/>
              <w:jc w:val="center"/>
            </w:pPr>
            <w:hyperlink r:id="rId129">
              <w:r>
                <w:drawing>
                  <wp:inline>
                    <wp:extent cx="5334000" cy="4601367"/>
                    <wp:effectExtent b="0" l="0" r="0" t="0"/>
                    <wp:docPr descr="" title="" id="127" name="Picture"/>
                    <a:graphic>
                      <a:graphicData uri="http://schemas.openxmlformats.org/drawingml/2006/picture">
                        <pic:pic>
                          <pic:nvPicPr>
                            <pic:cNvPr descr="figures/4_results_fig/study_1_prisma.png" id="128" name="Picture"/>
                            <pic:cNvPicPr>
                              <a:picLocks noChangeArrowheads="1" noChangeAspect="1"/>
                            </pic:cNvPicPr>
                          </pic:nvPicPr>
                          <pic:blipFill>
                            <a:blip r:embed="rId126"/>
                            <a:stretch>
                              <a:fillRect/>
                            </a:stretch>
                          </pic:blipFill>
                          <pic:spPr bwMode="auto">
                            <a:xfrm>
                              <a:off x="0" y="0"/>
                              <a:ext cx="5334000" cy="4601367"/>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4.1: Flow diagram of study selection</w:t>
            </w:r>
          </w:p>
          <w:bookmarkEnd w:id="130"/>
        </w:tc>
      </w:tr>
    </w:tbl>
    <w:bookmarkEnd w:id="131"/>
    <w:bookmarkStart w:id="138" w:name="study-populations-1"/>
    <w:p>
      <w:pPr>
        <w:pStyle w:val="Heading3"/>
      </w:pPr>
      <w:r>
        <w:t xml:space="preserve">Study Populations</w:t>
      </w:r>
    </w:p>
    <w:p>
      <w:pPr>
        <w:pStyle w:val="FirstParagraph"/>
      </w:pPr>
      <w:r>
        <w:t xml:space="preserve">The study population most common was people with T2D (34 of studies), then people with T1D (20 of 53) and lastly prediabetes (4 of 53). Most studies included adult participants, whereas seven focused on children younger than 18 years. Two studies included only male participants, whereas the remaining studies included both male and female participants.</w:t>
      </w:r>
    </w:p>
    <w:p>
      <w:pPr>
        <w:pStyle w:val="BodyText"/>
      </w:pPr>
      <w:r>
        <w:t xml:space="preserve">The geographic distribution was found based on the hospitals and centers where data was collected or by the first author’s affiliation when the other option was not available. The distribution was uneven as shown in</w:t>
      </w:r>
      <w:r>
        <w:t xml:space="preserve"> </w:t>
      </w:r>
      <w:hyperlink w:anchor="fig-geographical">
        <w:r>
          <w:rPr>
            <w:rStyle w:val="Hyperlink"/>
          </w:rPr>
          <w:t xml:space="preserve">Figure 4.2</w:t>
        </w:r>
      </w:hyperlink>
      <w:r>
        <w:t xml:space="preserve">.</w:t>
      </w:r>
      <w:r>
        <w:t xml:space="preserve"> </w:t>
      </w:r>
      <w:r>
        <w:t xml:space="preserve">Most studies were conducted in Asia (27 of 53) or Europe (22 of 53). Three studies included data from North America, one was conducted in Australia, and only one included data from an African country, although its study population was predominantly White.</w:t>
      </w:r>
      <w:r>
        <w:rPr>
          <w:b/>
          <w:bCs/>
          <w:vertAlign w:val="superscript"/>
        </w:rPr>
        <w:t xml:space="preserve">Borg2011?</w:t>
      </w:r>
      <w:r>
        <w:t xml:space="preserve"> </w:t>
      </w:r>
      <w:r>
        <w:t xml:space="preserve">No data was included from South America (</w:t>
      </w:r>
      <w:hyperlink w:anchor="sec-suppl-geo-map">
        <w:r>
          <w:rPr>
            <w:rStyle w:val="Hyperlink"/>
          </w:rPr>
          <w:t xml:space="preserve">Appendix C</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7" w:name="fig-geographical"/>
          <w:p>
            <w:pPr>
              <w:pStyle w:val="Compact"/>
              <w:jc w:val="center"/>
            </w:pPr>
            <w:hyperlink r:id="rId135">
              <w:r>
                <w:drawing>
                  <wp:inline>
                    <wp:extent cx="5334000" cy="2685165"/>
                    <wp:effectExtent b="0" l="0" r="0" t="0"/>
                    <wp:docPr descr="" title="" id="133" name="Picture"/>
                    <a:graphic>
                      <a:graphicData uri="http://schemas.openxmlformats.org/drawingml/2006/picture">
                        <pic:pic>
                          <pic:nvPicPr>
                            <pic:cNvPr descr="figures/4_results_fig/study_1_world_map.png" id="134" name="Picture"/>
                            <pic:cNvPicPr>
                              <a:picLocks noChangeArrowheads="1" noChangeAspect="1"/>
                            </pic:cNvPicPr>
                          </pic:nvPicPr>
                          <pic:blipFill>
                            <a:blip r:embed="rId132"/>
                            <a:stretch>
                              <a:fillRect/>
                            </a:stretch>
                          </pic:blipFill>
                          <pic:spPr bwMode="auto">
                            <a:xfrm>
                              <a:off x="0" y="0"/>
                              <a:ext cx="5334000" cy="2685165"/>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4.2: Geographical location of the studies. Countries colored in red indicate the geographical locations where the studies were conducted. Map was created using MapChart</w:t>
            </w:r>
            <w:r>
              <w:t xml:space="preserve"> </w:t>
            </w:r>
            <w:hyperlink r:id="rId136">
              <w:r>
                <w:rPr>
                  <w:rStyle w:val="Hyperlink"/>
                </w:rPr>
                <w:t xml:space="preserve">https://www.mapchart.net/</w:t>
              </w:r>
            </w:hyperlink>
            <w:r>
              <w:t xml:space="preserve">.</w:t>
            </w:r>
          </w:p>
          <w:bookmarkEnd w:id="137"/>
        </w:tc>
      </w:tr>
    </w:tbl>
    <w:bookmarkEnd w:id="138"/>
    <w:bookmarkStart w:id="139" w:name="study-designs-and-demographics"/>
    <w:p>
      <w:pPr>
        <w:pStyle w:val="Heading3"/>
      </w:pPr>
      <w:r>
        <w:t xml:space="preserve">Study Designs and Demographics</w:t>
      </w:r>
    </w:p>
    <w:p>
      <w:pPr>
        <w:pStyle w:val="FirstParagraph"/>
      </w:pPr>
      <w:r>
        <w:t xml:space="preserve">Only one study was a randomized controlled trial,</w:t>
      </w:r>
      <w:r>
        <w:rPr>
          <w:b/>
          <w:bCs/>
          <w:vertAlign w:val="superscript"/>
        </w:rPr>
        <w:t xml:space="preserve">33?</w:t>
      </w:r>
      <w:r>
        <w:t xml:space="preserve"> </w:t>
      </w:r>
      <w:r>
        <w:t xml:space="preserve">and the remaining studies were observational.</w:t>
      </w:r>
      <w:r>
        <w:t xml:space="preserve"> </w:t>
      </w:r>
      <w:r>
        <w:t xml:space="preserve">Most studies used a cross-sectional design, with the cardiovascular outcome assessed at the same time as the CGM sensor was given.</w:t>
      </w:r>
      <w:r>
        <w:t xml:space="preserve"> </w:t>
      </w:r>
      <w:r>
        <w:t xml:space="preserve">Only six studies performed longitudinal analyses. Study sample sizes varied considerably, ranging from 17</w:t>
      </w:r>
      <w:r>
        <w:rPr>
          <w:b/>
          <w:bCs/>
          <w:vertAlign w:val="superscript"/>
        </w:rPr>
        <w:t xml:space="preserve">34?</w:t>
      </w:r>
      <w:r>
        <w:t xml:space="preserve"> </w:t>
      </w:r>
      <w:r>
        <w:t xml:space="preserve">to 6,225</w:t>
      </w:r>
      <w:r>
        <w:rPr>
          <w:b/>
          <w:bCs/>
          <w:vertAlign w:val="superscript"/>
        </w:rPr>
        <w:t xml:space="preserve">18?</w:t>
      </w:r>
      <w:r>
        <w:t xml:space="preserve"> </w:t>
      </w:r>
      <w:r>
        <w:t xml:space="preserve">participants, with a median of 152.</w:t>
      </w:r>
      <w:r>
        <w:t xml:space="preserve"> </w:t>
      </w:r>
      <w:r>
        <w:t xml:space="preserve">CGM data were obtained either from participants’ own devices (11 studies) or from CGM devices provided as part of the study (42 studies).</w:t>
      </w:r>
      <w:r>
        <w:t xml:space="preserve"> </w:t>
      </w:r>
      <w:r>
        <w:t xml:space="preserve">Statistical analyses most commonly included linear regression (22 studies) and logistic regression (22 studies), followed by Spearman or Pearson correlation analyses (11 studies) and Cox proportional hazards regression (3 studies). ´</w:t>
      </w:r>
      <w:r>
        <w:t xml:space="preserve"> </w:t>
      </w:r>
      <w:r>
        <w:t xml:space="preserve">Several studies also performed additional exploratory analyses, such as correlation analyses, to identify relevant covariates for inclusion in regression models.</w:t>
      </w:r>
    </w:p>
    <w:p>
      <w:pPr>
        <w:pStyle w:val="BodyText"/>
      </w:pPr>
      <w:r>
        <w:t xml:space="preserve">All included studies primarily investigated associations between CGM-derived measures and cardiovascular outcomes. Only three studies reported predictive performance measures as part of secondary analyses,</w:t>
      </w:r>
      <w:r>
        <w:rPr>
          <w:b/>
          <w:bCs/>
          <w:vertAlign w:val="superscript"/>
        </w:rPr>
        <w:t xml:space="preserve">Koroleva?</w:t>
      </w:r>
      <w:r>
        <w:t xml:space="preserve"> </w:t>
      </w:r>
      <w:r>
        <w:t xml:space="preserve">and none applied machine learning methods. Furthermore, none of the included studies provided openly available data or source code. Instead, availability was either not addressed or limited to access upon reasonable request from the corresponding author.</w:t>
      </w:r>
    </w:p>
    <w:bookmarkEnd w:id="139"/>
    <w:bookmarkStart w:id="141" w:name="continuous-glucose-monitoring"/>
    <w:p>
      <w:pPr>
        <w:pStyle w:val="Heading3"/>
      </w:pPr>
      <w:r>
        <w:t xml:space="preserve">Continuous Glucose Monitoring</w:t>
      </w:r>
    </w:p>
    <w:p>
      <w:pPr>
        <w:pStyle w:val="FirstParagraph"/>
      </w:pPr>
      <w:r>
        <w:t xml:space="preserve">Medtronic CGM devices were the most frequently used (28 of 53 studies), followed by Abbott (9 of 53) and Dexcom (5 of 53). Other manufacturers included Menarini, Meiqi Company, and SIBIONICS. Sampling intervals ranged from 3 to 15 minutes but were reported in only a minority of studies (21 of 53).</w:t>
      </w:r>
      <w:r>
        <w:t xml:space="preserve"> </w:t>
      </w:r>
      <w:r>
        <w:t xml:space="preserve">TIR (22 studies) and MAGE (23 studies) were the most frequently investigated CGM-derived metrics (</w:t>
      </w:r>
      <w:hyperlink w:anchor="tbl-study1-cgm-count">
        <w:r>
          <w:rPr>
            <w:rStyle w:val="Hyperlink"/>
          </w:rPr>
          <w:t xml:space="preserve">Table 4.1</w:t>
        </w:r>
      </w:hyperlink>
      <w:r>
        <w:t xml:space="preserve">)</w:t>
      </w:r>
      <w:r>
        <w:t xml:space="preserve"> </w:t>
      </w:r>
      <w:r>
        <w:t xml:space="preserve">When stratified by T1D and T2D then TIR was the most frequently investigated metric in T1D populations (10 of 23 studies), whereas MAGE was less commonly investigated (5 of 22 studies). In T2D populations, TIR and MAGE were investigated in 11 of 23 and 14 of 22 studies, respectively. Studies conducted in T2D populations also tended to include larger sample sizes than those in T1D populations (median [IQR]: TIR, 510 [405–600] vs. 214 [119–547]; MAGE, 251 [89–411] vs. 57 [30–215]).</w:t>
      </w:r>
    </w:p>
    <w:tbl>
      <w:tblPr>
        <w:tblStyle w:val="Table"/>
        <w:tblW w:type="pct" w:w="5000"/>
        <w:tblLayout w:type="fixed"/>
        <w:tblLook w:firstRow="0" w:lastRow="0" w:firstColumn="0" w:lastColumn="0" w:noHBand="0" w:noVBand="0" w:val="0000"/>
      </w:tblPr>
      <w:tblGrid>
        <w:gridCol w:w="7920"/>
      </w:tblGrid>
      <w:tr>
        <w:tc>
          <w:tcPr/>
          <w:bookmarkStart w:id="140" w:name="tbl-study1-cgm-count"/>
          <w:p>
            <w:pPr>
              <w:jc w:val="center"/>
            </w:pPr>
            <w:pPr>
              <w:jc w:val="left"/>
              <w:spacing w:before="200"/>
              <w:pStyle w:val="ImageCaption"/>
            </w:pPr>
            <w:r>
              <w:t xml:space="preserve">Table 4.1: Summary of the popularity of the seven most used CGM-derived metrics</w:t>
            </w:r>
          </w:p>
          <w:tbl>
            <w:tblPr>
              <w:tblStyle w:val="Table"/>
              <w:tblW w:type="pct" w:w="5000"/>
              <w:tblLayout w:type="fixed"/>
              <w:tblLook w:firstRow="1" w:lastRow="0" w:firstColumn="0" w:lastColumn="0" w:noHBand="0" w:noVBand="0" w:val="0020"/>
            </w:tblPr>
            <w:tblGrid>
              <w:gridCol w:w="1584"/>
              <w:gridCol w:w="1188"/>
              <w:gridCol w:w="792"/>
              <w:gridCol w:w="792"/>
              <w:gridCol w:w="792"/>
              <w:gridCol w:w="950"/>
              <w:gridCol w:w="1029"/>
              <w:gridCol w:w="792"/>
            </w:tblGrid>
            <w:tr>
              <w:trPr>
                <w:tblHeader w:val="on"/>
              </w:trPr>
              <w:tc>
                <w:tcPr/>
                <w:p>
                  <w:pPr>
                    <w:pStyle w:val="Compact"/>
                    <w:jc w:val="left"/>
                    <w:jc w:val="center"/>
                  </w:pPr>
                  <w:r>
                    <w:t xml:space="preserve">CGM-derived Metrics:</w:t>
                  </w:r>
                </w:p>
              </w:tc>
              <w:tc>
                <w:tcPr/>
                <w:p>
                  <w:pPr>
                    <w:pStyle w:val="Compact"/>
                    <w:jc w:val="center"/>
                    <w:jc w:val="center"/>
                  </w:pPr>
                  <w:r>
                    <w:t xml:space="preserve">TIR</w:t>
                  </w:r>
                </w:p>
              </w:tc>
              <w:tc>
                <w:tcPr/>
                <w:p>
                  <w:pPr>
                    <w:pStyle w:val="Compact"/>
                    <w:jc w:val="center"/>
                    <w:jc w:val="center"/>
                  </w:pPr>
                  <w:r>
                    <w:t xml:space="preserve">MAGE</w:t>
                  </w:r>
                </w:p>
              </w:tc>
              <w:tc>
                <w:tcPr/>
                <w:p>
                  <w:pPr>
                    <w:pStyle w:val="Compact"/>
                    <w:jc w:val="center"/>
                    <w:jc w:val="center"/>
                  </w:pPr>
                  <w:r>
                    <w:t xml:space="preserve">MBG</w:t>
                  </w:r>
                </w:p>
              </w:tc>
              <w:tc>
                <w:tcPr/>
                <w:p>
                  <w:pPr>
                    <w:pStyle w:val="Compact"/>
                    <w:jc w:val="center"/>
                    <w:jc w:val="center"/>
                  </w:pPr>
                  <w:r>
                    <w:t xml:space="preserve">SD</w:t>
                  </w:r>
                </w:p>
              </w:tc>
              <w:tc>
                <w:tcPr/>
                <w:p>
                  <w:pPr>
                    <w:pStyle w:val="Compact"/>
                    <w:jc w:val="center"/>
                    <w:jc w:val="center"/>
                  </w:pPr>
                  <w:r>
                    <w:t xml:space="preserve">CV</w:t>
                  </w:r>
                </w:p>
              </w:tc>
              <w:tc>
                <w:tcPr/>
                <w:p>
                  <w:pPr>
                    <w:pStyle w:val="Compact"/>
                    <w:jc w:val="center"/>
                    <w:jc w:val="center"/>
                  </w:pPr>
                  <w:r>
                    <w:t xml:space="preserve">TBR</w:t>
                  </w:r>
                </w:p>
              </w:tc>
              <w:tc>
                <w:tcPr/>
                <w:p>
                  <w:pPr>
                    <w:pStyle w:val="Compact"/>
                    <w:jc w:val="center"/>
                    <w:jc w:val="center"/>
                  </w:pPr>
                  <w:r>
                    <w:t xml:space="preserve">TAR</w:t>
                  </w:r>
                </w:p>
              </w:tc>
            </w:tr>
            <w:tr>
              <w:tc>
                <w:tcPr/>
                <w:p>
                  <w:pPr>
                    <w:pStyle w:val="Compact"/>
                    <w:jc w:val="left"/>
                    <w:jc w:val="center"/>
                  </w:pPr>
                  <w:r>
                    <w:rPr>
                      <w:b/>
                      <w:bCs/>
                    </w:rPr>
                    <w:t xml:space="preserve">Number of Studies, n</w:t>
                  </w:r>
                </w:p>
              </w:tc>
              <w:tc>
                <w:tcPr/>
                <w:p>
                  <w:pPr>
                    <w:pStyle w:val="Compact"/>
                    <w:jc w:val="center"/>
                    <w:jc w:val="center"/>
                  </w:pPr>
                  <w:r>
                    <w:t xml:space="preserve">23</w:t>
                  </w:r>
                </w:p>
              </w:tc>
              <w:tc>
                <w:tcPr/>
                <w:p>
                  <w:pPr>
                    <w:pStyle w:val="Compact"/>
                    <w:jc w:val="center"/>
                    <w:jc w:val="center"/>
                  </w:pPr>
                  <w:r>
                    <w:t xml:space="preserve">22</w:t>
                  </w:r>
                </w:p>
              </w:tc>
              <w:tc>
                <w:tcPr/>
                <w:p>
                  <w:pPr>
                    <w:pStyle w:val="Compact"/>
                    <w:jc w:val="center"/>
                    <w:jc w:val="center"/>
                  </w:pPr>
                  <w:r>
                    <w:t xml:space="preserve">21</w:t>
                  </w:r>
                </w:p>
              </w:tc>
              <w:tc>
                <w:tcPr/>
                <w:p>
                  <w:pPr>
                    <w:pStyle w:val="Compact"/>
                    <w:jc w:val="center"/>
                    <w:jc w:val="center"/>
                  </w:pPr>
                  <w:r>
                    <w:t xml:space="preserve">19</w:t>
                  </w:r>
                </w:p>
              </w:tc>
              <w:tc>
                <w:tcPr/>
                <w:p>
                  <w:pPr>
                    <w:pStyle w:val="Compact"/>
                    <w:jc w:val="center"/>
                    <w:jc w:val="center"/>
                  </w:pPr>
                  <w:r>
                    <w:t xml:space="preserve">19</w:t>
                  </w:r>
                </w:p>
              </w:tc>
              <w:tc>
                <w:tcPr/>
                <w:p>
                  <w:pPr>
                    <w:pStyle w:val="Compact"/>
                    <w:jc w:val="center"/>
                    <w:jc w:val="center"/>
                  </w:pPr>
                  <w:r>
                    <w:t xml:space="preserve">16</w:t>
                  </w:r>
                </w:p>
              </w:tc>
              <w:tc>
                <w:tcPr/>
                <w:p>
                  <w:pPr>
                    <w:pStyle w:val="Compact"/>
                    <w:jc w:val="center"/>
                    <w:jc w:val="center"/>
                  </w:pPr>
                  <w:r>
                    <w:t xml:space="preserve">15</w:t>
                  </w:r>
                </w:p>
              </w:tc>
            </w:tr>
            <w:tr>
              <w:tc>
                <w:tcPr/>
                <w:p>
                  <w:pPr>
                    <w:pStyle w:val="Compact"/>
                    <w:jc w:val="left"/>
                    <w:jc w:val="center"/>
                  </w:pPr>
                  <w:r>
                    <w:t xml:space="preserve">    T1D, n</w:t>
                  </w:r>
                </w:p>
              </w:tc>
              <w:tc>
                <w:tcPr/>
                <w:p>
                  <w:pPr>
                    <w:pStyle w:val="Compact"/>
                    <w:jc w:val="center"/>
                    <w:jc w:val="center"/>
                  </w:pPr>
                  <w:r>
                    <w:t xml:space="preserve">10</w:t>
                  </w:r>
                </w:p>
              </w:tc>
              <w:tc>
                <w:tcPr/>
                <w:p>
                  <w:pPr>
                    <w:pStyle w:val="Compact"/>
                    <w:jc w:val="center"/>
                    <w:jc w:val="center"/>
                  </w:pPr>
                  <w:r>
                    <w:t xml:space="preserve">5</w:t>
                  </w:r>
                </w:p>
              </w:tc>
              <w:tc>
                <w:tcPr/>
                <w:p>
                  <w:pPr>
                    <w:pStyle w:val="Compact"/>
                    <w:jc w:val="center"/>
                    <w:jc w:val="center"/>
                  </w:pPr>
                  <w:r>
                    <w:t xml:space="preserve">9</w:t>
                  </w:r>
                </w:p>
              </w:tc>
              <w:tc>
                <w:tcPr/>
                <w:p>
                  <w:pPr>
                    <w:pStyle w:val="Compact"/>
                    <w:jc w:val="center"/>
                    <w:jc w:val="center"/>
                  </w:pPr>
                  <w:r>
                    <w:t xml:space="preserve">7</w:t>
                  </w:r>
                </w:p>
              </w:tc>
              <w:tc>
                <w:tcPr/>
                <w:p>
                  <w:pPr>
                    <w:pStyle w:val="Compact"/>
                    <w:jc w:val="center"/>
                    <w:jc w:val="center"/>
                  </w:pPr>
                  <w:r>
                    <w:t xml:space="preserve">8</w:t>
                  </w:r>
                </w:p>
              </w:tc>
              <w:tc>
                <w:tcPr/>
                <w:p>
                  <w:pPr>
                    <w:pStyle w:val="Compact"/>
                    <w:jc w:val="center"/>
                    <w:jc w:val="center"/>
                  </w:pPr>
                  <w:r>
                    <w:t xml:space="preserve">9</w:t>
                  </w:r>
                </w:p>
              </w:tc>
              <w:tc>
                <w:tcPr/>
                <w:p>
                  <w:pPr>
                    <w:pStyle w:val="Compact"/>
                    <w:jc w:val="center"/>
                    <w:jc w:val="center"/>
                  </w:pPr>
                  <w:r>
                    <w:t xml:space="preserve">8</w:t>
                  </w:r>
                </w:p>
              </w:tc>
            </w:tr>
            <w:tr>
              <w:tc>
                <w:tcPr/>
                <w:p>
                  <w:pPr>
                    <w:pStyle w:val="Compact"/>
                    <w:jc w:val="left"/>
                    <w:jc w:val="center"/>
                  </w:pPr>
                  <w:r>
                    <w:t xml:space="preserve">    T2D, n</w:t>
                  </w:r>
                </w:p>
              </w:tc>
              <w:tc>
                <w:tcPr/>
                <w:p>
                  <w:pPr>
                    <w:pStyle w:val="Compact"/>
                    <w:jc w:val="center"/>
                    <w:jc w:val="center"/>
                  </w:pPr>
                  <w:r>
                    <w:t xml:space="preserve">11</w:t>
                  </w:r>
                </w:p>
              </w:tc>
              <w:tc>
                <w:tcPr/>
                <w:p>
                  <w:pPr>
                    <w:pStyle w:val="Compact"/>
                    <w:jc w:val="center"/>
                    <w:jc w:val="center"/>
                  </w:pPr>
                  <w:r>
                    <w:t xml:space="preserve">14</w:t>
                  </w:r>
                </w:p>
              </w:tc>
              <w:tc>
                <w:tcPr/>
                <w:p>
                  <w:pPr>
                    <w:pStyle w:val="Compact"/>
                    <w:jc w:val="center"/>
                    <w:jc w:val="center"/>
                  </w:pPr>
                  <w:r>
                    <w:t xml:space="preserve">8</w:t>
                  </w:r>
                </w:p>
              </w:tc>
              <w:tc>
                <w:tcPr/>
                <w:p>
                  <w:pPr>
                    <w:pStyle w:val="Compact"/>
                    <w:jc w:val="center"/>
                    <w:jc w:val="center"/>
                  </w:pPr>
                  <w:r>
                    <w:t xml:space="preserve">10</w:t>
                  </w:r>
                </w:p>
              </w:tc>
              <w:tc>
                <w:tcPr/>
                <w:p>
                  <w:pPr>
                    <w:pStyle w:val="Compact"/>
                    <w:jc w:val="center"/>
                    <w:jc w:val="center"/>
                  </w:pPr>
                  <w:r>
                    <w:t xml:space="preserve">8</w:t>
                  </w:r>
                </w:p>
              </w:tc>
              <w:tc>
                <w:tcPr/>
                <w:p>
                  <w:pPr>
                    <w:pStyle w:val="Compact"/>
                    <w:jc w:val="center"/>
                    <w:jc w:val="center"/>
                  </w:pPr>
                  <w:r>
                    <w:t xml:space="preserve">7</w:t>
                  </w:r>
                </w:p>
              </w:tc>
              <w:tc>
                <w:tcPr/>
                <w:p>
                  <w:pPr>
                    <w:pStyle w:val="Compact"/>
                    <w:jc w:val="center"/>
                    <w:jc w:val="center"/>
                  </w:pPr>
                  <w:r>
                    <w:t xml:space="preserve">7</w:t>
                  </w:r>
                </w:p>
              </w:tc>
            </w:tr>
            <w:tr>
              <w:tc>
                <w:tcPr/>
                <w:p>
                  <w:pPr>
                    <w:pStyle w:val="Compact"/>
                    <w:jc w:val="left"/>
                    <w:jc w:val="center"/>
                  </w:pPr>
                  <w:r>
                    <w:t xml:space="preserve">    Mixed</w:t>
                  </w:r>
                  <m:oMath>
                    <m:sSup>
                      <m:e>
                        <m:r>
                          <m:t>​</m:t>
                        </m:r>
                      </m:e>
                      <m:sup>
                        <m:r>
                          <m:rPr>
                            <m:sty m:val="p"/>
                          </m:rPr>
                          <m:t>*</m:t>
                        </m:r>
                      </m:sup>
                    </m:sSup>
                  </m:oMath>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4</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r>
            <w:tr>
              <w:tc>
                <w:tcPr/>
                <w:p>
                  <w:pPr>
                    <w:pStyle w:val="Compact"/>
                    <w:jc w:val="left"/>
                    <w:jc w:val="center"/>
                  </w:pPr>
                  <w:r>
                    <w:rPr>
                      <w:b/>
                      <w:bCs/>
                    </w:rPr>
                    <w:t xml:space="preserve">Total study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size for the CGM-derived metrics</w:t>
                  </w:r>
                  <m:oMath>
                    <m:sSup>
                      <m:e>
                        <m:r>
                          <m:t>​</m:t>
                        </m:r>
                      </m:e>
                      <m:sup>
                        <m:r>
                          <m:rPr>
                            <m:sty m:val="p"/>
                          </m:rPr>
                          <m:t>*</m:t>
                        </m:r>
                        <m:r>
                          <m:rPr>
                            <m:sty m:val="p"/>
                          </m:rPr>
                          <m:t>*</m:t>
                        </m:r>
                      </m:sup>
                    </m:sSup>
                  </m:oMath>
                </w:p>
              </w:tc>
              <w:tc>
                <w:tcPr/>
                <w:p>
                  <w:pPr>
                    <w:pStyle w:val="Compact"/>
                    <w:jc w:val="center"/>
                    <w:jc w:val="center"/>
                  </w:pPr>
                  <w:r>
                    <w:t xml:space="preserve">445 [157-577]</w:t>
                  </w:r>
                </w:p>
              </w:tc>
              <w:tc>
                <w:tcPr/>
                <w:p>
                  <w:pPr>
                    <w:pStyle w:val="Compact"/>
                    <w:jc w:val="center"/>
                    <w:jc w:val="center"/>
                  </w:pPr>
                  <w:r>
                    <w:t xml:space="preserve">156 [63-344]</w:t>
                  </w:r>
                </w:p>
              </w:tc>
              <w:tc>
                <w:tcPr/>
                <w:p>
                  <w:pPr>
                    <w:pStyle w:val="Compact"/>
                    <w:jc w:val="center"/>
                    <w:jc w:val="center"/>
                  </w:pPr>
                  <w:r>
                    <w:t xml:space="preserve">105 [71-427]</w:t>
                  </w:r>
                </w:p>
              </w:tc>
              <w:tc>
                <w:tcPr/>
                <w:p>
                  <w:pPr>
                    <w:pStyle w:val="Compact"/>
                    <w:jc w:val="center"/>
                    <w:jc w:val="center"/>
                  </w:pPr>
                  <w:r>
                    <w:t xml:space="preserve">267 [77-480]</w:t>
                  </w:r>
                </w:p>
              </w:tc>
              <w:tc>
                <w:tcPr/>
                <w:p>
                  <w:pPr>
                    <w:pStyle w:val="Compact"/>
                    <w:jc w:val="center"/>
                    <w:jc w:val="center"/>
                  </w:pPr>
                  <w:r>
                    <w:t xml:space="preserve">342 [98-577]</w:t>
                  </w:r>
                </w:p>
              </w:tc>
              <w:tc>
                <w:tcPr/>
                <w:p>
                  <w:pPr>
                    <w:pStyle w:val="Compact"/>
                    <w:jc w:val="center"/>
                    <w:jc w:val="center"/>
                  </w:pPr>
                  <w:r>
                    <w:t xml:space="preserve">123 [77-312]</w:t>
                  </w:r>
                </w:p>
              </w:tc>
              <w:tc>
                <w:tcPr/>
                <w:p>
                  <w:pPr>
                    <w:pStyle w:val="Compact"/>
                    <w:jc w:val="center"/>
                    <w:jc w:val="center"/>
                  </w:pPr>
                  <w:r>
                    <w:t xml:space="preserve">152 [77-425]</w:t>
                  </w:r>
                </w:p>
              </w:tc>
            </w:tr>
            <w:tr>
              <w:tc>
                <w:tcPr/>
                <w:p>
                  <w:pPr>
                    <w:pStyle w:val="Compact"/>
                    <w:jc w:val="left"/>
                    <w:jc w:val="center"/>
                  </w:pPr>
                  <w:r>
                    <w:t xml:space="preserve">    T1D</w:t>
                  </w:r>
                  <m:oMath>
                    <m:sSup>
                      <m:e>
                        <m:r>
                          <m:t>​</m:t>
                        </m:r>
                      </m:e>
                      <m:sup>
                        <m:r>
                          <m:rPr>
                            <m:sty m:val="p"/>
                          </m:rPr>
                          <m:t>*</m:t>
                        </m:r>
                        <m:r>
                          <m:rPr>
                            <m:sty m:val="p"/>
                          </m:rPr>
                          <m:t>*</m:t>
                        </m:r>
                      </m:sup>
                    </m:sSup>
                  </m:oMath>
                </w:p>
              </w:tc>
              <w:tc>
                <w:tcPr/>
                <w:p>
                  <w:pPr>
                    <w:pStyle w:val="Compact"/>
                    <w:jc w:val="center"/>
                    <w:jc w:val="center"/>
                  </w:pPr>
                  <w:r>
                    <w:t xml:space="preserve">214 [119-547]</w:t>
                  </w:r>
                </w:p>
              </w:tc>
              <w:tc>
                <w:tcPr/>
                <w:p>
                  <w:pPr>
                    <w:pStyle w:val="Compact"/>
                    <w:jc w:val="center"/>
                    <w:jc w:val="center"/>
                  </w:pPr>
                  <w:r>
                    <w:t xml:space="preserve">57 [30-215]</w:t>
                  </w:r>
                </w:p>
              </w:tc>
              <w:tc>
                <w:tcPr/>
                <w:p>
                  <w:pPr>
                    <w:pStyle w:val="Compact"/>
                    <w:jc w:val="center"/>
                    <w:jc w:val="center"/>
                  </w:pPr>
                  <w:r>
                    <w:t xml:space="preserve">105 [31-347]</w:t>
                  </w:r>
                </w:p>
              </w:tc>
              <w:tc>
                <w:tcPr/>
                <w:p>
                  <w:pPr>
                    <w:pStyle w:val="Compact"/>
                    <w:jc w:val="center"/>
                    <w:jc w:val="center"/>
                  </w:pPr>
                  <w:r>
                    <w:t xml:space="preserve">267 [54-515]</w:t>
                  </w:r>
                </w:p>
              </w:tc>
              <w:tc>
                <w:tcPr/>
                <w:p>
                  <w:pPr>
                    <w:pStyle w:val="Compact"/>
                    <w:jc w:val="center"/>
                    <w:jc w:val="center"/>
                  </w:pPr>
                  <w:r>
                    <w:t xml:space="preserve">152 [91-515]</w:t>
                  </w:r>
                </w:p>
              </w:tc>
              <w:tc>
                <w:tcPr/>
                <w:p>
                  <w:pPr>
                    <w:pStyle w:val="Compact"/>
                    <w:jc w:val="center"/>
                    <w:jc w:val="center"/>
                  </w:pPr>
                  <w:r>
                    <w:t xml:space="preserve">124 [102-161]</w:t>
                  </w:r>
                </w:p>
              </w:tc>
              <w:tc>
                <w:tcPr/>
                <w:p>
                  <w:pPr>
                    <w:pStyle w:val="Compact"/>
                    <w:jc w:val="center"/>
                    <w:jc w:val="center"/>
                  </w:pPr>
                  <w:r>
                    <w:t xml:space="preserve">138 [98-188]</w:t>
                  </w:r>
                </w:p>
              </w:tc>
            </w:tr>
            <w:tr>
              <w:tc>
                <w:tcPr/>
                <w:p>
                  <w:pPr>
                    <w:pStyle w:val="Compact"/>
                    <w:jc w:val="left"/>
                    <w:jc w:val="center"/>
                  </w:pPr>
                  <w:r>
                    <w:t xml:space="preserve">    T2D</w:t>
                  </w:r>
                  <m:oMath>
                    <m:sSup>
                      <m:e>
                        <m:r>
                          <m:t>​</m:t>
                        </m:r>
                      </m:e>
                      <m:sup>
                        <m:r>
                          <m:rPr>
                            <m:sty m:val="p"/>
                          </m:rPr>
                          <m:t>*</m:t>
                        </m:r>
                        <m:r>
                          <m:rPr>
                            <m:sty m:val="p"/>
                          </m:rPr>
                          <m:t>*</m:t>
                        </m:r>
                      </m:sup>
                    </m:sSup>
                  </m:oMath>
                </w:p>
              </w:tc>
              <w:tc>
                <w:tcPr/>
                <w:p>
                  <w:pPr>
                    <w:pStyle w:val="Compact"/>
                    <w:jc w:val="center"/>
                    <w:jc w:val="center"/>
                  </w:pPr>
                  <w:r>
                    <w:t xml:space="preserve">510 [405-600]</w:t>
                  </w:r>
                </w:p>
              </w:tc>
              <w:tc>
                <w:tcPr/>
                <w:p>
                  <w:pPr>
                    <w:pStyle w:val="Compact"/>
                    <w:jc w:val="center"/>
                    <w:jc w:val="center"/>
                  </w:pPr>
                  <w:r>
                    <w:t xml:space="preserve">251 [89-411]</w:t>
                  </w:r>
                </w:p>
              </w:tc>
              <w:tc>
                <w:tcPr/>
                <w:p>
                  <w:pPr>
                    <w:pStyle w:val="Compact"/>
                    <w:jc w:val="center"/>
                    <w:jc w:val="center"/>
                  </w:pPr>
                  <w:r>
                    <w:t xml:space="preserve">405 [77-499]</w:t>
                  </w:r>
                </w:p>
              </w:tc>
              <w:tc>
                <w:tcPr/>
                <w:p>
                  <w:pPr>
                    <w:pStyle w:val="Compact"/>
                    <w:jc w:val="center"/>
                    <w:jc w:val="center"/>
                  </w:pPr>
                  <w:r>
                    <w:t xml:space="preserve">371 [95-484]</w:t>
                  </w:r>
                </w:p>
              </w:tc>
              <w:tc>
                <w:tcPr/>
                <w:p>
                  <w:pPr>
                    <w:pStyle w:val="Compact"/>
                    <w:jc w:val="center"/>
                    <w:jc w:val="center"/>
                  </w:pPr>
                  <w:r>
                    <w:t xml:space="preserve">499 [358-632]</w:t>
                  </w:r>
                </w:p>
              </w:tc>
              <w:tc>
                <w:tcPr/>
                <w:p>
                  <w:pPr>
                    <w:pStyle w:val="Compact"/>
                    <w:jc w:val="center"/>
                    <w:jc w:val="center"/>
                  </w:pPr>
                  <w:r>
                    <w:t xml:space="preserve">121 [75-499]</w:t>
                  </w:r>
                </w:p>
              </w:tc>
              <w:tc>
                <w:tcPr/>
                <w:p>
                  <w:pPr>
                    <w:pStyle w:val="Compact"/>
                    <w:jc w:val="center"/>
                    <w:jc w:val="center"/>
                  </w:pPr>
                  <w:r>
                    <w:t xml:space="preserve">405 [75-499]</w:t>
                  </w:r>
                </w:p>
              </w:tc>
            </w:tr>
          </w:tbl>
          <w:bookmarkEnd w:id="140"/>
          <w:p/>
        </w:tc>
      </w:tr>
    </w:tbl>
    <w:bookmarkEnd w:id="141"/>
    <w:bookmarkStart w:id="142" w:name="prediction-studies"/>
    <w:p>
      <w:pPr>
        <w:pStyle w:val="Heading3"/>
      </w:pPr>
      <w:r>
        <w:t xml:space="preserve">Prediction studies</w:t>
      </w:r>
    </w:p>
    <w:p>
      <w:pPr>
        <w:pStyle w:val="FirstParagraph"/>
      </w:pPr>
      <w:r>
        <w:t xml:space="preserve">Only three studies evaluated the predictive performance of CGM-derived metrics for cardiovascular outcomes, all using logistic regression models with MAGE as the predictor. Two studies reported receiver operating characteristic area under the curve (ROC-AUC) values of 0.61 and 0.62, respectively,</w:t>
      </w:r>
      <w:r>
        <w:rPr>
          <w:b/>
          <w:bCs/>
          <w:vertAlign w:val="superscript"/>
        </w:rPr>
        <w:t xml:space="preserve">43?</w:t>
      </w:r>
      <w:r>
        <w:t xml:space="preserve"> </w:t>
      </w:r>
      <w:r>
        <w:t xml:space="preserve">and both found MAGE to outperform HbA1c (ROC-AUC: 0.55 and 0.58, respectively). The third study used receiver operating characteristic analysis to determine the optimal threshold for dichotomizing MAGE during variable selection but did not report the ROC-AUC.</w:t>
      </w:r>
      <w:r>
        <w:rPr>
          <w:b/>
          <w:bCs/>
          <w:vertAlign w:val="superscript"/>
        </w:rPr>
        <w:t xml:space="preserve">44?</w:t>
      </w:r>
      <w:r>
        <w:t xml:space="preserve"> </w:t>
      </w:r>
      <w:r>
        <w:t xml:space="preserve">Instead, a threshold of MAGE ≥ 3.4 mmol/L was identified as a risk factor for stenosis and/or occlusion, with a sensitivity of 0.60 and a specificity of 0.61.</w:t>
      </w:r>
    </w:p>
    <w:bookmarkEnd w:id="142"/>
    <w:bookmarkStart w:id="144" w:name="association-studies"/>
    <w:p>
      <w:pPr>
        <w:pStyle w:val="Heading3"/>
      </w:pPr>
      <w:r>
        <w:t xml:space="preserve">Association studies</w:t>
      </w:r>
    </w:p>
    <w:p>
      <w:pPr>
        <w:pStyle w:val="FirstParagraph"/>
      </w:pPr>
      <w:r>
        <w:t xml:space="preserve">An overview of the different outcomes found in the literature both clinical and subclinical are shown in</w:t>
      </w:r>
      <w:r>
        <w:t xml:space="preserve"> </w:t>
      </w:r>
      <w:hyperlink w:anchor="tbl-study3-clin-subclin-cvd">
        <w:r>
          <w:rPr>
            <w:rStyle w:val="Hyperlink"/>
          </w:rPr>
          <w:t xml:space="preserve">Table 4.2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3" w:name="tbl-study3-clin-subclin-cvd"/>
          <w:p>
            <w:pPr>
              <w:jc w:val="center"/>
            </w:pPr>
            <w:pPr>
              <w:jc w:val="left"/>
              <w:spacing w:before="200"/>
              <w:pStyle w:val="ImageCaption"/>
            </w:pPr>
            <w:r>
              <w:t xml:space="preserve">Table 4.2: Summary of established clinical and subclinical outcomes and corresponding abbreviations identified in the literature.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Clinical</w:t>
                  </w:r>
                </w:p>
              </w:tc>
              <w:tc>
                <w:tcPr/>
                <w:p>
                  <w:pPr>
                    <w:pStyle w:val="Compact"/>
                    <w:jc w:val="left"/>
                    <w:jc w:val="center"/>
                  </w:pPr>
                  <w:r>
                    <w:t xml:space="preserve">Subclinical</w:t>
                  </w:r>
                </w:p>
              </w:tc>
            </w:tr>
            <w:tr>
              <w:tc>
                <w:tcPr/>
                <w:p>
                  <w:pPr>
                    <w:pStyle w:val="Compact"/>
                    <w:jc w:val="left"/>
                    <w:jc w:val="center"/>
                  </w:pPr>
                  <w:r>
                    <w:t xml:space="preserve">CVD = Cardiovascular disease</w:t>
                  </w:r>
                </w:p>
              </w:tc>
              <w:tc>
                <w:tcPr/>
                <w:p>
                  <w:pPr>
                    <w:pStyle w:val="Compact"/>
                    <w:jc w:val="left"/>
                    <w:jc w:val="center"/>
                  </w:pPr>
                  <w:r>
                    <w:t xml:space="preserve">ABI = Ankle–brachial index</w:t>
                  </w:r>
                </w:p>
              </w:tc>
            </w:tr>
            <w:tr>
              <w:tc>
                <w:tcPr/>
                <w:p>
                  <w:pPr>
                    <w:pStyle w:val="Compact"/>
                    <w:jc w:val="left"/>
                    <w:jc w:val="center"/>
                  </w:pPr>
                  <w:r>
                    <w:t xml:space="preserve">   - Macrovascular complications</w:t>
                  </w:r>
                </w:p>
              </w:tc>
              <w:tc>
                <w:tcPr/>
                <w:p>
                  <w:pPr>
                    <w:pStyle w:val="Compact"/>
                    <w:jc w:val="left"/>
                    <w:jc w:val="center"/>
                  </w:pPr>
                  <w:r>
                    <w:t xml:space="preserve">BP = Blood pressure</w:t>
                  </w:r>
                </w:p>
              </w:tc>
            </w:tr>
            <w:tr>
              <w:tc>
                <w:tcPr/>
                <w:p>
                  <w:pPr>
                    <w:pStyle w:val="Compact"/>
                    <w:jc w:val="left"/>
                    <w:jc w:val="center"/>
                  </w:pPr>
                  <w:r>
                    <w:t xml:space="preserve">   - Diabetic macroangiopathy</w:t>
                  </w:r>
                </w:p>
              </w:tc>
              <w:tc>
                <w:tcPr/>
                <w:p>
                  <w:pPr>
                    <w:pStyle w:val="Compact"/>
                    <w:jc w:val="left"/>
                    <w:jc w:val="center"/>
                  </w:pPr>
                  <w:r>
                    <w:t xml:space="preserve">Carotid artery distensibility = Carotid artery distensibility or carotid distensibility coefficient</w:t>
                  </w:r>
                </w:p>
              </w:tc>
            </w:tr>
            <w:tr>
              <w:tc>
                <w:tcPr/>
                <w:p>
                  <w:pPr>
                    <w:pStyle w:val="Compact"/>
                    <w:jc w:val="left"/>
                    <w:jc w:val="center"/>
                  </w:pPr>
                  <w:r>
                    <w:t xml:space="preserve">CAD = Coronary artery disease</w:t>
                  </w:r>
                </w:p>
              </w:tc>
              <w:tc>
                <w:tcPr/>
                <w:p>
                  <w:pPr>
                    <w:pStyle w:val="Compact"/>
                    <w:jc w:val="left"/>
                    <w:jc w:val="center"/>
                  </w:pPr>
                  <w:r>
                    <w:t xml:space="preserve">CCA = Common carotid artery</w:t>
                  </w:r>
                </w:p>
              </w:tc>
            </w:tr>
            <w:tr>
              <w:tc>
                <w:tcPr/>
                <w:p>
                  <w:pPr>
                    <w:pStyle w:val="Compact"/>
                    <w:jc w:val="left"/>
                    <w:jc w:val="center"/>
                  </w:pPr>
                  <w:r>
                    <w:t xml:space="preserve">   - CHD = Coronary heart disease</w:t>
                  </w:r>
                </w:p>
              </w:tc>
              <w:tc>
                <w:tcPr/>
                <w:p>
                  <w:pPr>
                    <w:pStyle w:val="Compact"/>
                    <w:jc w:val="left"/>
                    <w:jc w:val="center"/>
                  </w:pPr>
                  <w:r>
                    <w:t xml:space="preserve">CIMT = Carotid artery intima-media thickness</w:t>
                  </w:r>
                </w:p>
              </w:tc>
            </w:tr>
            <w:tr>
              <w:tc>
                <w:tcPr/>
                <w:p>
                  <w:pPr>
                    <w:pStyle w:val="Compact"/>
                    <w:jc w:val="left"/>
                    <w:jc w:val="center"/>
                  </w:pPr>
                  <w:r>
                    <w:t xml:space="preserve">   - MI = Myocardial infarction</w:t>
                  </w:r>
                </w:p>
              </w:tc>
              <w:tc>
                <w:tcPr/>
                <w:p>
                  <w:pPr>
                    <w:pStyle w:val="Compact"/>
                    <w:jc w:val="left"/>
                    <w:jc w:val="center"/>
                  </w:pPr>
                  <w:r>
                    <w:t xml:space="preserve">DBP = Diastolic blood pressure</w:t>
                  </w:r>
                </w:p>
              </w:tc>
            </w:tr>
            <w:tr>
              <w:tc>
                <w:tcPr/>
                <w:p>
                  <w:pPr>
                    <w:pStyle w:val="Compact"/>
                    <w:jc w:val="left"/>
                    <w:jc w:val="center"/>
                  </w:pPr>
                  <w:r>
                    <w:t xml:space="preserve">   - Heart attack</w:t>
                  </w:r>
                </w:p>
              </w:tc>
              <w:tc>
                <w:tcPr/>
                <w:p>
                  <w:pPr>
                    <w:pStyle w:val="Compact"/>
                    <w:jc w:val="left"/>
                    <w:jc w:val="center"/>
                  </w:pPr>
                  <w:r>
                    <w:t xml:space="preserve">FMD = Flow-mediated dilation of the brachial artery</w:t>
                  </w:r>
                </w:p>
              </w:tc>
            </w:tr>
            <w:tr>
              <w:tc>
                <w:tcPr/>
                <w:p>
                  <w:pPr>
                    <w:pStyle w:val="Compact"/>
                    <w:jc w:val="left"/>
                    <w:jc w:val="center"/>
                  </w:pPr>
                  <w:r>
                    <w:t xml:space="preserve">   - Heart failure</w:t>
                  </w:r>
                </w:p>
              </w:tc>
              <w:tc>
                <w:tcPr/>
                <w:p>
                  <w:pPr>
                    <w:pStyle w:val="Compact"/>
                    <w:jc w:val="left"/>
                    <w:jc w:val="center"/>
                  </w:pPr>
                  <w:r>
                    <w:t xml:space="preserve">GSM = Gray-scale median of the carotid arteries</w:t>
                  </w:r>
                </w:p>
              </w:tc>
            </w:tr>
            <w:tr>
              <w:tc>
                <w:tcPr/>
                <w:p>
                  <w:pPr>
                    <w:pStyle w:val="Compact"/>
                    <w:jc w:val="left"/>
                    <w:jc w:val="center"/>
                  </w:pPr>
                  <w:r>
                    <w:t xml:space="preserve">   - (Unstable) angina pectoris</w:t>
                  </w:r>
                </w:p>
              </w:tc>
              <w:tc>
                <w:tcPr/>
                <w:p>
                  <w:pPr>
                    <w:pStyle w:val="Compact"/>
                    <w:jc w:val="left"/>
                    <w:jc w:val="center"/>
                  </w:pPr>
                  <w:r>
                    <w:t xml:space="preserve">HRV = Heart rate variability</w:t>
                  </w:r>
                </w:p>
              </w:tc>
            </w:tr>
            <w:tr>
              <w:tc>
                <w:tcPr/>
                <w:p>
                  <w:pPr>
                    <w:pStyle w:val="Compact"/>
                    <w:jc w:val="left"/>
                    <w:jc w:val="center"/>
                  </w:pPr>
                  <w:r>
                    <w:t xml:space="preserve">Cardiovascular events</w:t>
                  </w:r>
                </w:p>
              </w:tc>
              <w:tc>
                <w:tcPr/>
                <w:p>
                  <w:pPr>
                    <w:pStyle w:val="Compact"/>
                    <w:jc w:val="left"/>
                    <w:jc w:val="center"/>
                  </w:pPr>
                  <w:r>
                    <w:t xml:space="preserve">IMT = Intima-media thickness</w:t>
                  </w:r>
                </w:p>
              </w:tc>
            </w:tr>
            <w:tr>
              <w:tc>
                <w:tcPr/>
                <w:p>
                  <w:pPr>
                    <w:pStyle w:val="Compact"/>
                    <w:jc w:val="left"/>
                    <w:jc w:val="center"/>
                  </w:pPr>
                  <w:r>
                    <w:t xml:space="preserve">   - Ishemic heart disease (IHD)</w:t>
                  </w:r>
                </w:p>
              </w:tc>
              <w:tc>
                <w:tcPr/>
                <w:p>
                  <w:pPr>
                    <w:pStyle w:val="Compact"/>
                    <w:jc w:val="left"/>
                    <w:jc w:val="center"/>
                  </w:pPr>
                  <w:r>
                    <w:t xml:space="preserve">PWV = Pulse wave velocity</w:t>
                  </w:r>
                </w:p>
              </w:tc>
            </w:tr>
            <w:tr>
              <w:tc>
                <w:tcPr/>
                <w:p>
                  <w:pPr>
                    <w:pStyle w:val="Compact"/>
                    <w:jc w:val="left"/>
                    <w:jc w:val="center"/>
                  </w:pPr>
                  <w:r>
                    <w:t xml:space="preserve">LEAD = Lower extremity artery disease</w:t>
                  </w:r>
                </w:p>
              </w:tc>
              <w:tc>
                <w:tcPr/>
                <w:p>
                  <w:pPr>
                    <w:pStyle w:val="Compact"/>
                    <w:jc w:val="left"/>
                    <w:jc w:val="center"/>
                  </w:pPr>
                  <w:r>
                    <w:t xml:space="preserve">   - ba-PWV = Brachial-ankle pulse wave velocity</w:t>
                  </w:r>
                </w:p>
              </w:tc>
            </w:tr>
            <w:tr>
              <w:tc>
                <w:tcPr/>
                <w:p>
                  <w:pPr>
                    <w:pStyle w:val="Compact"/>
                    <w:jc w:val="left"/>
                    <w:jc w:val="center"/>
                  </w:pPr>
                  <w:r>
                    <w:t xml:space="preserve">MACE = Major adverse cardiovascular events</w:t>
                  </w:r>
                </w:p>
              </w:tc>
              <w:tc>
                <w:tcPr/>
                <w:p>
                  <w:pPr>
                    <w:pStyle w:val="Compact"/>
                    <w:jc w:val="left"/>
                    <w:jc w:val="center"/>
                  </w:pPr>
                  <w:r>
                    <w:t xml:space="preserve">   - cr-PWV = Carotid-radial pulse wave velocity</w:t>
                  </w:r>
                </w:p>
              </w:tc>
            </w:tr>
            <w:tr>
              <w:tc>
                <w:tcPr/>
                <w:p>
                  <w:pPr>
                    <w:pStyle w:val="Compact"/>
                    <w:jc w:val="left"/>
                    <w:jc w:val="center"/>
                  </w:pPr>
                  <w:r>
                    <w:t xml:space="preserve">PAD = Peripheral artery disease</w:t>
                  </w:r>
                </w:p>
              </w:tc>
              <w:tc>
                <w:tcPr/>
                <w:p>
                  <w:pPr>
                    <w:pStyle w:val="Compact"/>
                    <w:jc w:val="left"/>
                    <w:jc w:val="center"/>
                  </w:pPr>
                  <w:r>
                    <w:t xml:space="preserve">   - cf-PWV = Carotid-femoral pulse wave velocity</w:t>
                  </w:r>
                </w:p>
              </w:tc>
            </w:tr>
            <w:tr>
              <w:tc>
                <w:tcPr/>
                <w:p>
                  <w:pPr>
                    <w:pStyle w:val="Compact"/>
                    <w:jc w:val="left"/>
                    <w:jc w:val="center"/>
                  </w:pPr>
                  <w:r>
                    <w:t xml:space="preserve">Stroke = Stroke, Cerebrovascular disease, or Cerebrovascular accident</w:t>
                  </w:r>
                </w:p>
              </w:tc>
              <w:tc>
                <w:tcPr/>
                <w:p>
                  <w:pPr>
                    <w:pStyle w:val="Compact"/>
                    <w:jc w:val="left"/>
                    <w:jc w:val="center"/>
                  </w:pPr>
                  <w:r>
                    <w:t xml:space="preserve">   - Aortic PWV = Aortic pulse wave velocity</w:t>
                  </w:r>
                </w:p>
              </w:tc>
            </w:tr>
            <w:tr>
              <w:tc>
                <w:tcPr/>
                <w:p>
                  <w:pPr>
                    <w:pStyle w:val="Compact"/>
                  </w:pPr>
                </w:p>
              </w:tc>
              <w:tc>
                <w:tcPr/>
                <w:p>
                  <w:pPr>
                    <w:pStyle w:val="Compact"/>
                    <w:jc w:val="left"/>
                    <w:jc w:val="center"/>
                  </w:pPr>
                  <w:r>
                    <w:t xml:space="preserve">SBP = Systolic blood pressure</w:t>
                  </w:r>
                </w:p>
              </w:tc>
            </w:tr>
          </w:tbl>
          <w:bookmarkEnd w:id="143"/>
          <w:p/>
        </w:tc>
      </w:tr>
    </w:tbl>
    <w:bookmarkEnd w:id="144"/>
    <w:bookmarkStart w:id="147" w:name="clinical-association-studies"/>
    <w:p>
      <w:pPr>
        <w:pStyle w:val="Heading3"/>
      </w:pPr>
      <w:r>
        <w:t xml:space="preserve">Clinical Association Studies</w:t>
      </w:r>
    </w:p>
    <w:p>
      <w:pPr>
        <w:pStyle w:val="FirstParagraph"/>
      </w:pPr>
      <w:r>
        <w:t xml:space="preserve">Most studies focused exclusively on subclinical cardiovascular outcomes (37 of 53 studies, 70%), whereas 13 studies (25%) investigated only clinical cardiovascular outcomes and three studies (6%) included both clinical and subclinical outcomes. Because the subsequent chapters of this dissertation focus on clinical cardiovascular outcomes, only these findings are discussed in detail below (</w:t>
      </w:r>
      <w:hyperlink w:anchor="tbl-study1-clinical-overview">
        <w:r>
          <w:rPr>
            <w:rStyle w:val="Hyperlink"/>
          </w:rPr>
          <w:t xml:space="preserve">Table 4.3</w:t>
        </w:r>
      </w:hyperlink>
      <w:r>
        <w:t xml:space="preserve"> </w:t>
      </w:r>
      <w:r>
        <w:t xml:space="preserve">and</w:t>
      </w:r>
      <w:r>
        <w:t xml:space="preserve"> </w:t>
      </w:r>
      <w:hyperlink w:anchor="tbl-main-clinical-findings">
        <w:r>
          <w:rPr>
            <w:rStyle w:val="Hyperlink"/>
          </w:rPr>
          <w:t xml:space="preserve">Table 4.4</w:t>
        </w:r>
      </w:hyperlink>
      <w:r>
        <w:t xml:space="preserve">). A summary of studies investigating subclinical cardiovascular outcomes is provided in</w:t>
      </w:r>
      <w:r>
        <w:t xml:space="preserve"> </w:t>
      </w:r>
      <w:hyperlink w:anchor="sec-suppl-subclin-results">
        <w:r>
          <w:rPr>
            <w:rStyle w:val="Hyperlink"/>
          </w:rPr>
          <w:t xml:space="preserve">Appendix D</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145" w:name="tbl-study1-clinical-overview"/>
          <w:p>
            <w:pPr>
              <w:jc w:val="center"/>
            </w:pPr>
            <w:pPr>
              <w:jc w:val="left"/>
              <w:spacing w:before="200"/>
              <w:pStyle w:val="ImageCaption"/>
            </w:pPr>
            <w:r>
              <w:t xml:space="preserve">Table 4.3: Study design and demographics of the included clinical cardiovascular outcome studies</w:t>
            </w:r>
          </w:p>
          <w:tbl>
            <w:tblPr>
              <w:tblStyle w:val="Table"/>
              <w:tblW w:type="pct" w:w="5000"/>
              <w:tblLayout w:type="fixed"/>
              <w:tblLook w:firstRow="1" w:lastRow="0" w:firstColumn="0" w:lastColumn="0" w:noHBand="0" w:noVBand="0" w:val="0020"/>
            </w:tblPr>
            <w:tblGrid>
              <w:gridCol w:w="712"/>
              <w:gridCol w:w="1108"/>
              <w:gridCol w:w="1584"/>
              <w:gridCol w:w="396"/>
              <w:gridCol w:w="1108"/>
              <w:gridCol w:w="1108"/>
              <w:gridCol w:w="1108"/>
              <w:gridCol w:w="792"/>
            </w:tblGrid>
            <w:tr>
              <w:trPr>
                <w:tblHeader w:val="on"/>
              </w:trPr>
              <w:tc>
                <w:tcPr/>
                <w:p>
                  <w:pPr>
                    <w:pStyle w:val="Compact"/>
                    <w:jc w:val="left"/>
                    <w:jc w:val="center"/>
                  </w:pPr>
                  <w:r>
                    <w:t xml:space="preserve">Author, year</w:t>
                  </w:r>
                </w:p>
              </w:tc>
              <w:tc>
                <w:tcPr/>
                <w:p>
                  <w:pPr>
                    <w:pStyle w:val="Compact"/>
                    <w:jc w:val="left"/>
                    <w:jc w:val="center"/>
                  </w:pPr>
                  <w:r>
                    <w:t xml:space="preserve">Study Design</w:t>
                  </w:r>
                </w:p>
              </w:tc>
              <w:tc>
                <w:tcPr/>
                <w:p>
                  <w:pPr>
                    <w:pStyle w:val="Compact"/>
                    <w:jc w:val="left"/>
                    <w:jc w:val="center"/>
                  </w:pPr>
                  <w:r>
                    <w:t xml:space="preserve">Population</w:t>
                  </w:r>
                </w:p>
              </w:tc>
              <w:tc>
                <w:tcPr/>
                <w:p>
                  <w:pPr>
                    <w:pStyle w:val="Compact"/>
                    <w:jc w:val="center"/>
                    <w:jc w:val="center"/>
                  </w:pPr>
                  <w:r>
                    <w:t xml:space="preserve">Size</w:t>
                  </w:r>
                </w:p>
              </w:tc>
              <w:tc>
                <w:tcPr/>
                <w:p>
                  <w:pPr>
                    <w:pStyle w:val="Compact"/>
                    <w:jc w:val="left"/>
                    <w:jc w:val="center"/>
                  </w:pPr>
                  <w:r>
                    <w:t xml:space="preserve">Age (Years)</w:t>
                  </w:r>
                </w:p>
              </w:tc>
              <w:tc>
                <w:tcPr/>
                <w:p>
                  <w:pPr>
                    <w:pStyle w:val="Compact"/>
                    <w:jc w:val="left"/>
                    <w:jc w:val="center"/>
                  </w:pPr>
                  <w:r>
                    <w:t xml:space="preserve">Diabetes duration (Years)</w:t>
                  </w:r>
                </w:p>
              </w:tc>
              <w:tc>
                <w:tcPr/>
                <w:p>
                  <w:pPr>
                    <w:pStyle w:val="Compact"/>
                    <w:jc w:val="left"/>
                    <w:jc w:val="center"/>
                  </w:pPr>
                  <w:r>
                    <w:t xml:space="preserve">HbA1c, mmol/mol (%)</w:t>
                  </w:r>
                </w:p>
              </w:tc>
              <w:tc>
                <w:tcPr/>
                <w:p>
                  <w:pPr>
                    <w:pStyle w:val="Compact"/>
                    <w:jc w:val="right"/>
                    <w:jc w:val="center"/>
                  </w:pPr>
                  <w:r>
                    <w:t xml:space="preserve">CGM duration</w:t>
                  </w:r>
                </w:p>
              </w:tc>
            </w:tr>
            <w:tr>
              <w:tc>
                <w:tcPr/>
                <w:p>
                  <w:pPr>
                    <w:pStyle w:val="Compact"/>
                    <w:jc w:val="left"/>
                    <w:jc w:val="center"/>
                  </w:pPr>
                  <w:r>
                    <w:t xml:space="preserve">Chen, 2020</w:t>
                  </w:r>
                  <m:oMath>
                    <m:sSup>
                      <m:e>
                        <m:r>
                          <m:t>​</m:t>
                        </m:r>
                      </m:e>
                      <m:sup>
                        <m:r>
                          <m:rPr>
                            <m:sty m:val="p"/>
                          </m:rPr>
                          <m:t>†</m:t>
                        </m:r>
                      </m:sup>
                    </m:sSup>
                  </m:oMath>
                </w:p>
              </w:tc>
              <w:tc>
                <w:tcPr/>
                <w:p>
                  <w:pPr>
                    <w:pStyle w:val="Compact"/>
                    <w:jc w:val="left"/>
                    <w:jc w:val="center"/>
                  </w:pPr>
                  <w:r>
                    <w:t xml:space="preserve">Longitudinal (prospective) and cross-sectional (retrospective)</w:t>
                  </w:r>
                  <w:r>
                    <w:t xml:space="preserve">FU: in-hospital or within 3 months after discharge from hospital</w:t>
                  </w:r>
                </w:p>
              </w:tc>
              <w:tc>
                <w:tcPr/>
                <w:p>
                  <w:pPr>
                    <w:pStyle w:val="Compact"/>
                    <w:jc w:val="left"/>
                    <w:jc w:val="center"/>
                  </w:pPr>
                  <w:r>
                    <w:t xml:space="preserve">T2D with CAD (Only male)</w:t>
                  </w:r>
                  <w:r>
                    <w:t xml:space="preserve"> </w:t>
                  </w:r>
                  <w:r>
                    <w:t xml:space="preserve">BG control, n = 90</w:t>
                  </w:r>
                  <w:r>
                    <w:t xml:space="preserve"> </w:t>
                  </w:r>
                  <w:r>
                    <w:t xml:space="preserve">BG fluctuation, n = 120</w:t>
                  </w:r>
                </w:p>
              </w:tc>
              <w:tc>
                <w:tcPr/>
                <w:p>
                  <w:pPr>
                    <w:pStyle w:val="Compact"/>
                    <w:jc w:val="center"/>
                    <w:jc w:val="center"/>
                  </w:pPr>
                  <w:r>
                    <w:t xml:space="preserve">210</w:t>
                  </w:r>
                </w:p>
              </w:tc>
              <w:tc>
                <w:tcPr/>
                <w:p>
                  <w:pPr>
                    <w:pStyle w:val="Compact"/>
                    <w:jc w:val="left"/>
                    <w:jc w:val="center"/>
                  </w:pPr>
                  <w:r>
                    <w:t xml:space="preserve">BG controls: 55.53</w:t>
                  </w:r>
                  <w:r>
                    <w:t xml:space="preserve"> </w:t>
                  </w:r>
                  <m:oMath>
                    <m:r>
                      <m:rPr>
                        <m:sty m:val="p"/>
                      </m:rPr>
                      <m:t>±</m:t>
                    </m:r>
                  </m:oMath>
                  <w:r>
                    <w:t xml:space="preserve"> </w:t>
                  </w:r>
                  <w:r>
                    <w:t xml:space="preserve">7.30</w:t>
                  </w:r>
                  <w:r>
                    <w:t xml:space="preserve"> </w:t>
                  </w:r>
                  <w:r>
                    <w:t xml:space="preserve">BG fluctuation: 56.41</w:t>
                  </w:r>
                  <w:r>
                    <w:t xml:space="preserve"> </w:t>
                  </w:r>
                  <m:oMath>
                    <m:r>
                      <m:rPr>
                        <m:sty m:val="p"/>
                      </m:rPr>
                      <m:t>±</m:t>
                    </m:r>
                  </m:oMath>
                  <w:r>
                    <w:t xml:space="preserve"> </w:t>
                  </w:r>
                  <w:r>
                    <w:t xml:space="preserve">7.67</w:t>
                  </w:r>
                </w:p>
              </w:tc>
              <w:tc>
                <w:tcPr/>
                <w:p>
                  <w:pPr>
                    <w:pStyle w:val="Compact"/>
                    <w:jc w:val="left"/>
                    <w:jc w:val="center"/>
                  </w:pPr>
                  <w:r>
                    <w:t xml:space="preserve">BG controls: 6.59</w:t>
                  </w:r>
                  <w:r>
                    <w:t xml:space="preserve"> </w:t>
                  </w:r>
                  <m:oMath>
                    <m:r>
                      <m:rPr>
                        <m:sty m:val="p"/>
                      </m:rPr>
                      <m:t>±</m:t>
                    </m:r>
                  </m:oMath>
                  <w:r>
                    <w:t xml:space="preserve"> </w:t>
                  </w:r>
                  <w:r>
                    <w:t xml:space="preserve">2.30</w:t>
                  </w:r>
                  <w:r>
                    <w:t xml:space="preserve"> </w:t>
                  </w:r>
                  <w:r>
                    <w:t xml:space="preserve">BG fluctuation group: 6.92</w:t>
                  </w:r>
                  <w:r>
                    <w:t xml:space="preserve"> </w:t>
                  </w:r>
                  <m:oMath>
                    <m:r>
                      <m:rPr>
                        <m:sty m:val="p"/>
                      </m:rPr>
                      <m:t>±</m:t>
                    </m:r>
                  </m:oMath>
                  <w:r>
                    <w:t xml:space="preserve"> </w:t>
                  </w:r>
                  <w:r>
                    <w:t xml:space="preserve">2.25</w:t>
                  </w:r>
                </w:p>
              </w:tc>
              <w:tc>
                <w:tcPr/>
                <w:p>
                  <w:pPr>
                    <w:pStyle w:val="Compact"/>
                    <w:jc w:val="left"/>
                    <w:jc w:val="center"/>
                  </w:pPr>
                  <w:r>
                    <w:t xml:space="preserve">nr</w:t>
                  </w:r>
                </w:p>
              </w:tc>
              <w:tc>
                <w:tcPr/>
                <w:p>
                  <w:pPr>
                    <w:pStyle w:val="Compact"/>
                    <w:jc w:val="right"/>
                    <w:jc w:val="center"/>
                  </w:pPr>
                  <w:r>
                    <w:t xml:space="preserve">2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He, 2023</w:t>
                  </w:r>
                </w:p>
              </w:tc>
              <w:tc>
                <w:tcPr/>
                <w:p>
                  <w:pPr>
                    <w:pStyle w:val="Compact"/>
                    <w:jc w:val="left"/>
                    <w:jc w:val="center"/>
                  </w:pPr>
                  <w:r>
                    <w:t xml:space="preserve">Longitudinal (prospective)</w:t>
                  </w:r>
                  <w:r>
                    <w:t xml:space="preserve"> </w:t>
                  </w:r>
                  <w:r>
                    <w:t xml:space="preserve">FU: 1 year</w:t>
                  </w:r>
                </w:p>
              </w:tc>
              <w:tc>
                <w:tcPr/>
                <w:p>
                  <w:pPr>
                    <w:pStyle w:val="Compact"/>
                    <w:jc w:val="left"/>
                    <w:jc w:val="center"/>
                  </w:pPr>
                  <w:r>
                    <w:t xml:space="preserve">T2D with kidney disease on hemodialysis</w:t>
                  </w:r>
                  <w:r>
                    <w:t xml:space="preserve"> </w:t>
                  </w:r>
                  <w:r>
                    <w:t xml:space="preserve">High TIR, n = 12</w:t>
                  </w:r>
                  <w:r>
                    <w:t xml:space="preserve"> </w:t>
                  </w:r>
                  <w:r>
                    <w:t xml:space="preserve">Low TIR, n = 15</w:t>
                  </w:r>
                </w:p>
              </w:tc>
              <w:tc>
                <w:tcPr/>
                <w:p>
                  <w:pPr>
                    <w:pStyle w:val="Compact"/>
                    <w:jc w:val="center"/>
                    <w:jc w:val="center"/>
                  </w:pPr>
                  <w:r>
                    <w:t xml:space="preserve">27</w:t>
                  </w:r>
                </w:p>
              </w:tc>
              <w:tc>
                <w:tcPr/>
                <w:p>
                  <w:pPr>
                    <w:pStyle w:val="Compact"/>
                    <w:jc w:val="left"/>
                    <w:jc w:val="center"/>
                  </w:pPr>
                  <w:r>
                    <w:t xml:space="preserve">High TIR: 66 [63, 73]</w:t>
                  </w:r>
                  <w:r>
                    <w:t xml:space="preserve"> </w:t>
                  </w:r>
                  <w:r>
                    <w:t xml:space="preserve">Low TIR: 70 [64, 75]</w:t>
                  </w:r>
                </w:p>
              </w:tc>
              <w:tc>
                <w:tcPr/>
                <w:p>
                  <w:pPr>
                    <w:pStyle w:val="Compact"/>
                    <w:jc w:val="left"/>
                    <w:jc w:val="center"/>
                  </w:pPr>
                  <w:r>
                    <w:t xml:space="preserve">High TIR: 2 [1.7, 10]</w:t>
                  </w:r>
                  <w:r>
                    <w:t xml:space="preserve"> </w:t>
                  </w:r>
                  <w:r>
                    <w:t xml:space="preserve">Low TIR: 5 [0.75, 20]</w:t>
                  </w:r>
                </w:p>
              </w:tc>
              <w:tc>
                <w:tcPr/>
                <w:p>
                  <w:pPr>
                    <w:pStyle w:val="Compact"/>
                    <w:jc w:val="left"/>
                    <w:jc w:val="center"/>
                  </w:pPr>
                  <w:r>
                    <w:t xml:space="preserve">High TIR: 43 [37, 51] mmol/mol (6.1 [5.5, 6.8]%)</w:t>
                  </w:r>
                  <w:r>
                    <w:t xml:space="preserve"> </w:t>
                  </w:r>
                  <w:r>
                    <w:t xml:space="preserve">Low TIR: 66 [46, 70] mmol/mol (8.2 [6.4, 8.6]%)</w:t>
                  </w:r>
                </w:p>
              </w:tc>
              <w:tc>
                <w:tcPr/>
                <w:p>
                  <w:pPr>
                    <w:pStyle w:val="Compact"/>
                    <w:jc w:val="right"/>
                    <w:jc w:val="center"/>
                  </w:pPr>
                  <w:r>
                    <w:t xml:space="preserve">14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Lu, 2021</w:t>
                  </w:r>
                </w:p>
              </w:tc>
              <w:tc>
                <w:tcPr/>
                <w:p>
                  <w:pPr>
                    <w:pStyle w:val="Compact"/>
                    <w:jc w:val="left"/>
                    <w:jc w:val="center"/>
                  </w:pPr>
                  <w:r>
                    <w:t xml:space="preserve">Longitudinal (prospective)</w:t>
                  </w:r>
                  <w:r>
                    <w:t xml:space="preserve"> </w:t>
                  </w:r>
                  <w:r>
                    <w:t xml:space="preserve">FU: until death occurred or 3–13 years</w:t>
                  </w:r>
                  <w:r>
                    <w:t xml:space="preserve"> </w:t>
                  </w:r>
                  <w:r>
                    <w:t xml:space="preserve">Median: 6.9 years</w:t>
                  </w:r>
                </w:p>
              </w:tc>
              <w:tc>
                <w:tcPr/>
                <w:p>
                  <w:pPr>
                    <w:pStyle w:val="Compact"/>
                    <w:jc w:val="left"/>
                    <w:jc w:val="center"/>
                  </w:pPr>
                  <w:r>
                    <w:t xml:space="preserve">T2D, hospitalized</w:t>
                  </w:r>
                </w:p>
              </w:tc>
              <w:tc>
                <w:tcPr/>
                <w:p>
                  <w:pPr>
                    <w:pStyle w:val="Compact"/>
                    <w:jc w:val="center"/>
                    <w:jc w:val="center"/>
                  </w:pPr>
                  <w:r>
                    <w:t xml:space="preserve">6225</w:t>
                  </w:r>
                </w:p>
              </w:tc>
              <w:tc>
                <w:tcPr/>
                <w:p>
                  <w:pPr>
                    <w:pStyle w:val="Compact"/>
                    <w:jc w:val="left"/>
                    <w:jc w:val="center"/>
                  </w:pPr>
                  <w:r>
                    <w:t xml:space="preserve">mean age = 61.7 years</w:t>
                  </w:r>
                </w:p>
              </w:tc>
              <w:tc>
                <w:tcPr/>
                <w:p>
                  <w:pPr>
                    <w:pStyle w:val="Compact"/>
                    <w:jc w:val="left"/>
                    <w:jc w:val="center"/>
                  </w:pPr>
                  <w:r>
                    <w:t xml:space="preserve">mean: 9.7 years</w:t>
                  </w:r>
                </w:p>
              </w:tc>
              <w:tc>
                <w:tcPr/>
                <w:p>
                  <w:pPr>
                    <w:pStyle w:val="Compact"/>
                    <w:jc w:val="left"/>
                    <w:jc w:val="center"/>
                  </w:pPr>
                  <w:r>
                    <w:t xml:space="preserve">74.0</w:t>
                  </w:r>
                  <w:r>
                    <w:t xml:space="preserve"> </w:t>
                  </w:r>
                  <m:oMath>
                    <m:r>
                      <m:rPr>
                        <m:sty m:val="p"/>
                      </m:rPr>
                      <m:t>±</m:t>
                    </m:r>
                  </m:oMath>
                  <w:r>
                    <w:t xml:space="preserve"> </w:t>
                  </w:r>
                  <w:r>
                    <w:t xml:space="preserve">24.0 mmol/mol (8.9</w:t>
                  </w:r>
                  <w:r>
                    <w:t xml:space="preserve"> </w:t>
                  </w:r>
                  <m:oMath>
                    <m:r>
                      <m:rPr>
                        <m:sty m:val="p"/>
                      </m:rPr>
                      <m:t>±</m:t>
                    </m:r>
                  </m:oMath>
                  <w:r>
                    <w:t xml:space="preserve"> </w:t>
                  </w:r>
                  <w:r>
                    <w:t xml:space="preserve">2.2%)</w:t>
                  </w:r>
                </w:p>
              </w:tc>
              <w:tc>
                <w:tcPr/>
                <w:p>
                  <w:pPr>
                    <w:pStyle w:val="Compact"/>
                    <w:jc w:val="right"/>
                    <w:jc w:val="center"/>
                  </w:pPr>
                  <w:r>
                    <w:t xml:space="preserve">72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Wei, 2019</w:t>
                  </w:r>
                </w:p>
              </w:tc>
              <w:tc>
                <w:tcPr/>
                <w:p>
                  <w:pPr>
                    <w:pStyle w:val="Compact"/>
                    <w:jc w:val="left"/>
                    <w:jc w:val="center"/>
                  </w:pPr>
                  <w:r>
                    <w:t xml:space="preserve">Longitudinal (prospective)</w:t>
                  </w:r>
                  <w:r>
                    <w:t xml:space="preserve"> </w:t>
                  </w:r>
                  <w:r>
                    <w:t xml:space="preserve">Median FU [IQR]: 31 months (22, 56)</w:t>
                  </w:r>
                </w:p>
              </w:tc>
              <w:tc>
                <w:tcPr/>
                <w:p>
                  <w:pPr>
                    <w:pStyle w:val="Compact"/>
                    <w:jc w:val="left"/>
                    <w:jc w:val="center"/>
                  </w:pPr>
                  <w:r>
                    <w:t xml:space="preserve">T2D Divided into three groups:</w:t>
                  </w:r>
                  <w:r>
                    <w:t xml:space="preserve"> </w:t>
                  </w:r>
                  <w:r>
                    <w:t xml:space="preserve">1) No hypo, n = 1173</w:t>
                  </w:r>
                  <w:r>
                    <w:t xml:space="preserve"> </w:t>
                  </w:r>
                  <w:r>
                    <w:t xml:space="preserve">2) Mild hypo (lvl1), n = 323</w:t>
                  </w:r>
                  <w:r>
                    <w:t xml:space="preserve"> </w:t>
                  </w:r>
                  <w:r>
                    <w:t xml:space="preserve">3) Severe hypo (lvl3), n = 24</w:t>
                  </w:r>
                </w:p>
              </w:tc>
              <w:tc>
                <w:tcPr/>
                <w:p>
                  <w:pPr>
                    <w:pStyle w:val="Compact"/>
                    <w:jc w:val="center"/>
                    <w:jc w:val="center"/>
                  </w:pPr>
                  <w:r>
                    <w:t xml:space="preserve">1520</w:t>
                  </w:r>
                </w:p>
              </w:tc>
              <w:tc>
                <w:tcPr/>
                <w:p>
                  <w:pPr>
                    <w:pStyle w:val="Compact"/>
                    <w:jc w:val="left"/>
                    <w:jc w:val="center"/>
                  </w:pPr>
                  <w:r>
                    <w:t xml:space="preserve">No hypoglycemia: 58.59</w:t>
                  </w:r>
                  <w:r>
                    <w:t xml:space="preserve"> </w:t>
                  </w:r>
                  <m:oMath>
                    <m:r>
                      <m:rPr>
                        <m:sty m:val="p"/>
                      </m:rPr>
                      <m:t>±</m:t>
                    </m:r>
                  </m:oMath>
                  <w:r>
                    <w:t xml:space="preserve"> </w:t>
                  </w:r>
                  <w:r>
                    <w:t xml:space="preserve">11.26</w:t>
                  </w:r>
                  <w:r>
                    <w:t xml:space="preserve"> </w:t>
                  </w:r>
                  <w:r>
                    <w:t xml:space="preserve">Hypoglycemia: 62.27</w:t>
                  </w:r>
                  <w:r>
                    <w:t xml:space="preserve"> </w:t>
                  </w:r>
                  <m:oMath>
                    <m:r>
                      <m:rPr>
                        <m:sty m:val="p"/>
                      </m:rPr>
                      <m:t>±</m:t>
                    </m:r>
                  </m:oMath>
                  <w:r>
                    <w:t xml:space="preserve"> </w:t>
                  </w:r>
                  <w:r>
                    <w:t xml:space="preserve">11.58</w:t>
                  </w:r>
                </w:p>
              </w:tc>
              <w:tc>
                <w:tcPr/>
                <w:p>
                  <w:pPr>
                    <w:pStyle w:val="Compact"/>
                    <w:jc w:val="left"/>
                    <w:jc w:val="center"/>
                  </w:pPr>
                  <w:r>
                    <w:t xml:space="preserve">No hypoglycemia: 6.46</w:t>
                  </w:r>
                  <w:r>
                    <w:t xml:space="preserve"> </w:t>
                  </w:r>
                  <m:oMath>
                    <m:r>
                      <m:rPr>
                        <m:sty m:val="p"/>
                      </m:rPr>
                      <m:t>±</m:t>
                    </m:r>
                  </m:oMath>
                  <w:r>
                    <w:t xml:space="preserve"> </w:t>
                  </w:r>
                  <w:r>
                    <w:t xml:space="preserve">6.00</w:t>
                  </w:r>
                  <w:r>
                    <w:t xml:space="preserve"> </w:t>
                  </w:r>
                  <w:r>
                    <w:t xml:space="preserve">Hypoglycemia: 7.78</w:t>
                  </w:r>
                  <w:r>
                    <w:t xml:space="preserve"> </w:t>
                  </w:r>
                  <m:oMath>
                    <m:r>
                      <m:rPr>
                        <m:sty m:val="p"/>
                      </m:rPr>
                      <m:t>±</m:t>
                    </m:r>
                  </m:oMath>
                  <w:r>
                    <w:t xml:space="preserve"> </w:t>
                  </w:r>
                  <w:r>
                    <w:t xml:space="preserve">7.37</w:t>
                  </w:r>
                </w:p>
              </w:tc>
              <w:tc>
                <w:tcPr/>
                <w:p>
                  <w:pPr>
                    <w:pStyle w:val="Compact"/>
                    <w:jc w:val="left"/>
                    <w:jc w:val="center"/>
                  </w:pPr>
                  <w:r>
                    <w:t xml:space="preserve">No hypoglycemia: (8.19</w:t>
                  </w:r>
                  <w:r>
                    <w:t xml:space="preserve"> </w:t>
                  </w:r>
                  <m:oMath>
                    <m:r>
                      <m:rPr>
                        <m:sty m:val="p"/>
                      </m:rPr>
                      <m:t>±</m:t>
                    </m:r>
                  </m:oMath>
                  <w:r>
                    <w:t xml:space="preserve"> </w:t>
                  </w:r>
                  <w:r>
                    <w:t xml:space="preserve">2.10%)</w:t>
                  </w:r>
                  <w:r>
                    <w:t xml:space="preserve"> </w:t>
                  </w:r>
                  <w:r>
                    <w:t xml:space="preserve">Hypoglycemia: (7.73</w:t>
                  </w:r>
                  <w:r>
                    <w:t xml:space="preserve"> </w:t>
                  </w:r>
                  <m:oMath>
                    <m:r>
                      <m:rPr>
                        <m:sty m:val="p"/>
                      </m:rPr>
                      <m:t>±</m:t>
                    </m:r>
                  </m:oMath>
                  <w:r>
                    <w:t xml:space="preserve"> </w:t>
                  </w:r>
                  <w:r>
                    <w:t xml:space="preserve">1.96%)</w:t>
                  </w:r>
                </w:p>
              </w:tc>
              <w:tc>
                <w:tcPr/>
                <w:p>
                  <w:pPr>
                    <w:pStyle w:val="Compact"/>
                    <w:jc w:val="right"/>
                    <w:jc w:val="center"/>
                  </w:pPr>
                  <w:r>
                    <w:t xml:space="preserve">3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Bezerra, 2023</w:t>
                  </w:r>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center"/>
                    <w:jc w:val="center"/>
                  </w:pPr>
                  <w:r>
                    <w:t xml:space="preserve">161</w:t>
                  </w:r>
                </w:p>
              </w:tc>
              <w:tc>
                <w:tcPr/>
                <w:p>
                  <w:pPr>
                    <w:pStyle w:val="Compact"/>
                    <w:jc w:val="left"/>
                    <w:jc w:val="center"/>
                  </w:pPr>
                  <w:r>
                    <w:t xml:space="preserve">37.4</w:t>
                  </w:r>
                  <w:r>
                    <w:t xml:space="preserve"> </w:t>
                  </w:r>
                  <m:oMath>
                    <m:r>
                      <m:rPr>
                        <m:sty m:val="p"/>
                      </m:rPr>
                      <m:t>±</m:t>
                    </m:r>
                  </m:oMath>
                  <w:r>
                    <w:t xml:space="preserve"> </w:t>
                  </w:r>
                  <w:r>
                    <w:t xml:space="preserve">13.4</w:t>
                  </w:r>
                </w:p>
              </w:tc>
              <w:tc>
                <w:tcPr/>
                <w:p>
                  <w:pPr>
                    <w:pStyle w:val="Compact"/>
                    <w:jc w:val="left"/>
                    <w:jc w:val="center"/>
                  </w:pPr>
                  <w:r>
                    <w:t xml:space="preserve">17.7</w:t>
                  </w:r>
                  <w:r>
                    <w:t xml:space="preserve"> </w:t>
                  </w:r>
                  <m:oMath>
                    <m:r>
                      <m:rPr>
                        <m:sty m:val="p"/>
                      </m:rPr>
                      <m:t>±</m:t>
                    </m:r>
                  </m:oMath>
                  <w:r>
                    <w:t xml:space="preserve"> </w:t>
                  </w:r>
                  <w:r>
                    <w:t xml:space="preserve">10.6</w:t>
                  </w:r>
                </w:p>
              </w:tc>
              <w:tc>
                <w:tcPr/>
                <w:p>
                  <w:pPr>
                    <w:pStyle w:val="Compact"/>
                    <w:jc w:val="left"/>
                    <w:jc w:val="center"/>
                  </w:pPr>
                  <w:r>
                    <w:t xml:space="preserve">(7.5</w:t>
                  </w:r>
                  <w:r>
                    <w:t xml:space="preserve"> </w:t>
                  </w:r>
                  <m:oMath>
                    <m:r>
                      <m:rPr>
                        <m:sty m:val="p"/>
                      </m:rPr>
                      <m:t>±</m:t>
                    </m:r>
                  </m:oMath>
                  <w:r>
                    <w:t xml:space="preserve"> </w:t>
                  </w:r>
                  <w:r>
                    <w:t xml:space="preserve">1.1%)</w:t>
                  </w:r>
                </w:p>
              </w:tc>
              <w:tc>
                <w:tcPr/>
                <w:p>
                  <w:pPr>
                    <w:pStyle w:val="Compact"/>
                    <w:jc w:val="right"/>
                    <w:jc w:val="center"/>
                  </w:pPr>
                  <w:r>
                    <w:t xml:space="preserve">14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2024</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center"/>
                    <w:jc w:val="center"/>
                  </w:pPr>
                  <w:r>
                    <w:t xml:space="preserve">808</w:t>
                  </w:r>
                </w:p>
              </w:tc>
              <w:tc>
                <w:tcPr/>
                <w:p>
                  <w:pPr>
                    <w:pStyle w:val="Compact"/>
                    <w:jc w:val="left"/>
                    <w:jc w:val="center"/>
                  </w:pPr>
                  <w:r>
                    <w:t xml:space="preserve">44.8</w:t>
                  </w:r>
                  <w:r>
                    <w:t xml:space="preserve"> </w:t>
                  </w:r>
                  <m:oMath>
                    <m:r>
                      <m:rPr>
                        <m:sty m:val="p"/>
                      </m:rPr>
                      <m:t>±</m:t>
                    </m:r>
                  </m:oMath>
                  <w:r>
                    <w:t xml:space="preserve"> </w:t>
                  </w:r>
                  <w:r>
                    <w:t xml:space="preserve">15.2</w:t>
                  </w:r>
                </w:p>
              </w:tc>
              <w:tc>
                <w:tcPr/>
                <w:p>
                  <w:pPr>
                    <w:pStyle w:val="Compact"/>
                    <w:jc w:val="left"/>
                    <w:jc w:val="center"/>
                  </w:pPr>
                  <w:r>
                    <w:t xml:space="preserve">23.1</w:t>
                  </w:r>
                  <w:r>
                    <w:t xml:space="preserve"> </w:t>
                  </w:r>
                  <m:oMath>
                    <m:r>
                      <m:rPr>
                        <m:sty m:val="p"/>
                      </m:rPr>
                      <m:t>±</m:t>
                    </m:r>
                  </m:oMath>
                  <w:r>
                    <w:t xml:space="preserve"> </w:t>
                  </w:r>
                  <w:r>
                    <w:t xml:space="preserve">13.6</w:t>
                  </w:r>
                </w:p>
              </w:tc>
              <w:tc>
                <w:tcPr/>
                <w:p>
                  <w:pPr>
                    <w:pStyle w:val="Compact"/>
                    <w:jc w:val="left"/>
                    <w:jc w:val="center"/>
                  </w:pPr>
                  <w:r>
                    <w:t xml:space="preserve">63</w:t>
                  </w:r>
                  <w:r>
                    <w:t xml:space="preserve"> </w:t>
                  </w:r>
                  <m:oMath>
                    <m:r>
                      <m:rPr>
                        <m:sty m:val="p"/>
                      </m:rPr>
                      <m:t>±</m:t>
                    </m:r>
                  </m:oMath>
                  <w:r>
                    <w:t xml:space="preserve"> </w:t>
                  </w:r>
                  <w:r>
                    <w:t xml:space="preserve">13 mmol/mol (7.9</w:t>
                  </w:r>
                  <w:r>
                    <w:t xml:space="preserve"> </w:t>
                  </w:r>
                  <m:oMath>
                    <m:r>
                      <m:rPr>
                        <m:sty m:val="p"/>
                      </m:rPr>
                      <m:t>±</m:t>
                    </m:r>
                  </m:oMath>
                  <w:r>
                    <w:t xml:space="preserve"> </w:t>
                  </w:r>
                  <w:r>
                    <w:t xml:space="preserve">1.2%)</w:t>
                  </w:r>
                </w:p>
              </w:tc>
              <w:tc>
                <w:tcPr/>
                <w:p>
                  <w:pPr>
                    <w:pStyle w:val="Compact"/>
                    <w:jc w:val="right"/>
                    <w:jc w:val="center"/>
                  </w:pPr>
                  <w:r>
                    <w:t xml:space="preserve">2 weeks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Deng, 2023</w:t>
                  </w:r>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center"/>
                    <w:jc w:val="center"/>
                  </w:pPr>
                  <w:r>
                    <w:t xml:space="preserve">860</w:t>
                  </w:r>
                </w:p>
              </w:tc>
              <w:tc>
                <w:tcPr/>
                <w:p>
                  <w:pPr>
                    <w:pStyle w:val="Compact"/>
                    <w:jc w:val="left"/>
                    <w:jc w:val="center"/>
                  </w:pPr>
                  <w:r>
                    <w:t xml:space="preserve">HP 1 carriers: 53.5</w:t>
                  </w:r>
                  <w:r>
                    <w:t xml:space="preserve"> </w:t>
                  </w:r>
                  <m:oMath>
                    <m:r>
                      <m:rPr>
                        <m:sty m:val="p"/>
                      </m:rPr>
                      <m:t>±</m:t>
                    </m:r>
                  </m:oMath>
                  <w:r>
                    <w:t xml:space="preserve"> </w:t>
                  </w:r>
                  <w:r>
                    <w:t xml:space="preserve">13.3</w:t>
                  </w:r>
                  <w:r>
                    <w:t xml:space="preserve"> </w:t>
                  </w:r>
                  <w:r>
                    <w:t xml:space="preserve">HP 2-2: 51.7</w:t>
                  </w:r>
                  <w:r>
                    <w:t xml:space="preserve"> </w:t>
                  </w:r>
                  <m:oMath>
                    <m:r>
                      <m:rPr>
                        <m:sty m:val="p"/>
                      </m:rPr>
                      <m:t>±</m:t>
                    </m:r>
                  </m:oMath>
                  <w:r>
                    <w:t xml:space="preserve"> </w:t>
                  </w:r>
                  <w:r>
                    <w:t xml:space="preserve">14.6</w:t>
                  </w:r>
                </w:p>
              </w:tc>
              <w:tc>
                <w:tcPr/>
                <w:p>
                  <w:pPr>
                    <w:pStyle w:val="Compact"/>
                    <w:jc w:val="left"/>
                    <w:jc w:val="center"/>
                  </w:pPr>
                  <w:r>
                    <w:t xml:space="preserve">HP 1 carriers: 8.6</w:t>
                  </w:r>
                  <w:r>
                    <w:t xml:space="preserve"> </w:t>
                  </w:r>
                  <m:oMath>
                    <m:r>
                      <m:rPr>
                        <m:sty m:val="p"/>
                      </m:rPr>
                      <m:t>±</m:t>
                    </m:r>
                  </m:oMath>
                  <w:r>
                    <w:t xml:space="preserve"> </w:t>
                  </w:r>
                  <w:r>
                    <w:t xml:space="preserve">6.4</w:t>
                  </w:r>
                  <w:r>
                    <w:t xml:space="preserve"> </w:t>
                  </w:r>
                  <w:r>
                    <w:t xml:space="preserve">HP 2-2: 8.6</w:t>
                  </w:r>
                  <w:r>
                    <w:t xml:space="preserve"> </w:t>
                  </w:r>
                  <m:oMath>
                    <m:r>
                      <m:rPr>
                        <m:sty m:val="p"/>
                      </m:rPr>
                      <m:t>±</m:t>
                    </m:r>
                  </m:oMath>
                  <w:r>
                    <w:t xml:space="preserve"> </w:t>
                  </w:r>
                  <w:r>
                    <w:t xml:space="preserve">6.7</w:t>
                  </w:r>
                </w:p>
              </w:tc>
              <w:tc>
                <w:tcPr/>
                <w:p>
                  <w:pPr>
                    <w:pStyle w:val="Compact"/>
                    <w:jc w:val="left"/>
                    <w:jc w:val="center"/>
                  </w:pPr>
                  <w:r>
                    <w:t xml:space="preserve">HP1 carriers: 73.0</w:t>
                  </w:r>
                  <w:r>
                    <w:t xml:space="preserve"> </w:t>
                  </w:r>
                  <m:oMath>
                    <m:r>
                      <m:rPr>
                        <m:sty m:val="p"/>
                      </m:rPr>
                      <m:t>±</m:t>
                    </m:r>
                  </m:oMath>
                  <w:r>
                    <w:t xml:space="preserve"> </w:t>
                  </w:r>
                  <w:r>
                    <w:t xml:space="preserve">24.0 mmol/mol (8.8</w:t>
                  </w:r>
                  <w:r>
                    <w:t xml:space="preserve"> </w:t>
                  </w:r>
                  <m:oMath>
                    <m:r>
                      <m:rPr>
                        <m:sty m:val="p"/>
                      </m:rPr>
                      <m:t>±</m:t>
                    </m:r>
                  </m:oMath>
                  <w:r>
                    <w:t xml:space="preserve"> </w:t>
                  </w:r>
                  <w:r>
                    <w:t xml:space="preserve">2.2%)</w:t>
                  </w:r>
                  <w:r>
                    <w:t xml:space="preserve"> </w:t>
                  </w:r>
                  <w:r>
                    <w:t xml:space="preserve">Hp2-2: 72.0</w:t>
                  </w:r>
                  <w:r>
                    <w:t xml:space="preserve"> </w:t>
                  </w:r>
                  <m:oMath>
                    <m:r>
                      <m:rPr>
                        <m:sty m:val="p"/>
                      </m:rPr>
                      <m:t>±</m:t>
                    </m:r>
                  </m:oMath>
                  <w:r>
                    <w:t xml:space="preserve"> </w:t>
                  </w:r>
                  <w:r>
                    <w:t xml:space="preserve">23.0 mmol/mol (8.7</w:t>
                  </w:r>
                  <w:r>
                    <w:t xml:space="preserve"> </w:t>
                  </w:r>
                  <m:oMath>
                    <m:r>
                      <m:rPr>
                        <m:sty m:val="p"/>
                      </m:rPr>
                      <m:t>±</m:t>
                    </m:r>
                  </m:oMath>
                  <w:r>
                    <w:t xml:space="preserve"> </w:t>
                  </w:r>
                  <w:r>
                    <w:t xml:space="preserve">2.1)</w:t>
                  </w:r>
                </w:p>
              </w:tc>
              <w:tc>
                <w:tcPr/>
                <w:p>
                  <w:pPr>
                    <w:pStyle w:val="Compact"/>
                    <w:jc w:val="right"/>
                    <w:jc w:val="center"/>
                  </w:pPr>
                  <w:r>
                    <w:t xml:space="preserve">3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El Malahi, 2022</w:t>
                  </w:r>
                </w:p>
              </w:tc>
              <w:tc>
                <w:tcPr/>
                <w:p>
                  <w:pPr>
                    <w:pStyle w:val="Compact"/>
                    <w:jc w:val="left"/>
                    <w:jc w:val="center"/>
                  </w:pPr>
                  <w:r>
                    <w:t xml:space="preserve">Cross-sectional</w:t>
                  </w:r>
                </w:p>
              </w:tc>
              <w:tc>
                <w:tcPr/>
                <w:p>
                  <w:pPr>
                    <w:pStyle w:val="Compact"/>
                    <w:jc w:val="left"/>
                    <w:jc w:val="center"/>
                  </w:pPr>
                  <w:r>
                    <w:t xml:space="preserve">T1D starting on sensor-augmented pump therapy</w:t>
                  </w:r>
                </w:p>
              </w:tc>
              <w:tc>
                <w:tcPr/>
                <w:p>
                  <w:pPr>
                    <w:pStyle w:val="Compact"/>
                    <w:jc w:val="center"/>
                    <w:jc w:val="center"/>
                  </w:pPr>
                  <w:r>
                    <w:t xml:space="preserve">515</w:t>
                  </w:r>
                </w:p>
              </w:tc>
              <w:tc>
                <w:tcPr/>
                <w:p>
                  <w:pPr>
                    <w:pStyle w:val="Compact"/>
                    <w:jc w:val="left"/>
                    <w:jc w:val="center"/>
                  </w:pPr>
                  <w:r>
                    <w:t xml:space="preserve">Mean</w:t>
                  </w:r>
                  <w:r>
                    <w:t xml:space="preserve"> </w:t>
                  </w:r>
                  <m:oMath>
                    <m:r>
                      <m:rPr>
                        <m:sty m:val="p"/>
                      </m:rPr>
                      <m:t>±</m:t>
                    </m:r>
                  </m:oMath>
                  <w:r>
                    <w:t xml:space="preserve"> </w:t>
                  </w:r>
                  <w:r>
                    <w:t xml:space="preserve">SD [years]:</w:t>
                  </w:r>
                  <w:r>
                    <w:t xml:space="preserve">42.2</w:t>
                  </w:r>
                  <w:r>
                    <w:t xml:space="preserve"> </w:t>
                  </w:r>
                  <m:oMath>
                    <m:r>
                      <m:rPr>
                        <m:sty m:val="p"/>
                      </m:rPr>
                      <m:t>±</m:t>
                    </m:r>
                  </m:oMath>
                  <w:r>
                    <w:t xml:space="preserve"> </w:t>
                  </w:r>
                  <w:r>
                    <w:t xml:space="preserve">12.5</w:t>
                  </w:r>
                </w:p>
              </w:tc>
              <w:tc>
                <w:tcPr/>
                <w:p>
                  <w:pPr>
                    <w:pStyle w:val="Compact"/>
                    <w:jc w:val="left"/>
                    <w:jc w:val="center"/>
                  </w:pPr>
                  <w:r>
                    <w:t xml:space="preserve">22.3</w:t>
                  </w:r>
                  <w:r>
                    <w:t xml:space="preserve"> </w:t>
                  </w:r>
                  <m:oMath>
                    <m:r>
                      <m:rPr>
                        <m:sty m:val="p"/>
                      </m:rPr>
                      <m:t>±</m:t>
                    </m:r>
                  </m:oMath>
                  <w:r>
                    <w:t xml:space="preserve"> </w:t>
                  </w:r>
                  <w:r>
                    <w:t xml:space="preserve">11.6</w:t>
                  </w:r>
                </w:p>
              </w:tc>
              <w:tc>
                <w:tcPr/>
                <w:p>
                  <w:pPr>
                    <w:pStyle w:val="Compact"/>
                    <w:jc w:val="left"/>
                    <w:jc w:val="center"/>
                  </w:pPr>
                  <w:r>
                    <w:t xml:space="preserve">60</w:t>
                  </w:r>
                  <w:r>
                    <w:t xml:space="preserve"> </w:t>
                  </w:r>
                  <m:oMath>
                    <m:r>
                      <m:rPr>
                        <m:sty m:val="p"/>
                      </m:rPr>
                      <m:t>±</m:t>
                    </m:r>
                  </m:oMath>
                  <w:r>
                    <w:t xml:space="preserve"> </w:t>
                  </w:r>
                  <w:r>
                    <w:t xml:space="preserve">9.8 mmol/mol (7.6</w:t>
                  </w:r>
                  <w:r>
                    <w:t xml:space="preserve"> </w:t>
                  </w:r>
                  <m:oMath>
                    <m:r>
                      <m:rPr>
                        <m:sty m:val="p"/>
                      </m:rPr>
                      <m:t>±</m:t>
                    </m:r>
                  </m:oMath>
                  <w:r>
                    <w:t xml:space="preserve"> </w:t>
                  </w:r>
                  <w:r>
                    <w:t xml:space="preserve">0.9 %)</w:t>
                  </w:r>
                </w:p>
              </w:tc>
              <w:tc>
                <w:tcPr/>
                <w:p>
                  <w:pPr>
                    <w:pStyle w:val="Compact"/>
                    <w:jc w:val="right"/>
                    <w:jc w:val="center"/>
                  </w:pPr>
                  <w:r>
                    <w:t xml:space="preserve">2 weeks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Guo, 2021</w:t>
                  </w:r>
                </w:p>
              </w:tc>
              <w:tc>
                <w:tcPr/>
                <w:p>
                  <w:pPr>
                    <w:pStyle w:val="Compact"/>
                    <w:jc w:val="left"/>
                    <w:jc w:val="center"/>
                  </w:pPr>
                  <w:r>
                    <w:t xml:space="preserve">Cross-sectional</w:t>
                  </w:r>
                </w:p>
              </w:tc>
              <w:tc>
                <w:tcPr/>
                <w:p>
                  <w:pPr>
                    <w:pStyle w:val="Compact"/>
                    <w:jc w:val="left"/>
                    <w:jc w:val="center"/>
                  </w:pPr>
                  <w:r>
                    <w:t xml:space="preserve">T1D or T2D with atrial fibrillation</w:t>
                  </w:r>
                  <w:r>
                    <w:t xml:space="preserve"> </w:t>
                  </w:r>
                  <w:r>
                    <w:t xml:space="preserve">With Stroke, n = 48</w:t>
                  </w:r>
                  <w:r>
                    <w:t xml:space="preserve"> </w:t>
                  </w:r>
                  <w:r>
                    <w:t xml:space="preserve">Without Stroke, n = 462</w:t>
                  </w:r>
                </w:p>
              </w:tc>
              <w:tc>
                <w:tcPr/>
                <w:p>
                  <w:pPr>
                    <w:pStyle w:val="Compact"/>
                    <w:jc w:val="center"/>
                    <w:jc w:val="center"/>
                  </w:pPr>
                  <w:r>
                    <w:t xml:space="preserve">510</w:t>
                  </w:r>
                </w:p>
              </w:tc>
              <w:tc>
                <w:tcPr/>
                <w:p>
                  <w:pPr>
                    <w:pStyle w:val="Compact"/>
                    <w:jc w:val="left"/>
                    <w:jc w:val="center"/>
                  </w:pPr>
                  <w:r>
                    <w:t xml:space="preserve">Stroke: 70.3</w:t>
                  </w:r>
                  <w:r>
                    <w:t xml:space="preserve"> </w:t>
                  </w:r>
                  <m:oMath>
                    <m:r>
                      <m:rPr>
                        <m:sty m:val="p"/>
                      </m:rPr>
                      <m:t>±</m:t>
                    </m:r>
                  </m:oMath>
                  <w:r>
                    <w:t xml:space="preserve"> </w:t>
                  </w:r>
                  <w:r>
                    <w:t xml:space="preserve">12.1</w:t>
                  </w:r>
                  <w:r>
                    <w:t xml:space="preserve">No stroke: 68.1</w:t>
                  </w:r>
                  <w:r>
                    <w:t xml:space="preserve"> </w:t>
                  </w:r>
                  <m:oMath>
                    <m:r>
                      <m:rPr>
                        <m:sty m:val="p"/>
                      </m:rPr>
                      <m:t>±</m:t>
                    </m:r>
                  </m:oMath>
                  <w:r>
                    <w:t xml:space="preserve"> </w:t>
                  </w:r>
                  <w:r>
                    <w:t xml:space="preserve">9.4</w:t>
                  </w:r>
                </w:p>
              </w:tc>
              <w:tc>
                <w:tcPr/>
                <w:p>
                  <w:pPr>
                    <w:pStyle w:val="Compact"/>
                    <w:jc w:val="left"/>
                    <w:jc w:val="center"/>
                  </w:pPr>
                  <w:r>
                    <w:t xml:space="preserve">nr</w:t>
                  </w:r>
                </w:p>
              </w:tc>
              <w:tc>
                <w:tcPr/>
                <w:p>
                  <w:pPr>
                    <w:pStyle w:val="Compact"/>
                    <w:jc w:val="left"/>
                    <w:jc w:val="center"/>
                  </w:pPr>
                  <w:r>
                    <w:t xml:space="preserve">No Stroke: 7.4</w:t>
                  </w:r>
                  <w:r>
                    <w:t xml:space="preserve"> </w:t>
                  </w:r>
                  <m:oMath>
                    <m:r>
                      <m:rPr>
                        <m:sty m:val="p"/>
                      </m:rPr>
                      <m:t>±</m:t>
                    </m:r>
                  </m:oMath>
                  <w:r>
                    <w:t xml:space="preserve"> </w:t>
                  </w:r>
                  <w:r>
                    <w:t xml:space="preserve">2.1</w:t>
                  </w:r>
                  <w:r>
                    <w:t xml:space="preserve"> </w:t>
                  </w:r>
                  <w:r>
                    <w:t xml:space="preserve">Stroke: 8.2</w:t>
                  </w:r>
                  <w:r>
                    <w:t xml:space="preserve"> </w:t>
                  </w:r>
                  <m:oMath>
                    <m:r>
                      <m:rPr>
                        <m:sty m:val="p"/>
                      </m:rPr>
                      <m:t>±</m:t>
                    </m:r>
                  </m:oMath>
                  <w:r>
                    <w:t xml:space="preserve"> </w:t>
                  </w:r>
                  <w:r>
                    <w:t xml:space="preserve">1.7</w:t>
                  </w:r>
                </w:p>
              </w:tc>
              <w:tc>
                <w:tcPr/>
                <w:p>
                  <w:pPr>
                    <w:pStyle w:val="Compact"/>
                    <w:jc w:val="right"/>
                    <w:jc w:val="center"/>
                  </w:pPr>
                  <w:r>
                    <w:t xml:space="preserve">72 hour</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Li, 2020</w:t>
                  </w:r>
                </w:p>
              </w:tc>
              <w:tc>
                <w:tcPr/>
                <w:p>
                  <w:pPr>
                    <w:pStyle w:val="Compact"/>
                    <w:jc w:val="left"/>
                    <w:jc w:val="center"/>
                  </w:pPr>
                  <w:r>
                    <w:t xml:space="preserve">Cross-sectional</w:t>
                  </w:r>
                </w:p>
              </w:tc>
              <w:tc>
                <w:tcPr/>
                <w:p>
                  <w:pPr>
                    <w:pStyle w:val="Compact"/>
                    <w:jc w:val="left"/>
                    <w:jc w:val="center"/>
                  </w:pPr>
                  <w:r>
                    <w:t xml:space="preserve">T2D with LEAD, n = 179</w:t>
                  </w:r>
                  <w:r>
                    <w:t xml:space="preserve"> </w:t>
                  </w:r>
                  <w:r>
                    <w:t xml:space="preserve">T2D without LEAD, n = 157</w:t>
                  </w:r>
                </w:p>
              </w:tc>
              <w:tc>
                <w:tcPr/>
                <w:p>
                  <w:pPr>
                    <w:pStyle w:val="Compact"/>
                    <w:jc w:val="center"/>
                    <w:jc w:val="center"/>
                  </w:pPr>
                  <w:r>
                    <w:t xml:space="preserve">336</w:t>
                  </w:r>
                </w:p>
              </w:tc>
              <w:tc>
                <w:tcPr/>
                <w:p>
                  <w:pPr>
                    <w:pStyle w:val="Compact"/>
                    <w:jc w:val="left"/>
                    <w:jc w:val="center"/>
                  </w:pPr>
                  <w:r>
                    <w:t xml:space="preserve">Without LEAD: 55.94</w:t>
                  </w:r>
                  <w:r>
                    <w:t xml:space="preserve"> </w:t>
                  </w:r>
                  <m:oMath>
                    <m:r>
                      <m:rPr>
                        <m:sty m:val="p"/>
                      </m:rPr>
                      <m:t>±</m:t>
                    </m:r>
                  </m:oMath>
                  <w:r>
                    <w:t xml:space="preserve"> </w:t>
                  </w:r>
                  <w:r>
                    <w:t xml:space="preserve">12.45</w:t>
                  </w:r>
                  <w:r>
                    <w:t xml:space="preserve"> </w:t>
                  </w:r>
                  <w:r>
                    <w:t xml:space="preserve">With LEAD: 65.56</w:t>
                  </w:r>
                  <w:r>
                    <w:t xml:space="preserve"> </w:t>
                  </w:r>
                  <m:oMath>
                    <m:r>
                      <m:rPr>
                        <m:sty m:val="p"/>
                      </m:rPr>
                      <m:t>±</m:t>
                    </m:r>
                  </m:oMath>
                  <w:r>
                    <w:t xml:space="preserve"> </w:t>
                  </w:r>
                  <w:r>
                    <w:t xml:space="preserve">11.99</w:t>
                  </w:r>
                </w:p>
              </w:tc>
              <w:tc>
                <w:tcPr/>
                <w:p>
                  <w:pPr>
                    <w:pStyle w:val="Compact"/>
                    <w:jc w:val="left"/>
                    <w:jc w:val="center"/>
                  </w:pPr>
                  <w:r>
                    <w:t xml:space="preserve">Without LEAD: 6.92</w:t>
                  </w:r>
                  <w:r>
                    <w:t xml:space="preserve"> </w:t>
                  </w:r>
                  <m:oMath>
                    <m:r>
                      <m:rPr>
                        <m:sty m:val="p"/>
                      </m:rPr>
                      <m:t>±</m:t>
                    </m:r>
                  </m:oMath>
                  <w:r>
                    <w:t xml:space="preserve"> </w:t>
                  </w:r>
                  <w:r>
                    <w:t xml:space="preserve">3.54</w:t>
                  </w:r>
                  <w:r>
                    <w:t xml:space="preserve"> </w:t>
                  </w:r>
                  <w:r>
                    <w:t xml:space="preserve">With LEAD: 10.32</w:t>
                  </w:r>
                  <w:r>
                    <w:t xml:space="preserve"> </w:t>
                  </w:r>
                  <m:oMath>
                    <m:r>
                      <m:rPr>
                        <m:sty m:val="p"/>
                      </m:rPr>
                      <m:t>±</m:t>
                    </m:r>
                  </m:oMath>
                  <w:r>
                    <w:t xml:space="preserve"> </w:t>
                  </w:r>
                  <w:r>
                    <w:t xml:space="preserve">4.14</w:t>
                  </w:r>
                </w:p>
              </w:tc>
              <w:tc>
                <w:tcPr/>
                <w:p>
                  <w:pPr>
                    <w:pStyle w:val="Compact"/>
                    <w:jc w:val="left"/>
                    <w:jc w:val="center"/>
                  </w:pPr>
                  <w:r>
                    <w:t xml:space="preserve">Without LEAD: 7.85</w:t>
                  </w:r>
                  <w:r>
                    <w:t xml:space="preserve"> </w:t>
                  </w:r>
                  <m:oMath>
                    <m:r>
                      <m:rPr>
                        <m:sty m:val="p"/>
                      </m:rPr>
                      <m:t>±</m:t>
                    </m:r>
                  </m:oMath>
                  <w:r>
                    <w:t xml:space="preserve"> </w:t>
                  </w:r>
                  <w:r>
                    <w:t xml:space="preserve">1.41%</w:t>
                  </w:r>
                  <w:r>
                    <w:t xml:space="preserve"> </w:t>
                  </w:r>
                  <w:r>
                    <w:t xml:space="preserve">With LEAD: 8.97</w:t>
                  </w:r>
                  <w:r>
                    <w:t xml:space="preserve"> </w:t>
                  </w:r>
                  <m:oMath>
                    <m:r>
                      <m:rPr>
                        <m:sty m:val="p"/>
                      </m:rPr>
                      <m:t>±</m:t>
                    </m:r>
                  </m:oMath>
                  <w:r>
                    <w:t xml:space="preserve"> </w:t>
                  </w:r>
                  <w:r>
                    <w:t xml:space="preserve">1.63%</w:t>
                  </w:r>
                </w:p>
              </w:tc>
              <w:tc>
                <w:tcPr/>
                <w:p>
                  <w:pPr>
                    <w:pStyle w:val="Compact"/>
                    <w:jc w:val="right"/>
                    <w:jc w:val="center"/>
                  </w:pPr>
                  <w:r>
                    <w:t xml:space="preserve">72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Magri, 2018</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center"/>
                    <w:jc w:val="center"/>
                  </w:pPr>
                  <w:r>
                    <w:t xml:space="preserve">121</w:t>
                  </w:r>
                </w:p>
              </w:tc>
              <w:tc>
                <w:tcPr/>
                <w:p>
                  <w:pPr>
                    <w:pStyle w:val="Compact"/>
                    <w:jc w:val="left"/>
                    <w:jc w:val="center"/>
                  </w:pPr>
                  <w:r>
                    <w:t xml:space="preserve">64 [57, 68]</w:t>
                  </w:r>
                </w:p>
              </w:tc>
              <w:tc>
                <w:tcPr/>
                <w:p>
                  <w:pPr>
                    <w:pStyle w:val="Compact"/>
                    <w:jc w:val="left"/>
                    <w:jc w:val="center"/>
                  </w:pPr>
                  <w:r>
                    <w:t xml:space="preserve">3 [2, 5]</w:t>
                  </w:r>
                </w:p>
              </w:tc>
              <w:tc>
                <w:tcPr/>
                <w:p>
                  <w:pPr>
                    <w:pStyle w:val="Compact"/>
                    <w:jc w:val="left"/>
                    <w:jc w:val="center"/>
                  </w:pPr>
                  <w:r>
                    <w:t xml:space="preserve">median: 45 mmol/mol (6.8%)</w:t>
                  </w:r>
                </w:p>
              </w:tc>
              <w:tc>
                <w:tcPr/>
                <w:p>
                  <w:pPr>
                    <w:pStyle w:val="Compact"/>
                    <w:jc w:val="right"/>
                    <w:jc w:val="center"/>
                  </w:pPr>
                  <w:r>
                    <w:t xml:space="preserve">72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Mi, 2012</w:t>
                  </w:r>
                </w:p>
              </w:tc>
              <w:tc>
                <w:tcPr/>
                <w:p>
                  <w:pPr>
                    <w:pStyle w:val="Compact"/>
                    <w:jc w:val="left"/>
                    <w:jc w:val="center"/>
                  </w:pPr>
                  <w:r>
                    <w:t xml:space="preserve">Cross-sectional</w:t>
                  </w:r>
                </w:p>
              </w:tc>
              <w:tc>
                <w:tcPr/>
                <w:p>
                  <w:pPr>
                    <w:pStyle w:val="Compact"/>
                    <w:jc w:val="left"/>
                    <w:jc w:val="center"/>
                  </w:pPr>
                  <w:r>
                    <w:t xml:space="preserve">T2D with chest pain</w:t>
                  </w:r>
                  <w:r>
                    <w:t xml:space="preserve"> </w:t>
                  </w:r>
                  <w:r>
                    <w:t xml:space="preserve">Without CAD, n = 202</w:t>
                  </w:r>
                  <w:r>
                    <w:t xml:space="preserve"> </w:t>
                  </w:r>
                  <w:r>
                    <w:t xml:space="preserve">With CAD, n = 84</w:t>
                  </w:r>
                </w:p>
              </w:tc>
              <w:tc>
                <w:tcPr/>
                <w:p>
                  <w:pPr>
                    <w:pStyle w:val="Compact"/>
                    <w:jc w:val="center"/>
                    <w:jc w:val="center"/>
                  </w:pPr>
                  <w:r>
                    <w:t xml:space="preserve">286</w:t>
                  </w:r>
                </w:p>
              </w:tc>
              <w:tc>
                <w:tcPr/>
                <w:p>
                  <w:pPr>
                    <w:pStyle w:val="Compact"/>
                    <w:jc w:val="left"/>
                    <w:jc w:val="center"/>
                  </w:pPr>
                  <w:r>
                    <w:t xml:space="preserve">Without CAD: 62.8</w:t>
                  </w:r>
                  <w:r>
                    <w:t xml:space="preserve"> </w:t>
                  </w:r>
                  <m:oMath>
                    <m:r>
                      <m:rPr>
                        <m:sty m:val="p"/>
                      </m:rPr>
                      <m:t>±</m:t>
                    </m:r>
                  </m:oMath>
                  <w:r>
                    <w:t xml:space="preserve"> </w:t>
                  </w:r>
                  <w:r>
                    <w:t xml:space="preserve">8.7</w:t>
                  </w:r>
                  <w:r>
                    <w:t xml:space="preserve"> </w:t>
                  </w:r>
                  <w:r>
                    <w:t xml:space="preserve">With CAD: 66.6</w:t>
                  </w:r>
                  <w:r>
                    <w:t xml:space="preserve"> </w:t>
                  </w:r>
                  <m:oMath>
                    <m:r>
                      <m:rPr>
                        <m:sty m:val="p"/>
                      </m:rPr>
                      <m:t>±</m:t>
                    </m:r>
                  </m:oMath>
                  <w:r>
                    <w:t xml:space="preserve"> </w:t>
                  </w:r>
                  <w:r>
                    <w:t xml:space="preserve">9.2</w:t>
                  </w:r>
                </w:p>
              </w:tc>
              <w:tc>
                <w:tcPr/>
                <w:p>
                  <w:pPr>
                    <w:pStyle w:val="Compact"/>
                    <w:jc w:val="left"/>
                    <w:jc w:val="center"/>
                  </w:pPr>
                  <w:r>
                    <w:t xml:space="preserve">nr</w:t>
                  </w:r>
                </w:p>
              </w:tc>
              <w:tc>
                <w:tcPr/>
                <w:p>
                  <w:pPr>
                    <w:pStyle w:val="Compact"/>
                    <w:jc w:val="left"/>
                    <w:jc w:val="center"/>
                  </w:pPr>
                  <w:r>
                    <w:t xml:space="preserve">Non-CAD: 7.51</w:t>
                  </w:r>
                  <w:r>
                    <w:t xml:space="preserve"> </w:t>
                  </w:r>
                  <m:oMath>
                    <m:r>
                      <m:rPr>
                        <m:sty m:val="p"/>
                      </m:rPr>
                      <m:t>±</m:t>
                    </m:r>
                  </m:oMath>
                  <w:r>
                    <w:t xml:space="preserve"> </w:t>
                  </w:r>
                  <w:r>
                    <w:t xml:space="preserve">0.80%</w:t>
                  </w:r>
                  <w:r>
                    <w:t xml:space="preserve"> </w:t>
                  </w:r>
                  <w:r>
                    <w:t xml:space="preserve">CAD: 7.75</w:t>
                  </w:r>
                  <w:r>
                    <w:t xml:space="preserve"> </w:t>
                  </w:r>
                  <m:oMath>
                    <m:r>
                      <m:rPr>
                        <m:sty m:val="p"/>
                      </m:rPr>
                      <m:t>±</m:t>
                    </m:r>
                  </m:oMath>
                  <w:r>
                    <w:t xml:space="preserve"> </w:t>
                  </w:r>
                  <w:r>
                    <w:t xml:space="preserve">0.92%</w:t>
                  </w:r>
                </w:p>
              </w:tc>
              <w:tc>
                <w:tcPr/>
                <w:p>
                  <w:pPr>
                    <w:pStyle w:val="Compact"/>
                    <w:jc w:val="right"/>
                    <w:jc w:val="center"/>
                  </w:pPr>
                  <w:r>
                    <w:t xml:space="preserve">72 hours (Only intermediate 48 hours were used)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Sheng, 2023</w:t>
                  </w:r>
                </w:p>
              </w:tc>
              <w:tc>
                <w:tcPr/>
                <w:p>
                  <w:pPr>
                    <w:pStyle w:val="Compact"/>
                    <w:jc w:val="left"/>
                    <w:jc w:val="center"/>
                  </w:pPr>
                  <w:r>
                    <w:t xml:space="preserve">Cross-sectional</w:t>
                  </w:r>
                </w:p>
              </w:tc>
              <w:tc>
                <w:tcPr/>
                <w:p>
                  <w:pPr>
                    <w:pStyle w:val="Compact"/>
                    <w:jc w:val="left"/>
                    <w:jc w:val="center"/>
                  </w:pPr>
                  <w:r>
                    <w:t xml:space="preserve">T2D, hospitalized</w:t>
                  </w:r>
                </w:p>
              </w:tc>
              <w:tc>
                <w:tcPr/>
                <w:p>
                  <w:pPr>
                    <w:pStyle w:val="Compact"/>
                    <w:jc w:val="center"/>
                    <w:jc w:val="center"/>
                  </w:pPr>
                  <w:r>
                    <w:t xml:space="preserve">545</w:t>
                  </w:r>
                </w:p>
              </w:tc>
              <w:tc>
                <w:tcPr/>
                <w:p>
                  <w:pPr>
                    <w:pStyle w:val="Compact"/>
                    <w:jc w:val="left"/>
                    <w:jc w:val="center"/>
                  </w:pPr>
                  <w:r>
                    <w:t xml:space="preserve">mean age of (61.22</w:t>
                  </w:r>
                  <w:r>
                    <w:t xml:space="preserve"> </w:t>
                  </w:r>
                  <m:oMath>
                    <m:r>
                      <m:rPr>
                        <m:sty m:val="p"/>
                      </m:rPr>
                      <m:t>±</m:t>
                    </m:r>
                  </m:oMath>
                  <w:r>
                    <w:t xml:space="preserve"> </w:t>
                  </w:r>
                  <w:r>
                    <w:t xml:space="preserve">11.21) years</w:t>
                  </w:r>
                </w:p>
              </w:tc>
              <w:tc>
                <w:tcPr/>
                <w:p>
                  <w:pPr>
                    <w:pStyle w:val="Compact"/>
                    <w:jc w:val="left"/>
                    <w:jc w:val="center"/>
                  </w:pPr>
                  <w:r>
                    <w:t xml:space="preserve">nr</w:t>
                  </w:r>
                </w:p>
              </w:tc>
              <w:tc>
                <w:tcPr/>
                <w:p>
                  <w:pPr>
                    <w:pStyle w:val="Compact"/>
                    <w:jc w:val="left"/>
                    <w:jc w:val="center"/>
                  </w:pPr>
                  <w:r>
                    <w:t xml:space="preserve">8.51</w:t>
                  </w:r>
                  <w:r>
                    <w:t xml:space="preserve"> </w:t>
                  </w:r>
                  <m:oMath>
                    <m:r>
                      <m:rPr>
                        <m:sty m:val="p"/>
                      </m:rPr>
                      <m:t>±</m:t>
                    </m:r>
                  </m:oMath>
                  <w:r>
                    <w:t xml:space="preserve"> </w:t>
                  </w:r>
                  <w:r>
                    <w:t xml:space="preserve">1.85%</w:t>
                  </w:r>
                </w:p>
              </w:tc>
              <w:tc>
                <w:tcPr/>
                <w:p>
                  <w:pPr>
                    <w:pStyle w:val="Compact"/>
                    <w:jc w:val="right"/>
                    <w:jc w:val="center"/>
                  </w:pPr>
                  <w:r>
                    <w:t xml:space="preserve">7-14 days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Su, 2011</w:t>
                  </w:r>
                </w:p>
              </w:tc>
              <w:tc>
                <w:tcPr/>
                <w:p>
                  <w:pPr>
                    <w:pStyle w:val="Compact"/>
                    <w:jc w:val="left"/>
                    <w:jc w:val="center"/>
                  </w:pPr>
                  <w:r>
                    <w:t xml:space="preserve">Cross-sectional</w:t>
                  </w:r>
                </w:p>
              </w:tc>
              <w:tc>
                <w:tcPr/>
                <w:p>
                  <w:pPr>
                    <w:pStyle w:val="Compact"/>
                    <w:jc w:val="left"/>
                    <w:jc w:val="center"/>
                  </w:pPr>
                  <w:r>
                    <w:t xml:space="preserve">T2D with chest pain</w:t>
                  </w:r>
                  <w:r>
                    <w:t xml:space="preserve"> </w:t>
                  </w:r>
                  <w:r>
                    <w:t xml:space="preserve">Without CAD, n = 92</w:t>
                  </w:r>
                  <w:r>
                    <w:t xml:space="preserve"> </w:t>
                  </w:r>
                  <w:r>
                    <w:t xml:space="preserve">With CAD, n = 252</w:t>
                  </w:r>
                </w:p>
              </w:tc>
              <w:tc>
                <w:tcPr/>
                <w:p>
                  <w:pPr>
                    <w:pStyle w:val="Compact"/>
                    <w:jc w:val="center"/>
                    <w:jc w:val="center"/>
                  </w:pPr>
                  <w:r>
                    <w:t xml:space="preserve">344</w:t>
                  </w:r>
                </w:p>
              </w:tc>
              <w:tc>
                <w:tcPr/>
                <w:p>
                  <w:pPr>
                    <w:pStyle w:val="Compact"/>
                    <w:jc w:val="left"/>
                    <w:jc w:val="center"/>
                  </w:pPr>
                  <w:r>
                    <w:t xml:space="preserve">Without CAD: 61</w:t>
                  </w:r>
                  <w:r>
                    <w:t xml:space="preserve"> </w:t>
                  </w:r>
                  <m:oMath>
                    <m:r>
                      <m:rPr>
                        <m:sty m:val="p"/>
                      </m:rPr>
                      <m:t>±</m:t>
                    </m:r>
                  </m:oMath>
                  <w:r>
                    <w:t xml:space="preserve"> </w:t>
                  </w:r>
                  <w:r>
                    <w:t xml:space="preserve">9</w:t>
                  </w:r>
                  <w:r>
                    <w:t xml:space="preserve"> </w:t>
                  </w:r>
                  <w:r>
                    <w:t xml:space="preserve">With CAD: 65</w:t>
                  </w:r>
                  <w:r>
                    <w:t xml:space="preserve"> </w:t>
                  </w:r>
                  <m:oMath>
                    <m:r>
                      <m:rPr>
                        <m:sty m:val="p"/>
                      </m:rPr>
                      <m:t>±</m:t>
                    </m:r>
                  </m:oMath>
                  <w:r>
                    <w:t xml:space="preserve"> </w:t>
                  </w:r>
                  <w:r>
                    <w:t xml:space="preserve">9</w:t>
                  </w:r>
                </w:p>
              </w:tc>
              <w:tc>
                <w:tcPr/>
                <w:p>
                  <w:pPr>
                    <w:pStyle w:val="Compact"/>
                    <w:jc w:val="left"/>
                    <w:jc w:val="center"/>
                  </w:pPr>
                  <w:r>
                    <w:t xml:space="preserve">Without CAD: 4.8</w:t>
                  </w:r>
                  <w:r>
                    <w:t xml:space="preserve"> </w:t>
                  </w:r>
                  <m:oMath>
                    <m:r>
                      <m:rPr>
                        <m:sty m:val="p"/>
                      </m:rPr>
                      <m:t>±</m:t>
                    </m:r>
                  </m:oMath>
                  <w:r>
                    <w:t xml:space="preserve"> </w:t>
                  </w:r>
                  <w:r>
                    <w:t xml:space="preserve">5.7</w:t>
                  </w:r>
                  <w:r>
                    <w:t xml:space="preserve"> </w:t>
                  </w:r>
                  <w:r>
                    <w:t xml:space="preserve">With CAD: 6.5</w:t>
                  </w:r>
                  <w:r>
                    <w:t xml:space="preserve"> </w:t>
                  </w:r>
                  <m:oMath>
                    <m:r>
                      <m:rPr>
                        <m:sty m:val="p"/>
                      </m:rPr>
                      <m:t>±</m:t>
                    </m:r>
                  </m:oMath>
                  <w:r>
                    <w:t xml:space="preserve"> </w:t>
                  </w:r>
                  <w:r>
                    <w:t xml:space="preserve">6.4</w:t>
                  </w:r>
                </w:p>
              </w:tc>
              <w:tc>
                <w:tcPr/>
                <w:p>
                  <w:pPr>
                    <w:pStyle w:val="Compact"/>
                    <w:jc w:val="left"/>
                    <w:jc w:val="center"/>
                  </w:pPr>
                  <w:r>
                    <w:t xml:space="preserve">non-CAD: 7.5</w:t>
                  </w:r>
                  <w:r>
                    <w:t xml:space="preserve"> </w:t>
                  </w:r>
                  <m:oMath>
                    <m:r>
                      <m:rPr>
                        <m:sty m:val="p"/>
                      </m:rPr>
                      <m:t>±</m:t>
                    </m:r>
                  </m:oMath>
                  <w:r>
                    <w:t xml:space="preserve"> </w:t>
                  </w:r>
                  <w:r>
                    <w:t xml:space="preserve">1.4%</w:t>
                  </w:r>
                  <w:r>
                    <w:t xml:space="preserve"> </w:t>
                  </w:r>
                  <w:r>
                    <w:t xml:space="preserve">CAD: 7.6</w:t>
                  </w:r>
                  <w:r>
                    <w:t xml:space="preserve"> </w:t>
                  </w:r>
                  <m:oMath>
                    <m:r>
                      <m:rPr>
                        <m:sty m:val="p"/>
                      </m:rPr>
                      <m:t>±</m:t>
                    </m:r>
                  </m:oMath>
                  <w:r>
                    <w:t xml:space="preserve"> </w:t>
                  </w:r>
                  <w:r>
                    <w:t xml:space="preserve">1.5%</w:t>
                  </w:r>
                </w:p>
              </w:tc>
              <w:tc>
                <w:tcPr/>
                <w:p>
                  <w:pPr>
                    <w:pStyle w:val="Compact"/>
                    <w:jc w:val="right"/>
                    <w:jc w:val="center"/>
                  </w:pPr>
                  <w:r>
                    <w:t xml:space="preserve">72 hours (only 48 hours used)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2017</w:t>
                  </w:r>
                </w:p>
              </w:tc>
              <w:tc>
                <w:tcPr/>
                <w:p>
                  <w:pPr>
                    <w:pStyle w:val="Compact"/>
                    <w:jc w:val="left"/>
                    <w:jc w:val="center"/>
                  </w:pPr>
                  <w:r>
                    <w:t xml:space="preserve">Cross-sectional</w:t>
                  </w:r>
                </w:p>
              </w:tc>
              <w:tc>
                <w:tcPr/>
                <w:p>
                  <w:pPr>
                    <w:pStyle w:val="Compact"/>
                    <w:jc w:val="left"/>
                    <w:jc w:val="center"/>
                  </w:pPr>
                  <w:r>
                    <w:t xml:space="preserve">Prediabetes, hospitalized</w:t>
                  </w:r>
                </w:p>
              </w:tc>
              <w:tc>
                <w:tcPr/>
                <w:p>
                  <w:pPr>
                    <w:pStyle w:val="Compact"/>
                    <w:jc w:val="center"/>
                    <w:jc w:val="center"/>
                  </w:pPr>
                  <w:r>
                    <w:t xml:space="preserve">28</w:t>
                  </w:r>
                </w:p>
              </w:tc>
              <w:tc>
                <w:tcPr/>
                <w:p>
                  <w:pPr>
                    <w:pStyle w:val="Compact"/>
                    <w:jc w:val="left"/>
                    <w:jc w:val="center"/>
                  </w:pPr>
                  <w:r>
                    <w:t xml:space="preserve">64.3</w:t>
                  </w:r>
                  <w:r>
                    <w:t xml:space="preserve"> </w:t>
                  </w:r>
                  <m:oMath>
                    <m:r>
                      <m:rPr>
                        <m:sty m:val="p"/>
                      </m:rPr>
                      <m:t>±</m:t>
                    </m:r>
                  </m:oMath>
                  <w:r>
                    <w:t xml:space="preserve"> </w:t>
                  </w:r>
                  <w:r>
                    <w:t xml:space="preserve">12.8</w:t>
                  </w:r>
                </w:p>
              </w:tc>
              <w:tc>
                <w:tcPr/>
                <w:p>
                  <w:pPr>
                    <w:pStyle w:val="Compact"/>
                    <w:jc w:val="left"/>
                    <w:jc w:val="center"/>
                  </w:pPr>
                  <w:r>
                    <w:t xml:space="preserve">nr</w:t>
                  </w:r>
                </w:p>
              </w:tc>
              <w:tc>
                <w:tcPr/>
                <w:p>
                  <w:pPr>
                    <w:pStyle w:val="Compact"/>
                    <w:jc w:val="left"/>
                    <w:jc w:val="center"/>
                  </w:pPr>
                  <w:r>
                    <w:t xml:space="preserve">5.41</w:t>
                  </w:r>
                  <w:r>
                    <w:t xml:space="preserve"> </w:t>
                  </w:r>
                  <m:oMath>
                    <m:r>
                      <m:rPr>
                        <m:sty m:val="p"/>
                      </m:rPr>
                      <m:t>±</m:t>
                    </m:r>
                  </m:oMath>
                  <w:r>
                    <w:t xml:space="preserve"> </w:t>
                  </w:r>
                  <w:r>
                    <w:t xml:space="preserve">0.35%</w:t>
                  </w:r>
                </w:p>
              </w:tc>
              <w:tc>
                <w:tcPr/>
                <w:p>
                  <w:pPr>
                    <w:pStyle w:val="Compact"/>
                    <w:jc w:val="right"/>
                    <w:jc w:val="center"/>
                  </w:pPr>
                  <w:r>
                    <w:t xml:space="preserve">72 hours (Only used the middle 48 hours)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Zhang, 2013</w:t>
                  </w:r>
                </w:p>
              </w:tc>
              <w:tc>
                <w:tcPr/>
                <w:p>
                  <w:pPr>
                    <w:pStyle w:val="Compact"/>
                    <w:jc w:val="left"/>
                    <w:jc w:val="center"/>
                  </w:pPr>
                  <w:r>
                    <w:t xml:space="preserve">Cross-sectional</w:t>
                  </w:r>
                </w:p>
              </w:tc>
              <w:tc>
                <w:tcPr/>
                <w:p>
                  <w:pPr>
                    <w:pStyle w:val="Compact"/>
                    <w:jc w:val="left"/>
                    <w:jc w:val="center"/>
                  </w:pPr>
                  <w:r>
                    <w:t xml:space="preserve">T2D with cardiovascular complications</w:t>
                  </w:r>
                  <w:r>
                    <w:t xml:space="preserve"> </w:t>
                  </w:r>
                  <w:r>
                    <w:t xml:space="preserve">Group A: healthy individuals</w:t>
                  </w:r>
                  <w:r>
                    <w:t xml:space="preserve"> </w:t>
                  </w:r>
                  <w:r>
                    <w:t xml:space="preserve">Group B: T2D without cardiovascular complications</w:t>
                  </w:r>
                  <w:r>
                    <w:t xml:space="preserve"> </w:t>
                  </w:r>
                  <w:r>
                    <w:t xml:space="preserve">Group C: T2D with cardiovascular complications</w:t>
                  </w:r>
                </w:p>
              </w:tc>
              <w:tc>
                <w:tcPr/>
                <w:p>
                  <w:pPr>
                    <w:pStyle w:val="Compact"/>
                    <w:jc w:val="center"/>
                    <w:jc w:val="center"/>
                  </w:pPr>
                  <w:r>
                    <w:t xml:space="preserve">92</w:t>
                  </w:r>
                </w:p>
              </w:tc>
              <w:tc>
                <w:tcPr/>
                <w:p>
                  <w:pPr>
                    <w:pStyle w:val="Compact"/>
                    <w:jc w:val="left"/>
                    <w:jc w:val="center"/>
                  </w:pPr>
                  <w:r>
                    <w:t xml:space="preserve">Group A: 56.3</w:t>
                  </w:r>
                  <w:r>
                    <w:t xml:space="preserve"> </w:t>
                  </w:r>
                  <m:oMath>
                    <m:r>
                      <m:rPr>
                        <m:sty m:val="p"/>
                      </m:rPr>
                      <m:t>±</m:t>
                    </m:r>
                  </m:oMath>
                  <w:r>
                    <w:t xml:space="preserve"> </w:t>
                  </w:r>
                  <w:r>
                    <w:t xml:space="preserve">6.1</w:t>
                  </w:r>
                  <w:r>
                    <w:t xml:space="preserve"> </w:t>
                  </w:r>
                  <w:r>
                    <w:t xml:space="preserve">Group B: 56.1</w:t>
                  </w:r>
                  <w:r>
                    <w:t xml:space="preserve"> </w:t>
                  </w:r>
                  <m:oMath>
                    <m:r>
                      <m:rPr>
                        <m:sty m:val="p"/>
                      </m:rPr>
                      <m:t>±</m:t>
                    </m:r>
                  </m:oMath>
                  <w:r>
                    <w:t xml:space="preserve"> </w:t>
                  </w:r>
                  <w:r>
                    <w:t xml:space="preserve">6.6</w:t>
                  </w:r>
                  <w:r>
                    <w:t xml:space="preserve"> </w:t>
                  </w:r>
                  <w:r>
                    <w:t xml:space="preserve">Group C: 61.7</w:t>
                  </w:r>
                  <w:r>
                    <w:t xml:space="preserve"> </w:t>
                  </w:r>
                  <m:oMath>
                    <m:r>
                      <m:rPr>
                        <m:sty m:val="p"/>
                      </m:rPr>
                      <m:t>±</m:t>
                    </m:r>
                  </m:oMath>
                  <w:r>
                    <w:t xml:space="preserve"> </w:t>
                  </w:r>
                  <w:r>
                    <w:t xml:space="preserve">7.2</w:t>
                  </w:r>
                </w:p>
              </w:tc>
              <w:tc>
                <w:tcPr/>
                <w:p>
                  <w:pPr>
                    <w:pStyle w:val="Compact"/>
                    <w:jc w:val="left"/>
                    <w:jc w:val="center"/>
                  </w:pPr>
                  <w:r>
                    <w:t xml:space="preserve">nr</w:t>
                  </w:r>
                </w:p>
              </w:tc>
              <w:tc>
                <w:tcPr/>
                <w:p>
                  <w:pPr>
                    <w:pStyle w:val="Compact"/>
                    <w:jc w:val="left"/>
                    <w:jc w:val="center"/>
                  </w:pPr>
                  <w:r>
                    <w:t xml:space="preserve">Group A: 5.3</w:t>
                  </w:r>
                  <w:r>
                    <w:t xml:space="preserve"> </w:t>
                  </w:r>
                  <m:oMath>
                    <m:r>
                      <m:rPr>
                        <m:sty m:val="p"/>
                      </m:rPr>
                      <m:t>±</m:t>
                    </m:r>
                  </m:oMath>
                  <w:r>
                    <w:t xml:space="preserve"> </w:t>
                  </w:r>
                  <w:r>
                    <w:t xml:space="preserve">0.3%</w:t>
                  </w:r>
                  <w:r>
                    <w:t xml:space="preserve"> </w:t>
                  </w:r>
                  <w:r>
                    <w:t xml:space="preserve">Group B: 6.6</w:t>
                  </w:r>
                  <w:r>
                    <w:t xml:space="preserve"> </w:t>
                  </w:r>
                  <m:oMath>
                    <m:r>
                      <m:rPr>
                        <m:sty m:val="p"/>
                      </m:rPr>
                      <m:t>±</m:t>
                    </m:r>
                  </m:oMath>
                  <w:r>
                    <w:t xml:space="preserve"> </w:t>
                  </w:r>
                  <w:r>
                    <w:t xml:space="preserve">1.2%</w:t>
                  </w:r>
                  <w:r>
                    <w:t xml:space="preserve"> </w:t>
                  </w:r>
                  <w:r>
                    <w:t xml:space="preserve">Group C: 7.5</w:t>
                  </w:r>
                  <w:r>
                    <w:t xml:space="preserve"> </w:t>
                  </w:r>
                  <m:oMath>
                    <m:r>
                      <m:rPr>
                        <m:sty m:val="p"/>
                      </m:rPr>
                      <m:t>±</m:t>
                    </m:r>
                  </m:oMath>
                  <w:r>
                    <w:t xml:space="preserve"> </w:t>
                  </w:r>
                  <w:r>
                    <w:t xml:space="preserve">1.4%</w:t>
                  </w:r>
                </w:p>
              </w:tc>
              <w:tc>
                <w:tcPr/>
                <w:p>
                  <w:pPr>
                    <w:pStyle w:val="Compact"/>
                    <w:jc w:val="right"/>
                    <w:jc w:val="center"/>
                  </w:pPr>
                  <w:r>
                    <w:t xml:space="preserve">72 hours</w:t>
                  </w:r>
                </w:p>
              </w:tc>
            </w:tr>
          </w:tbl>
          <w:bookmarkEnd w:id="145"/>
          <w:p/>
        </w:tc>
      </w:tr>
    </w:tbl>
    <w:p>
      <w:pPr>
        <w:sectPr>
          <w:pgSz w:h="11906" w:w="16838" w:orient="landscape"/>
        </w:sectPr>
      </w:pPr>
    </w:p>
    <w:p>
      <w:pPr>
        <w:pStyle w:val="BodyText"/>
      </w:pPr>
      <w:r>
        <w:t xml:space="preserve">Clinical cardiovascular outcomes comprised cardiovascular mortality, major adverse cardiovascular events, macrovascular complications, coronary artery disease, stroke, and peripheral artery disease. Most studies were observational and differed substantially in study populations, CGM-derived metrics, outcome definitions, and adjustment strategies. Consequently, direct comparison across studies was challenging. The reported effect estimates from the least and most adjusted analyses are summarized in</w:t>
      </w:r>
      <w:r>
        <w:t xml:space="preserve"> </w:t>
      </w:r>
      <w:hyperlink w:anchor="tbl-main-clinical-findings">
        <w:r>
          <w:rPr>
            <w:rStyle w:val="Hyperlink"/>
          </w:rPr>
          <w:t xml:space="preserve">Table 4.4</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146" w:name="tbl-main-clinical-findings"/>
          <w:p>
            <w:pPr>
              <w:jc w:val="center"/>
            </w:pPr>
            <w:pPr>
              <w:jc w:val="left"/>
              <w:spacing w:before="200"/>
              <w:pStyle w:val="ImageCaption"/>
            </w:pPr>
            <w:r>
              <w:t xml:space="preserve">Table 4.4: Main findings of the included studies on clinical cardiovascular outcomes. WIP: Still need to add suppl. files, and adjustment column</w:t>
            </w:r>
          </w:p>
          <w:tbl>
            <w:tblPr>
              <w:tblStyle w:val="Table"/>
              <w:tblW w:type="pct" w:w="5000"/>
              <w:tblLayout w:type="fixed"/>
              <w:tblLook w:firstRow="1" w:lastRow="0" w:firstColumn="0" w:lastColumn="0" w:noHBand="0" w:noVBand="0" w:val="0020"/>
            </w:tblPr>
            <w:tblGrid>
              <w:gridCol w:w="1980"/>
              <w:gridCol w:w="1188"/>
              <w:gridCol w:w="1188"/>
              <w:gridCol w:w="1188"/>
              <w:gridCol w:w="1188"/>
              <w:gridCol w:w="1188"/>
            </w:tblGrid>
            <w:tr>
              <w:trPr>
                <w:tblHeader w:val="on"/>
              </w:trPr>
              <w:tc>
                <w:tcPr/>
                <w:p>
                  <w:pPr>
                    <w:pStyle w:val="Compact"/>
                    <w:jc w:val="left"/>
                    <w:jc w:val="center"/>
                  </w:pPr>
                  <w:r>
                    <w:t xml:space="preserve">Outcome, reference, and continuous glucose monitoring metrics</w:t>
                  </w:r>
                </w:p>
              </w:tc>
              <w:tc>
                <w:tcPr/>
                <w:p>
                  <w:pPr>
                    <w:pStyle w:val="Compact"/>
                    <w:jc w:val="left"/>
                    <w:jc w:val="center"/>
                  </w:pPr>
                  <w:r>
                    <w:t xml:space="preserve">Unadjusted or least adjusted findings</w:t>
                  </w:r>
                </w:p>
              </w:tc>
              <w:tc>
                <w:tcPr/>
                <w:p>
                  <w:pPr>
                    <w:pStyle w:val="Compact"/>
                    <w:jc w:val="center"/>
                    <w:jc w:val="center"/>
                  </w:pPr>
                  <m:oMath>
                    <m:r>
                      <m:t>P</m:t>
                    </m:r>
                  </m:oMath>
                  <w:r>
                    <w:t xml:space="preserve"> </w:t>
                  </w:r>
                  <w:r>
                    <w:t xml:space="preserve">value for the least adjusted findings</w:t>
                  </w:r>
                </w:p>
              </w:tc>
              <w:tc>
                <w:tcPr/>
                <w:p>
                  <w:pPr>
                    <w:pStyle w:val="Compact"/>
                    <w:jc w:val="left"/>
                    <w:jc w:val="center"/>
                  </w:pPr>
                  <w:r>
                    <w:t xml:space="preserve">Most adjusted findings</w:t>
                  </w:r>
                </w:p>
              </w:tc>
              <w:tc>
                <w:tcPr/>
                <w:p>
                  <w:pPr>
                    <w:pStyle w:val="Compact"/>
                    <w:jc w:val="center"/>
                    <w:jc w:val="center"/>
                  </w:pPr>
                  <m:oMath>
                    <m:r>
                      <m:t>P</m:t>
                    </m:r>
                  </m:oMath>
                  <w:r>
                    <w:t xml:space="preserve"> </w:t>
                  </w:r>
                  <w:r>
                    <w:t xml:space="preserve">value for the most adjusted findings</w:t>
                  </w:r>
                </w:p>
              </w:tc>
              <w:tc>
                <w:tcPr/>
                <w:p>
                  <w:pPr>
                    <w:pStyle w:val="Compact"/>
                    <w:jc w:val="left"/>
                    <w:jc w:val="center"/>
                  </w:pPr>
                  <w:r>
                    <w:t xml:space="preserve">Adjustments</w:t>
                  </w:r>
                </w:p>
              </w:tc>
            </w:tr>
            <w:tr>
              <w:tc>
                <w:tcPr/>
                <w:p>
                  <w:pPr>
                    <w:pStyle w:val="Compact"/>
                    <w:jc w:val="left"/>
                    <w:jc w:val="center"/>
                  </w:pPr>
                  <w:r>
                    <w:rPr>
                      <w:b/>
                      <w:bCs/>
                    </w:rPr>
                    <w:t xml:space="preserve">Cardiovascular Mortality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Model 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Demographic</w:t>
                  </w:r>
                </w:p>
              </w:tc>
            </w:tr>
            <w:tr>
              <w:tc>
                <w:tcPr/>
                <w:p>
                  <w:pPr>
                    <w:pStyle w:val="Compact"/>
                    <w:jc w:val="left"/>
                    <w:jc w:val="center"/>
                  </w:pPr>
                  <w:r>
                    <w:t xml:space="preserve">Lu et al</w:t>
                  </w:r>
                  <w:r>
                    <w:rPr>
                      <w:vertAlign w:val="superscript"/>
                    </w:rPr>
                    <w:t xml:space="preserve">21</w:t>
                  </w:r>
                  <w:r>
                    <w:t xml:space="preserve">, 2021</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Model 2:</w:t>
                  </w:r>
                </w:p>
              </w:tc>
            </w:tr>
            <w:tr>
              <w:tc>
                <w:tcPr/>
                <w:p>
                  <w:pPr>
                    <w:pStyle w:val="Compact"/>
                    <w:jc w:val="left"/>
                    <w:jc w:val="center"/>
                  </w:pPr>
                  <w:r>
                    <w:t xml:space="preserve">    TIR</w:t>
                  </w:r>
                  <w:r>
                    <w:t xml:space="preserve"> </w:t>
                  </w:r>
                  <m:oMath>
                    <m:r>
                      <m:rPr>
                        <m:sty m:val="p"/>
                      </m:rPr>
                      <m:t>&gt;</m:t>
                    </m:r>
                    <m:r>
                      <m:t>85</m:t>
                    </m:r>
                    <m:r>
                      <m:rPr>
                        <m:sty m:val="p"/>
                      </m:rPr>
                      <m:t>%</m:t>
                    </m:r>
                  </m:oMath>
                </w:p>
              </w:tc>
              <w:tc>
                <w:tcPr/>
                <w:p>
                  <w:pPr>
                    <w:pStyle w:val="Compact"/>
                    <w:jc w:val="left"/>
                    <w:jc w:val="center"/>
                  </w:pPr>
                  <w:r>
                    <w:t xml:space="preserve">HR 1.00</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1.00</w:t>
                  </w:r>
                </w:p>
              </w:tc>
              <w:tc>
                <w:tcPr/>
                <w:p>
                  <w:pPr>
                    <w:pStyle w:val="Compact"/>
                    <w:jc w:val="center"/>
                    <w:jc w:val="center"/>
                  </w:pPr>
                  <m:oMath>
                    <m:r>
                      <m:t>0.02</m:t>
                    </m:r>
                  </m:oMath>
                  <w:r>
                    <w:t xml:space="preserve"> </w:t>
                  </w:r>
                  <w:r>
                    <w:t xml:space="preserve">(trend)</w:t>
                  </w:r>
                </w:p>
              </w:tc>
              <w:tc>
                <w:tcPr/>
                <w:p>
                  <w:pPr>
                    <w:pStyle w:val="Compact"/>
                    <w:jc w:val="left"/>
                    <w:jc w:val="center"/>
                  </w:pPr>
                  <w:r>
                    <w:t xml:space="preserve">Demographic</w:t>
                  </w:r>
                </w:p>
              </w:tc>
            </w:tr>
            <w:tr>
              <w:tc>
                <w:tcPr/>
                <w:p>
                  <w:pPr>
                    <w:pStyle w:val="Compact"/>
                    <w:jc w:val="left"/>
                    <w:jc w:val="center"/>
                  </w:pPr>
                  <w:r>
                    <w:t xml:space="preserve">    TIR</w:t>
                  </w:r>
                  <w:r>
                    <w:t xml:space="preserve"> </w:t>
                  </w:r>
                  <m:oMath>
                    <m:r>
                      <m:t>71</m:t>
                    </m:r>
                    <m:r>
                      <m:rPr>
                        <m:sty m:val="p"/>
                      </m:rPr>
                      <m:t>%</m:t>
                    </m:r>
                    <m:r>
                      <m:rPr>
                        <m:sty m:val="p"/>
                      </m:rPr>
                      <m:t>−</m:t>
                    </m:r>
                    <m:r>
                      <m:t>85</m:t>
                    </m:r>
                    <m:r>
                      <m:rPr>
                        <m:sty m:val="p"/>
                      </m:rPr>
                      <m:t>%</m:t>
                    </m:r>
                  </m:oMath>
                </w:p>
              </w:tc>
              <w:tc>
                <w:tcPr/>
                <w:p>
                  <w:pPr>
                    <w:pStyle w:val="Compact"/>
                    <w:jc w:val="left"/>
                    <w:jc w:val="center"/>
                  </w:pPr>
                  <w:r>
                    <w:t xml:space="preserve">HR: 1.43</w:t>
                  </w:r>
                  <w:r>
                    <w:t xml:space="preserve"> </w:t>
                  </w:r>
                  <w:r>
                    <w:t xml:space="preserve">(0.95–2.14)</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1.35</w:t>
                  </w:r>
                  <w:r>
                    <w:t xml:space="preserve"> </w:t>
                  </w:r>
                  <w:r>
                    <w:t xml:space="preserve">(0.90–2.04)</w:t>
                  </w:r>
                </w:p>
              </w:tc>
              <w:tc>
                <w:tcPr/>
                <w:p>
                  <w:pPr>
                    <w:pStyle w:val="Compact"/>
                    <w:jc w:val="center"/>
                    <w:jc w:val="center"/>
                  </w:pPr>
                  <m:oMath>
                    <m:r>
                      <m:t>0.02</m:t>
                    </m:r>
                  </m:oMath>
                  <w:r>
                    <w:t xml:space="preserve"> </w:t>
                  </w:r>
                  <w:r>
                    <w:t xml:space="preserve">(trend)</w:t>
                  </w:r>
                </w:p>
              </w:tc>
              <w:tc>
                <w:tcPr/>
                <w:p>
                  <w:pPr>
                    <w:pStyle w:val="Compact"/>
                    <w:jc w:val="left"/>
                    <w:jc w:val="center"/>
                  </w:pPr>
                  <w:r>
                    <w:t xml:space="preserve">   Anthropometric</w:t>
                  </w:r>
                </w:p>
              </w:tc>
            </w:tr>
            <w:tr>
              <w:tc>
                <w:tcPr/>
                <w:p>
                  <w:pPr>
                    <w:pStyle w:val="Compact"/>
                    <w:jc w:val="left"/>
                    <w:jc w:val="center"/>
                  </w:pPr>
                  <w:r>
                    <w:t xml:space="preserve">    TIR</w:t>
                  </w:r>
                  <w:r>
                    <w:t xml:space="preserve"> </w:t>
                  </w:r>
                  <m:oMath>
                    <m:r>
                      <m:t>51</m:t>
                    </m:r>
                    <m:r>
                      <m:rPr>
                        <m:sty m:val="p"/>
                      </m:rPr>
                      <m:t>%</m:t>
                    </m:r>
                    <m:r>
                      <m:rPr>
                        <m:sty m:val="p"/>
                      </m:rPr>
                      <m:t>−</m:t>
                    </m:r>
                    <m:r>
                      <m:t>70</m:t>
                    </m:r>
                    <m:r>
                      <m:rPr>
                        <m:sty m:val="p"/>
                      </m:rPr>
                      <m:t>%</m:t>
                    </m:r>
                  </m:oMath>
                </w:p>
              </w:tc>
              <w:tc>
                <w:tcPr/>
                <w:p>
                  <w:pPr>
                    <w:pStyle w:val="Compact"/>
                    <w:jc w:val="left"/>
                    <w:jc w:val="center"/>
                  </w:pPr>
                  <w:r>
                    <w:t xml:space="preserve">HR: 1.66</w:t>
                  </w:r>
                  <w:r>
                    <w:t xml:space="preserve"> </w:t>
                  </w:r>
                  <w:r>
                    <w:t xml:space="preserve">(1.12–2.45)</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1.47</w:t>
                  </w:r>
                  <w:r>
                    <w:t xml:space="preserve"> </w:t>
                  </w:r>
                  <w:r>
                    <w:t xml:space="preserve">(0.99–2.19)</w:t>
                  </w:r>
                </w:p>
              </w:tc>
              <w:tc>
                <w:tcPr/>
                <w:p>
                  <w:pPr>
                    <w:pStyle w:val="Compact"/>
                    <w:jc w:val="center"/>
                    <w:jc w:val="center"/>
                  </w:pPr>
                  <m:oMath>
                    <m:r>
                      <m:t>0.02</m:t>
                    </m:r>
                  </m:oMath>
                  <w:r>
                    <w:t xml:space="preserve"> </w:t>
                  </w:r>
                  <w:r>
                    <w:t xml:space="preserve">(trend)</w:t>
                  </w:r>
                </w:p>
              </w:tc>
              <w:tc>
                <w:tcPr/>
                <w:p>
                  <w:pPr>
                    <w:pStyle w:val="Compact"/>
                    <w:jc w:val="left"/>
                    <w:jc w:val="center"/>
                  </w:pPr>
                  <w:r>
                    <w:t xml:space="preserve">   Lifestyle</w:t>
                  </w:r>
                </w:p>
              </w:tc>
            </w:tr>
            <w:tr>
              <w:tc>
                <w:tcPr/>
                <w:p>
                  <w:pPr>
                    <w:pStyle w:val="Compact"/>
                    <w:jc w:val="left"/>
                    <w:jc w:val="center"/>
                  </w:pPr>
                  <w:r>
                    <w:t xml:space="preserve">    TIR</w:t>
                  </w:r>
                  <w:r>
                    <w:t xml:space="preserve"> </w:t>
                  </w:r>
                  <m:oMath>
                    <m:r>
                      <m:rPr>
                        <m:sty m:val="p"/>
                      </m:rPr>
                      <m:t>≥</m:t>
                    </m:r>
                    <m:r>
                      <m:t>50</m:t>
                    </m:r>
                    <m:r>
                      <m:rPr>
                        <m:sty m:val="p"/>
                      </m:rPr>
                      <m:t>%</m:t>
                    </m:r>
                  </m:oMath>
                </w:p>
              </w:tc>
              <w:tc>
                <w:tcPr/>
                <w:p>
                  <w:pPr>
                    <w:pStyle w:val="Compact"/>
                    <w:jc w:val="left"/>
                    <w:jc w:val="center"/>
                  </w:pPr>
                  <w:r>
                    <w:t xml:space="preserve">HR: 2.15</w:t>
                  </w:r>
                  <w:r>
                    <w:t xml:space="preserve"> </w:t>
                  </w:r>
                  <w:r>
                    <w:t xml:space="preserve">(1.47–3.13)</w:t>
                  </w:r>
                </w:p>
              </w:tc>
              <w:tc>
                <w:tcPr/>
                <w:p>
                  <w:pPr>
                    <w:pStyle w:val="Compact"/>
                    <w:jc w:val="center"/>
                    <w:jc w:val="center"/>
                  </w:pPr>
                  <m:oMath>
                    <m:r>
                      <m:rPr>
                        <m:sty m:val="p"/>
                      </m:rPr>
                      <m:t>&lt;</m:t>
                    </m:r>
                    <m:r>
                      <m:t>0.001</m:t>
                    </m:r>
                  </m:oMath>
                  <w:r>
                    <w:t xml:space="preserve"> </w:t>
                  </w:r>
                  <w:r>
                    <w:t xml:space="preserve">(trend)</w:t>
                  </w:r>
                </w:p>
              </w:tc>
              <w:tc>
                <w:tcPr/>
                <w:p>
                  <w:pPr>
                    <w:pStyle w:val="Compact"/>
                    <w:jc w:val="left"/>
                    <w:jc w:val="center"/>
                  </w:pPr>
                  <w:r>
                    <w:t xml:space="preserve">HR: 1.85</w:t>
                  </w:r>
                  <w:r>
                    <w:t xml:space="preserve"> </w:t>
                  </w:r>
                  <w:r>
                    <w:t xml:space="preserve">(1.25–2.72)</w:t>
                  </w:r>
                </w:p>
              </w:tc>
              <w:tc>
                <w:tcPr/>
                <w:p>
                  <w:pPr>
                    <w:pStyle w:val="Compact"/>
                    <w:jc w:val="center"/>
                    <w:jc w:val="center"/>
                  </w:pPr>
                  <m:oMath>
                    <m:r>
                      <m:t>0.02</m:t>
                    </m:r>
                  </m:oMath>
                  <w:r>
                    <w:t xml:space="preserve"> </w:t>
                  </w:r>
                  <w:r>
                    <w:t xml:space="preserve">(trend)</w:t>
                  </w:r>
                </w:p>
              </w:tc>
              <w:tc>
                <w:tcPr/>
                <w:p>
                  <w:pPr>
                    <w:pStyle w:val="Compact"/>
                    <w:jc w:val="left"/>
                    <w:jc w:val="center"/>
                  </w:pPr>
                  <w:r>
                    <w:t xml:space="preserve">   Medical History</w:t>
                  </w:r>
                </w:p>
              </w:tc>
            </w:tr>
            <w:tr>
              <w:tc>
                <w:tcPr/>
                <w:p>
                  <w:pPr>
                    <w:pStyle w:val="Compact"/>
                    <w:jc w:val="left"/>
                    <w:jc w:val="center"/>
                  </w:pPr>
                  <w:r>
                    <w:t xml:space="preserve">    TIR as a</w:t>
                  </w:r>
                  <w:r>
                    <w:t xml:space="preserve"> </w:t>
                  </w:r>
                  <w:r>
                    <w:t xml:space="preserve">continuous variable</w:t>
                  </w:r>
                </w:p>
              </w:tc>
              <w:tc>
                <w:tcPr/>
                <w:p>
                  <w:pPr>
                    <w:pStyle w:val="Compact"/>
                    <w:jc w:val="left"/>
                    <w:jc w:val="center"/>
                  </w:pPr>
                  <w:r>
                    <w:t xml:space="preserve">HR 1.08</w:t>
                  </w:r>
                  <w:r>
                    <w:t xml:space="preserve"> </w:t>
                  </w:r>
                  <w:r>
                    <w:t xml:space="preserve">(1.03–1.13)</w:t>
                  </w:r>
                </w:p>
              </w:tc>
              <w:tc>
                <w:tcPr/>
                <w:p>
                  <w:pPr>
                    <w:pStyle w:val="Compact"/>
                    <w:jc w:val="center"/>
                    <w:jc w:val="center"/>
                  </w:pPr>
                  <w:r>
                    <w:t xml:space="preserve">—</w:t>
                  </w:r>
                </w:p>
              </w:tc>
              <w:tc>
                <w:tcPr/>
                <w:p>
                  <w:pPr>
                    <w:pStyle w:val="Compact"/>
                    <w:jc w:val="left"/>
                    <w:jc w:val="center"/>
                  </w:pPr>
                  <w:r>
                    <w:t xml:space="preserve">HR 1.05</w:t>
                  </w:r>
                  <w:r>
                    <w:t xml:space="preserve"> </w:t>
                  </w:r>
                  <w:r>
                    <w:t xml:space="preserve">(1.00–1.11)</w:t>
                  </w:r>
                </w:p>
              </w:tc>
              <w:tc>
                <w:tcPr/>
                <w:p>
                  <w:pPr>
                    <w:pStyle w:val="Compact"/>
                    <w:jc w:val="center"/>
                    <w:jc w:val="center"/>
                  </w:pPr>
                  <w:r>
                    <w:t xml:space="preserve">—</w:t>
                  </w:r>
                </w:p>
              </w:tc>
              <w:tc>
                <w:tcPr/>
                <w:p>
                  <w:pPr>
                    <w:pStyle w:val="Compact"/>
                    <w:jc w:val="left"/>
                    <w:jc w:val="center"/>
                  </w:pPr>
                  <w:r>
                    <w:t xml:space="preserve">   Physiological</w:t>
                  </w:r>
                </w:p>
              </w:tc>
            </w:tr>
            <w:tr>
              <w:tc>
                <w:tcPr/>
                <w:p>
                  <w:pPr>
                    <w:pStyle w:val="Compact"/>
                    <w:jc w:val="left"/>
                    <w:jc w:val="center"/>
                  </w:pPr>
                  <w:r>
                    <w:t xml:space="preserve">    (each</w:t>
                  </w:r>
                  <w:r>
                    <w:t xml:space="preserve"> </w:t>
                  </w:r>
                  <m:oMath>
                    <m:r>
                      <m:t>10</m:t>
                    </m:r>
                    <m:r>
                      <m:rPr>
                        <m:sty m:val="p"/>
                      </m:rPr>
                      <m:t>%</m:t>
                    </m:r>
                  </m:oMath>
                  <w:r>
                    <w:t xml:space="preserve"> </w:t>
                  </w:r>
                  <w:r>
                    <w:t xml:space="preserve">decrease)</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Least 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Unadjusted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Most adjusted:</w:t>
                  </w: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Demographic</w:t>
                  </w:r>
                </w:p>
              </w:tc>
            </w:tr>
            <w:tr>
              <w:tc>
                <w:tcPr/>
                <w:p>
                  <w:pPr>
                    <w:pStyle w:val="Compact"/>
                    <w:jc w:val="left"/>
                    <w:jc w:val="center"/>
                  </w:pPr>
                  <w:r>
                    <w:t xml:space="preserve">    Hypoglycemic events</w:t>
                  </w:r>
                </w:p>
              </w:tc>
              <w:tc>
                <w:tcPr/>
                <w:p>
                  <w:pPr>
                    <w:pStyle w:val="Compact"/>
                    <w:jc w:val="left"/>
                    <w:jc w:val="center"/>
                  </w:pPr>
                  <w:r>
                    <w:t xml:space="preserve">HR: 2.03</w:t>
                  </w:r>
                  <w:r>
                    <w:t xml:space="preserve"> </w:t>
                  </w:r>
                  <w:r>
                    <w:t xml:space="preserve">(1.21–3.41)</w:t>
                  </w:r>
                </w:p>
              </w:tc>
              <w:tc>
                <w:tcPr/>
                <w:p>
                  <w:pPr>
                    <w:pStyle w:val="Compact"/>
                    <w:jc w:val="center"/>
                    <w:jc w:val="center"/>
                  </w:pPr>
                  <w:r>
                    <w:t xml:space="preserve">—</w:t>
                  </w:r>
                </w:p>
              </w:tc>
              <w:tc>
                <w:tcPr/>
                <w:p>
                  <w:pPr>
                    <w:pStyle w:val="Compact"/>
                    <w:jc w:val="left"/>
                    <w:jc w:val="center"/>
                  </w:pPr>
                  <w:r>
                    <w:t xml:space="preserve">HR: 2.64</w:t>
                  </w:r>
                  <w:r>
                    <w:t xml:space="preserve"> </w:t>
                  </w:r>
                  <w:r>
                    <w:t xml:space="preserve">(1.40–4.99)</w:t>
                  </w:r>
                </w:p>
              </w:tc>
              <w:tc>
                <w:tcPr/>
                <w:p>
                  <w:pPr>
                    <w:pStyle w:val="Compact"/>
                    <w:jc w:val="center"/>
                    <w:jc w:val="center"/>
                  </w:pPr>
                  <w:r>
                    <w:t xml:space="preserve">—</w:t>
                  </w:r>
                </w:p>
              </w:tc>
              <w:tc>
                <w:tcPr/>
                <w:p>
                  <w:pPr>
                    <w:pStyle w:val="Compact"/>
                    <w:jc w:val="left"/>
                    <w:jc w:val="center"/>
                  </w:pPr>
                  <w:r>
                    <w:t xml:space="preserve">   Anthropometric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Lifestyle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Medical History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Biochemical</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   Medication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Major Adverse Cardiovascular Events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He et al</w:t>
                  </w:r>
                  <w:r>
                    <w:rPr>
                      <w:b/>
                      <w:bCs/>
                      <w:vertAlign w:val="superscript"/>
                    </w:rPr>
                    <w:t xml:space="preserve">He2023?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Blood glucose</w:t>
                  </w:r>
                  <w:r>
                    <w:t xml:space="preserve"> </w:t>
                  </w:r>
                  <w:r>
                    <w:t xml:space="preserve">risk index</w:t>
                  </w:r>
                </w:p>
              </w:tc>
              <w:tc>
                <w:tcPr/>
                <w:p>
                  <w:pPr>
                    <w:pStyle w:val="Compact"/>
                    <w:jc w:val="left"/>
                    <w:jc w:val="center"/>
                  </w:pPr>
                  <w:r>
                    <w:t xml:space="preserve">HR: 0.97</w:t>
                  </w:r>
                  <w:r>
                    <w:t xml:space="preserve"> </w:t>
                  </w:r>
                  <w:r>
                    <w:t xml:space="preserve">(0.85–1.10)</w:t>
                  </w:r>
                </w:p>
              </w:tc>
              <w:tc>
                <w:tcPr/>
                <w:p>
                  <w:pPr>
                    <w:pStyle w:val="Compact"/>
                    <w:jc w:val="center"/>
                    <w:jc w:val="center"/>
                  </w:pPr>
                  <m:oMath>
                    <m:r>
                      <m:t>0.61</m:t>
                    </m:r>
                  </m:oMath>
                </w:p>
              </w:tc>
              <w:tc>
                <w:tcPr/>
                <w:p>
                  <w:pPr>
                    <w:pStyle w:val="Compact"/>
                    <w:jc w:val="left"/>
                    <w:jc w:val="center"/>
                  </w:pPr>
                  <w:r>
                    <w:t xml:space="preserve">HR: 0.98</w:t>
                  </w:r>
                  <w:r>
                    <w:t xml:space="preserve"> </w:t>
                  </w:r>
                  <w:r>
                    <w:t xml:space="preserve">(0.85–1.13)</w:t>
                  </w:r>
                </w:p>
              </w:tc>
              <w:tc>
                <w:tcPr/>
                <w:p>
                  <w:pPr>
                    <w:pStyle w:val="Compact"/>
                    <w:jc w:val="center"/>
                    <w:jc w:val="center"/>
                  </w:pPr>
                  <m:oMath>
                    <m:r>
                      <m:t>0.75</m:t>
                    </m:r>
                  </m:oMath>
                </w:p>
              </w:tc>
              <w:tc>
                <w:tcPr/>
                <w:p>
                  <w:pPr>
                    <w:pStyle w:val="Compact"/>
                  </w:pPr>
                </w:p>
              </w:tc>
            </w:tr>
            <w:tr>
              <w:tc>
                <w:tcPr/>
                <w:p>
                  <w:pPr>
                    <w:pStyle w:val="Compact"/>
                    <w:jc w:val="left"/>
                    <w:jc w:val="center"/>
                  </w:pPr>
                  <w:r>
                    <w:t xml:space="preserve">    Low blood glucose</w:t>
                  </w:r>
                  <w:r>
                    <w:t xml:space="preserve"> </w:t>
                  </w:r>
                  <w:r>
                    <w:t xml:space="preserve">index</w:t>
                  </w:r>
                </w:p>
              </w:tc>
              <w:tc>
                <w:tcPr/>
                <w:p>
                  <w:pPr>
                    <w:pStyle w:val="Compact"/>
                    <w:jc w:val="left"/>
                    <w:jc w:val="center"/>
                  </w:pPr>
                  <w:r>
                    <w:t xml:space="preserve">HR: 2.37</w:t>
                  </w:r>
                  <w:r>
                    <w:t xml:space="preserve"> </w:t>
                  </w:r>
                  <w:r>
                    <w:t xml:space="preserve">(1.16–4.83)</w:t>
                  </w:r>
                </w:p>
              </w:tc>
              <w:tc>
                <w:tcPr/>
                <w:p>
                  <w:pPr>
                    <w:pStyle w:val="Compact"/>
                    <w:jc w:val="center"/>
                    <w:jc w:val="center"/>
                  </w:pPr>
                  <m:oMath>
                    <m:r>
                      <m:t>0.02</m:t>
                    </m:r>
                  </m:oMath>
                </w:p>
              </w:tc>
              <w:tc>
                <w:tcPr/>
                <w:p>
                  <w:pPr>
                    <w:pStyle w:val="Compact"/>
                    <w:jc w:val="left"/>
                    <w:jc w:val="center"/>
                  </w:pPr>
                  <w:r>
                    <w:t xml:space="preserve">HR: 2.73</w:t>
                  </w:r>
                  <w:r>
                    <w:t xml:space="preserve">( 1.21–6.16)</w:t>
                  </w:r>
                </w:p>
              </w:tc>
              <w:tc>
                <w:tcPr/>
                <w:p>
                  <w:pPr>
                    <w:pStyle w:val="Compact"/>
                    <w:jc w:val="center"/>
                    <w:jc w:val="center"/>
                  </w:pPr>
                  <m:oMath>
                    <m:r>
                      <m:t>0.02</m:t>
                    </m:r>
                  </m:oMath>
                </w:p>
              </w:tc>
              <w:tc>
                <w:tcPr/>
                <w:p>
                  <w:pPr>
                    <w:pStyle w:val="Compact"/>
                  </w:pPr>
                </w:p>
              </w:tc>
            </w:tr>
            <w:tr>
              <w:tc>
                <w:tcPr/>
                <w:p>
                  <w:pPr>
                    <w:pStyle w:val="Compact"/>
                    <w:jc w:val="left"/>
                    <w:jc w:val="center"/>
                  </w:pPr>
                  <w:r>
                    <w:t xml:space="preserve">    High blood glucose</w:t>
                  </w:r>
                  <w:r>
                    <w:t xml:space="preserve"> </w:t>
                  </w:r>
                  <w:r>
                    <w:t xml:space="preserve"> </w:t>
                  </w:r>
                  <w:r>
                    <w:t xml:space="preserve">index</w:t>
                  </w:r>
                </w:p>
              </w:tc>
              <w:tc>
                <w:tcPr/>
                <w:p>
                  <w:pPr>
                    <w:pStyle w:val="Compact"/>
                    <w:jc w:val="left"/>
                    <w:jc w:val="center"/>
                  </w:pPr>
                  <w:r>
                    <w:t xml:space="preserve">HR: 0.94</w:t>
                  </w:r>
                  <w:r>
                    <w:t xml:space="preserve"> </w:t>
                  </w:r>
                  <w:r>
                    <w:t xml:space="preserve">(0.81–1.08)</w:t>
                  </w:r>
                </w:p>
              </w:tc>
              <w:tc>
                <w:tcPr/>
                <w:p>
                  <w:pPr>
                    <w:pStyle w:val="Compact"/>
                    <w:jc w:val="center"/>
                    <w:jc w:val="center"/>
                  </w:pPr>
                  <m:oMath>
                    <m:r>
                      <m:t>0.38</m:t>
                    </m:r>
                  </m:oMath>
                </w:p>
              </w:tc>
              <w:tc>
                <w:tcPr/>
                <w:p>
                  <w:pPr>
                    <w:pStyle w:val="Compact"/>
                    <w:jc w:val="left"/>
                    <w:jc w:val="center"/>
                  </w:pPr>
                  <w:r>
                    <w:t xml:space="preserve">HR: 0.94</w:t>
                  </w:r>
                  <w:r>
                    <w:t xml:space="preserve"> </w:t>
                  </w:r>
                  <w:r>
                    <w:t xml:space="preserve">(0.81–1.09)</w:t>
                  </w:r>
                </w:p>
              </w:tc>
              <w:tc>
                <w:tcPr/>
                <w:p>
                  <w:pPr>
                    <w:pStyle w:val="Compact"/>
                    <w:jc w:val="center"/>
                    <w:jc w:val="center"/>
                  </w:pPr>
                  <m:oMath>
                    <m:r>
                      <m:t>0.44</m:t>
                    </m:r>
                  </m:oMath>
                </w:p>
              </w:tc>
              <w:tc>
                <w:tcPr/>
                <w:p>
                  <w:pPr>
                    <w:pStyle w:val="Compact"/>
                  </w:pPr>
                </w:p>
              </w:tc>
            </w:tr>
            <w:tr>
              <w:tc>
                <w:tcPr/>
                <w:p>
                  <w:pPr>
                    <w:pStyle w:val="Compact"/>
                    <w:jc w:val="left"/>
                    <w:jc w:val="center"/>
                  </w:pPr>
                  <w:r>
                    <w:t xml:space="preserve">    Average of</w:t>
                  </w:r>
                  <w:r>
                    <w:t xml:space="preserve"> </w:t>
                  </w:r>
                  <w:r>
                    <w:t xml:space="preserve">daily risk range</w:t>
                  </w:r>
                </w:p>
              </w:tc>
              <w:tc>
                <w:tcPr/>
                <w:p>
                  <w:pPr>
                    <w:pStyle w:val="Compact"/>
                    <w:jc w:val="left"/>
                    <w:jc w:val="center"/>
                  </w:pPr>
                  <w:r>
                    <w:t xml:space="preserve">HR: 1.00</w:t>
                  </w:r>
                  <w:r>
                    <w:t xml:space="preserve"> </w:t>
                  </w:r>
                  <w:r>
                    <w:t xml:space="preserve">(0.93–1.07)</w:t>
                  </w:r>
                </w:p>
              </w:tc>
              <w:tc>
                <w:tcPr/>
                <w:p>
                  <w:pPr>
                    <w:pStyle w:val="Compact"/>
                    <w:jc w:val="center"/>
                    <w:jc w:val="center"/>
                  </w:pPr>
                  <m:oMath>
                    <m:r>
                      <m:rPr>
                        <m:sty m:val="p"/>
                      </m:rPr>
                      <m:t>&gt;</m:t>
                    </m:r>
                    <m:r>
                      <m:t>0.99</m:t>
                    </m:r>
                  </m:oMath>
                </w:p>
              </w:tc>
              <w:tc>
                <w:tcPr/>
                <w:p>
                  <w:pPr>
                    <w:pStyle w:val="Compact"/>
                    <w:jc w:val="left"/>
                    <w:jc w:val="center"/>
                  </w:pPr>
                  <w:r>
                    <w:t xml:space="preserve">HR: 1.01</w:t>
                  </w:r>
                  <w:r>
                    <w:t xml:space="preserve"> </w:t>
                  </w:r>
                  <w:r>
                    <w:t xml:space="preserve">(0.93–1.09)</w:t>
                  </w:r>
                </w:p>
              </w:tc>
              <w:tc>
                <w:tcPr/>
                <w:p>
                  <w:pPr>
                    <w:pStyle w:val="Compact"/>
                    <w:jc w:val="center"/>
                    <w:jc w:val="center"/>
                  </w:pPr>
                  <m:oMath>
                    <m:r>
                      <m:t>0.80</m:t>
                    </m:r>
                  </m:oMath>
                </w:p>
              </w:tc>
              <w:tc>
                <w:tcPr/>
                <w:p>
                  <w:pPr>
                    <w:pStyle w:val="Compact"/>
                  </w:pPr>
                </w:p>
              </w:tc>
            </w:tr>
            <w:tr>
              <w:tc>
                <w:tcPr/>
                <w:p>
                  <w:pPr>
                    <w:pStyle w:val="Compact"/>
                    <w:jc w:val="left"/>
                    <w:jc w:val="center"/>
                  </w:pPr>
                  <w:r>
                    <w:t xml:space="preserve">    GMI</w:t>
                  </w:r>
                </w:p>
              </w:tc>
              <w:tc>
                <w:tcPr/>
                <w:p>
                  <w:pPr>
                    <w:pStyle w:val="Compact"/>
                    <w:jc w:val="left"/>
                    <w:jc w:val="center"/>
                  </w:pPr>
                  <w:r>
                    <w:t xml:space="preserve">HR: 0.98</w:t>
                  </w:r>
                  <w:r>
                    <w:t xml:space="preserve"> </w:t>
                  </w:r>
                  <w:r>
                    <w:t xml:space="preserve">(0.91–1.06)</w:t>
                  </w:r>
                </w:p>
              </w:tc>
              <w:tc>
                <w:tcPr/>
                <w:p>
                  <w:pPr>
                    <w:pStyle w:val="Compact"/>
                    <w:jc w:val="center"/>
                    <w:jc w:val="center"/>
                  </w:pPr>
                  <m:oMath>
                    <m:r>
                      <m:t>0.65</m:t>
                    </m:r>
                  </m:oMath>
                </w:p>
              </w:tc>
              <w:tc>
                <w:tcPr/>
                <w:p>
                  <w:pPr>
                    <w:pStyle w:val="Compact"/>
                    <w:jc w:val="left"/>
                    <w:jc w:val="center"/>
                  </w:pPr>
                  <w:r>
                    <w:t xml:space="preserve">HR: 0.99</w:t>
                  </w:r>
                  <w:r>
                    <w:t xml:space="preserve">(0.91–1.07)</w:t>
                  </w:r>
                </w:p>
              </w:tc>
              <w:tc>
                <w:tcPr/>
                <w:p>
                  <w:pPr>
                    <w:pStyle w:val="Compact"/>
                    <w:jc w:val="center"/>
                    <w:jc w:val="center"/>
                  </w:pPr>
                  <m:oMath>
                    <m:r>
                      <m:t>0.78</m:t>
                    </m:r>
                  </m:oMath>
                </w:p>
              </w:tc>
              <w:tc>
                <w:tcPr/>
                <w:p>
                  <w:pPr>
                    <w:pStyle w:val="Compact"/>
                  </w:pPr>
                </w:p>
              </w:tc>
            </w:tr>
            <w:tr>
              <w:tc>
                <w:tcPr/>
                <w:p>
                  <w:pPr>
                    <w:pStyle w:val="Compact"/>
                    <w:jc w:val="left"/>
                    <w:jc w:val="center"/>
                  </w:pPr>
                  <w:r>
                    <w:t xml:space="preserve">    M-value</w:t>
                  </w:r>
                </w:p>
              </w:tc>
              <w:tc>
                <w:tcPr/>
                <w:p>
                  <w:pPr>
                    <w:pStyle w:val="Compact"/>
                    <w:jc w:val="left"/>
                    <w:jc w:val="center"/>
                  </w:pPr>
                  <w:r>
                    <w:t xml:space="preserve">HR: 0.98</w:t>
                  </w:r>
                  <w:r>
                    <w:t xml:space="preserve"> </w:t>
                  </w:r>
                  <w:r>
                    <w:t xml:space="preserve">(0.91–1.05)</w:t>
                  </w:r>
                </w:p>
              </w:tc>
              <w:tc>
                <w:tcPr/>
                <w:p>
                  <w:pPr>
                    <w:pStyle w:val="Compact"/>
                    <w:jc w:val="center"/>
                    <w:jc w:val="center"/>
                  </w:pPr>
                  <m:oMath>
                    <m:r>
                      <m:t>0.54</m:t>
                    </m:r>
                  </m:oMath>
                </w:p>
              </w:tc>
              <w:tc>
                <w:tcPr/>
                <w:p>
                  <w:pPr>
                    <w:pStyle w:val="Compact"/>
                    <w:jc w:val="left"/>
                    <w:jc w:val="center"/>
                  </w:pPr>
                  <w:r>
                    <w:t xml:space="preserve">HR: 0.98</w:t>
                  </w:r>
                  <w:r>
                    <w:t xml:space="preserve">(0.91–1.06)</w:t>
                  </w:r>
                </w:p>
              </w:tc>
              <w:tc>
                <w:tcPr/>
                <w:p>
                  <w:pPr>
                    <w:pStyle w:val="Compact"/>
                    <w:jc w:val="center"/>
                    <w:jc w:val="center"/>
                  </w:pPr>
                  <m:oMath>
                    <m:r>
                      <m:t>0.64</m:t>
                    </m:r>
                  </m:oMath>
                </w:p>
              </w:tc>
              <w:tc>
                <w:tcPr/>
                <w:p>
                  <w:pPr>
                    <w:pStyle w:val="Compact"/>
                  </w:pP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1.501</w:t>
                  </w:r>
                  <w:r>
                    <w:t xml:space="preserve"> </w:t>
                  </w:r>
                  <w:r>
                    <w:t xml:space="preserve">(1.207–1.866)</w:t>
                  </w:r>
                </w:p>
              </w:tc>
              <w:tc>
                <w:tcPr/>
                <w:p>
                  <w:pPr>
                    <w:pStyle w:val="Compact"/>
                    <w:jc w:val="center"/>
                    <w:jc w:val="center"/>
                  </w:pPr>
                  <w:r>
                    <w:t xml:space="preserve">—</w:t>
                  </w:r>
                </w:p>
              </w:tc>
              <w:tc>
                <w:tcPr/>
                <w:p>
                  <w:pPr>
                    <w:pStyle w:val="Compact"/>
                    <w:jc w:val="left"/>
                    <w:jc w:val="center"/>
                  </w:pPr>
                  <w:r>
                    <w:t xml:space="preserve">HR: 1.615</w:t>
                  </w:r>
                  <w:r>
                    <w:t xml:space="preserve"> </w:t>
                  </w:r>
                  <w:r>
                    <w:t xml:space="preserve">(1.239–2.106)</w:t>
                  </w:r>
                </w:p>
              </w:tc>
              <w:tc>
                <w:tcPr/>
                <w:p>
                  <w:pPr>
                    <w:pStyle w:val="Compact"/>
                    <w:jc w:val="center"/>
                    <w:jc w:val="center"/>
                  </w:pPr>
                  <m:oMath>
                    <m:r>
                      <m:rPr>
                        <m:sty m:val="p"/>
                      </m:rPr>
                      <m:t>&lt;</m:t>
                    </m:r>
                    <m:r>
                      <m:t>0.001</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Macrovascular Complications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0.939</w:t>
                  </w:r>
                  <w:r>
                    <w:t xml:space="preserve"> </w:t>
                  </w:r>
                  <w:r>
                    <w:t xml:space="preserve">(0.829–1.063)</w:t>
                  </w:r>
                </w:p>
              </w:tc>
              <w:tc>
                <w:tcPr/>
                <w:p>
                  <w:pPr>
                    <w:pStyle w:val="Compact"/>
                    <w:jc w:val="center"/>
                    <w:jc w:val="center"/>
                  </w:pPr>
                  <m:oMath>
                    <m:r>
                      <m:rPr>
                        <m:sty m:val="p"/>
                      </m:rPr>
                      <m:t>&gt;</m:t>
                    </m:r>
                    <m:r>
                      <m:t>0.05</m:t>
                    </m:r>
                  </m:oMath>
                </w:p>
              </w:tc>
              <w:tc>
                <w:tcPr/>
                <w:p>
                  <w:pPr>
                    <w:pStyle w:val="Compact"/>
                    <w:jc w:val="left"/>
                    <w:jc w:val="center"/>
                  </w:pPr>
                  <w:r>
                    <w:t xml:space="preserve">OR: 0.896</w:t>
                  </w:r>
                  <w:r>
                    <w:t xml:space="preserve"> </w:t>
                  </w:r>
                  <w:r>
                    <w:t xml:space="preserve">(0.738–1.087)</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TITR</w:t>
                  </w:r>
                </w:p>
              </w:tc>
              <w:tc>
                <w:tcPr/>
                <w:p>
                  <w:pPr>
                    <w:pStyle w:val="Compact"/>
                    <w:jc w:val="left"/>
                    <w:jc w:val="center"/>
                  </w:pPr>
                  <w:r>
                    <w:t xml:space="preserve">OR: 0.901</w:t>
                  </w:r>
                  <w:r>
                    <w:t xml:space="preserve"> </w:t>
                  </w:r>
                  <w:r>
                    <w:t xml:space="preserve">(0.775–1.047)</w:t>
                  </w:r>
                </w:p>
              </w:tc>
              <w:tc>
                <w:tcPr/>
                <w:p>
                  <w:pPr>
                    <w:pStyle w:val="Compact"/>
                    <w:jc w:val="center"/>
                    <w:jc w:val="center"/>
                  </w:pPr>
                  <m:oMath>
                    <m:r>
                      <m:rPr>
                        <m:sty m:val="p"/>
                      </m:rPr>
                      <m:t>&gt;</m:t>
                    </m:r>
                    <m:r>
                      <m:t>0.05</m:t>
                    </m:r>
                  </m:oMath>
                </w:p>
              </w:tc>
              <w:tc>
                <w:tcPr/>
                <w:p>
                  <w:pPr>
                    <w:pStyle w:val="Compact"/>
                    <w:jc w:val="left"/>
                    <w:jc w:val="center"/>
                  </w:pPr>
                  <w:r>
                    <w:t xml:space="preserve">OR: 0.933</w:t>
                  </w:r>
                  <w:r>
                    <w:t xml:space="preserve"> </w:t>
                  </w:r>
                  <w:r>
                    <w:t xml:space="preserve">(0.745–1.169)</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Bezerra et al</w:t>
                  </w:r>
                  <w:r>
                    <w:rPr>
                      <w:b/>
                      <w:bCs/>
                      <w:vertAlign w:val="superscript"/>
                    </w:rPr>
                    <w:t xml:space="preserve">Bezerra2023?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0.66</w:t>
                  </w:r>
                  <w:r>
                    <w:t xml:space="preserve"> </w:t>
                  </w:r>
                  <w:r>
                    <w:t xml:space="preserve">(0.46–0.93)</w:t>
                  </w:r>
                </w:p>
              </w:tc>
              <w:tc>
                <w:tcPr/>
                <w:p>
                  <w:pPr>
                    <w:pStyle w:val="Compact"/>
                    <w:jc w:val="center"/>
                    <w:jc w:val="center"/>
                  </w:pPr>
                  <m:oMath>
                    <m:r>
                      <m:t>0.02</m:t>
                    </m:r>
                  </m:oMath>
                </w:p>
              </w:tc>
              <w:tc>
                <w:tcPr/>
                <w:p>
                  <w:pPr>
                    <w:pStyle w:val="Compact"/>
                    <w:jc w:val="left"/>
                    <w:jc w:val="center"/>
                  </w:pPr>
                  <w:r>
                    <w:t xml:space="preserve">OR: 0.68</w:t>
                  </w:r>
                  <w:r>
                    <w:t xml:space="preserve"> </w:t>
                  </w:r>
                  <w:r>
                    <w:t xml:space="preserve">(0.39–1.16)</w:t>
                  </w:r>
                </w:p>
              </w:tc>
              <w:tc>
                <w:tcPr/>
                <w:p>
                  <w:pPr>
                    <w:pStyle w:val="Compact"/>
                    <w:jc w:val="center"/>
                    <w:jc w:val="center"/>
                  </w:pPr>
                  <m:oMath>
                    <m:r>
                      <m:t>0.15</m:t>
                    </m:r>
                  </m:oMath>
                </w:p>
              </w:tc>
              <w:tc>
                <w:tcPr/>
                <w:p>
                  <w:pPr>
                    <w:pStyle w:val="Compact"/>
                  </w:pPr>
                </w:p>
              </w:tc>
            </w:tr>
            <w:tr>
              <w:tc>
                <w:tcPr/>
                <w:p>
                  <w:pPr>
                    <w:pStyle w:val="Compact"/>
                    <w:jc w:val="left"/>
                    <w:jc w:val="center"/>
                  </w:pPr>
                  <w:r>
                    <w:t xml:space="preserve">    Time below 54 mg/dL</w:t>
                  </w:r>
                </w:p>
              </w:tc>
              <w:tc>
                <w:tcPr/>
                <w:p>
                  <w:pPr>
                    <w:pStyle w:val="Compact"/>
                    <w:jc w:val="left"/>
                    <w:jc w:val="center"/>
                  </w:pPr>
                  <w:r>
                    <w:t xml:space="preserve">OR: 1.10</w:t>
                  </w:r>
                  <w:r>
                    <w:t xml:space="preserve"> </w:t>
                  </w:r>
                  <w:r>
                    <w:t xml:space="preserve">(0.88–1.38)</w:t>
                  </w:r>
                </w:p>
              </w:tc>
              <w:tc>
                <w:tcPr/>
                <w:p>
                  <w:pPr>
                    <w:pStyle w:val="Compact"/>
                    <w:jc w:val="center"/>
                    <w:jc w:val="center"/>
                  </w:pPr>
                  <m:oMath>
                    <m:r>
                      <m:t>0.39</m:t>
                    </m:r>
                  </m:oMath>
                </w:p>
              </w:tc>
              <w:tc>
                <w:tcPr/>
                <w:p>
                  <w:pPr>
                    <w:pStyle w:val="Compact"/>
                    <w:jc w:val="left"/>
                    <w:jc w:val="center"/>
                  </w:pPr>
                  <w:r>
                    <w:t xml:space="preserve">OR: 0.92</w:t>
                  </w:r>
                  <w:r>
                    <w:t xml:space="preserve"> </w:t>
                  </w:r>
                  <w:r>
                    <w:t xml:space="preserve">(0.62–1.34)</w:t>
                  </w:r>
                </w:p>
              </w:tc>
              <w:tc>
                <w:tcPr/>
                <w:p>
                  <w:pPr>
                    <w:pStyle w:val="Compact"/>
                    <w:jc w:val="center"/>
                    <w:jc w:val="center"/>
                  </w:pPr>
                  <m:oMath>
                    <m:r>
                      <m:t>0.65</m:t>
                    </m:r>
                  </m:oMath>
                </w:p>
              </w:tc>
              <w:tc>
                <w:tcPr/>
                <w:p>
                  <w:pPr>
                    <w:pStyle w:val="Compact"/>
                  </w:pPr>
                </w:p>
              </w:tc>
            </w:tr>
            <w:tr>
              <w:tc>
                <w:tcPr/>
                <w:p>
                  <w:pPr>
                    <w:pStyle w:val="Compact"/>
                    <w:jc w:val="left"/>
                    <w:jc w:val="center"/>
                  </w:pPr>
                  <w:r>
                    <w:t xml:space="preserve">    TBR</w:t>
                  </w:r>
                </w:p>
              </w:tc>
              <w:tc>
                <w:tcPr/>
                <w:p>
                  <w:pPr>
                    <w:pStyle w:val="Compact"/>
                    <w:jc w:val="left"/>
                    <w:jc w:val="center"/>
                  </w:pPr>
                  <w:r>
                    <w:t xml:space="preserve">OR: 0.93</w:t>
                  </w:r>
                  <w:r>
                    <w:t xml:space="preserve"> </w:t>
                  </w:r>
                  <w:r>
                    <w:t xml:space="preserve">(0.80–1.09)</w:t>
                  </w:r>
                </w:p>
              </w:tc>
              <w:tc>
                <w:tcPr/>
                <w:p>
                  <w:pPr>
                    <w:pStyle w:val="Compact"/>
                    <w:jc w:val="center"/>
                    <w:jc w:val="center"/>
                  </w:pPr>
                  <m:oMath>
                    <m:r>
                      <m:t>0.39</m:t>
                    </m:r>
                  </m:oMath>
                </w:p>
              </w:tc>
              <w:tc>
                <w:tcPr/>
                <w:p>
                  <w:pPr>
                    <w:pStyle w:val="Compact"/>
                    <w:jc w:val="left"/>
                    <w:jc w:val="center"/>
                  </w:pPr>
                  <w:r>
                    <w:t xml:space="preserve">OR: 0.77</w:t>
                  </w:r>
                  <w:r>
                    <w:t xml:space="preserve"> </w:t>
                  </w:r>
                  <w:r>
                    <w:t xml:space="preserve">(0.54–1.11)</w:t>
                  </w:r>
                </w:p>
              </w:tc>
              <w:tc>
                <w:tcPr/>
                <w:p>
                  <w:pPr>
                    <w:pStyle w:val="Compact"/>
                    <w:jc w:val="center"/>
                    <w:jc w:val="center"/>
                  </w:pPr>
                  <m:oMath>
                    <m:r>
                      <m:t>0.17</m:t>
                    </m:r>
                  </m:oMath>
                </w:p>
              </w:tc>
              <w:tc>
                <w:tcPr/>
                <w:p>
                  <w:pPr>
                    <w:pStyle w:val="Compact"/>
                  </w:pPr>
                </w:p>
              </w:tc>
            </w:tr>
            <w:tr>
              <w:tc>
                <w:tcPr/>
                <w:p>
                  <w:pPr>
                    <w:pStyle w:val="Compact"/>
                    <w:jc w:val="left"/>
                    <w:jc w:val="center"/>
                  </w:pPr>
                  <w:r>
                    <w:t xml:space="preserve">    TAR</w:t>
                  </w:r>
                </w:p>
              </w:tc>
              <w:tc>
                <w:tcPr/>
                <w:p>
                  <w:pPr>
                    <w:pStyle w:val="Compact"/>
                    <w:jc w:val="left"/>
                    <w:jc w:val="center"/>
                  </w:pPr>
                  <w:r>
                    <w:t xml:space="preserve">OR: 1.04</w:t>
                  </w:r>
                  <w:r>
                    <w:t xml:space="preserve"> </w:t>
                  </w:r>
                  <w:r>
                    <w:t xml:space="preserve">(1.01–1.08)</w:t>
                  </w:r>
                </w:p>
              </w:tc>
              <w:tc>
                <w:tcPr/>
                <w:p>
                  <w:pPr>
                    <w:pStyle w:val="Compact"/>
                    <w:jc w:val="center"/>
                    <w:jc w:val="center"/>
                  </w:pPr>
                  <m:oMath>
                    <m:r>
                      <m:t>0.01</m:t>
                    </m:r>
                  </m:oMath>
                </w:p>
              </w:tc>
              <w:tc>
                <w:tcPr/>
                <w:p>
                  <w:pPr>
                    <w:pStyle w:val="Compact"/>
                    <w:jc w:val="left"/>
                    <w:jc w:val="center"/>
                  </w:pPr>
                  <w:r>
                    <w:t xml:space="preserve">OR: 1.04</w:t>
                  </w:r>
                  <w:r>
                    <w:t xml:space="preserve"> </w:t>
                  </w:r>
                  <w:r>
                    <w:t xml:space="preserve">(0.99–1.10)</w:t>
                  </w:r>
                </w:p>
              </w:tc>
              <w:tc>
                <w:tcPr/>
                <w:p>
                  <w:pPr>
                    <w:pStyle w:val="Compact"/>
                    <w:jc w:val="center"/>
                    <w:jc w:val="center"/>
                  </w:pPr>
                  <m:oMath>
                    <m:r>
                      <m:t>0.08</m:t>
                    </m:r>
                  </m:oMath>
                </w:p>
              </w:tc>
              <w:tc>
                <w:tcPr/>
                <w:p>
                  <w:pPr>
                    <w:pStyle w:val="Compact"/>
                  </w:pPr>
                </w:p>
              </w:tc>
            </w:tr>
            <w:tr>
              <w:tc>
                <w:tcPr/>
                <w:p>
                  <w:pPr>
                    <w:pStyle w:val="Compact"/>
                    <w:jc w:val="left"/>
                    <w:jc w:val="center"/>
                  </w:pPr>
                  <w:r>
                    <w:t xml:space="preserve">    Time above 250 mg/dL</w:t>
                  </w:r>
                </w:p>
              </w:tc>
              <w:tc>
                <w:tcPr/>
                <w:p>
                  <w:pPr>
                    <w:pStyle w:val="Compact"/>
                    <w:jc w:val="left"/>
                    <w:jc w:val="center"/>
                  </w:pPr>
                  <w:r>
                    <w:t xml:space="preserve">OR: 1.04</w:t>
                  </w:r>
                  <w:r>
                    <w:t xml:space="preserve"> </w:t>
                  </w:r>
                  <w:r>
                    <w:t xml:space="preserve">(1.00–1.08)</w:t>
                  </w:r>
                </w:p>
              </w:tc>
              <w:tc>
                <w:tcPr/>
                <w:p>
                  <w:pPr>
                    <w:pStyle w:val="Compact"/>
                    <w:jc w:val="center"/>
                    <w:jc w:val="center"/>
                  </w:pPr>
                  <m:oMath>
                    <m:r>
                      <m:t>0.03</m:t>
                    </m:r>
                  </m:oMath>
                </w:p>
              </w:tc>
              <w:tc>
                <w:tcPr/>
                <w:p>
                  <w:pPr>
                    <w:pStyle w:val="Compact"/>
                    <w:jc w:val="left"/>
                    <w:jc w:val="center"/>
                  </w:pPr>
                  <w:r>
                    <w:t xml:space="preserve">OR: 1.03</w:t>
                  </w:r>
                  <w:r>
                    <w:t xml:space="preserve"> </w:t>
                  </w:r>
                  <w:r>
                    <w:t xml:space="preserve">(0.97–1.09)</w:t>
                  </w:r>
                </w:p>
              </w:tc>
              <w:tc>
                <w:tcPr/>
                <w:p>
                  <w:pPr>
                    <w:pStyle w:val="Compact"/>
                    <w:jc w:val="center"/>
                    <w:jc w:val="center"/>
                  </w:pPr>
                  <m:oMath>
                    <m:r>
                      <m:t>0.29</m:t>
                    </m:r>
                  </m:oMath>
                </w:p>
              </w:tc>
              <w:tc>
                <w:tcPr/>
                <w:p>
                  <w:pPr>
                    <w:pStyle w:val="Compact"/>
                  </w:pPr>
                </w:p>
              </w:tc>
            </w:tr>
            <w:tr>
              <w:tc>
                <w:tcPr/>
                <w:p>
                  <w:pPr>
                    <w:pStyle w:val="Compact"/>
                    <w:jc w:val="left"/>
                    <w:jc w:val="center"/>
                  </w:pPr>
                  <w:r>
                    <w:t xml:space="preserve">    CV</w:t>
                  </w:r>
                </w:p>
              </w:tc>
              <w:tc>
                <w:tcPr/>
                <w:p>
                  <w:pPr>
                    <w:pStyle w:val="Compact"/>
                    <w:jc w:val="left"/>
                    <w:jc w:val="center"/>
                  </w:pPr>
                  <w:r>
                    <w:t xml:space="preserve">OR: 1.03</w:t>
                  </w:r>
                  <w:r>
                    <w:t xml:space="preserve"> </w:t>
                  </w:r>
                  <w:r>
                    <w:t xml:space="preserve">(0.95–1.11)</w:t>
                  </w:r>
                </w:p>
              </w:tc>
              <w:tc>
                <w:tcPr/>
                <w:p>
                  <w:pPr>
                    <w:pStyle w:val="Compact"/>
                    <w:jc w:val="center"/>
                    <w:jc w:val="center"/>
                  </w:pPr>
                  <m:oMath>
                    <m:r>
                      <m:t>0.52</m:t>
                    </m:r>
                  </m:oMath>
                </w:p>
              </w:tc>
              <w:tc>
                <w:tcPr/>
                <w:p>
                  <w:pPr>
                    <w:pStyle w:val="Compact"/>
                    <w:jc w:val="left"/>
                    <w:jc w:val="center"/>
                  </w:pPr>
                  <w:r>
                    <w:t xml:space="preserve">OR: 0.92</w:t>
                  </w:r>
                  <w:r>
                    <w:t xml:space="preserve"> </w:t>
                  </w:r>
                  <w:r>
                    <w:t xml:space="preserve">(0.81–1.06)</w:t>
                  </w:r>
                </w:p>
              </w:tc>
              <w:tc>
                <w:tcPr/>
                <w:p>
                  <w:pPr>
                    <w:pStyle w:val="Compact"/>
                    <w:jc w:val="center"/>
                    <w:jc w:val="center"/>
                  </w:pPr>
                  <m:oMath>
                    <m:r>
                      <m:t>0.25</m:t>
                    </m:r>
                  </m:oMath>
                </w:p>
              </w:tc>
              <w:tc>
                <w:tcPr/>
                <w:p>
                  <w:pPr>
                    <w:pStyle w:val="Compact"/>
                  </w:pPr>
                </w:p>
              </w:tc>
            </w:tr>
            <w:tr>
              <w:tc>
                <w:tcPr/>
                <w:p>
                  <w:pPr>
                    <w:pStyle w:val="Compact"/>
                    <w:jc w:val="left"/>
                    <w:jc w:val="center"/>
                  </w:pPr>
                  <w:r>
                    <w:t xml:space="preserve">    GMI</w:t>
                  </w:r>
                </w:p>
              </w:tc>
              <w:tc>
                <w:tcPr/>
                <w:p>
                  <w:pPr>
                    <w:pStyle w:val="Compact"/>
                    <w:jc w:val="left"/>
                    <w:jc w:val="center"/>
                  </w:pPr>
                  <w:r>
                    <w:t xml:space="preserve">OR: 2.17</w:t>
                  </w:r>
                  <w:r>
                    <w:t xml:space="preserve"> </w:t>
                  </w:r>
                  <w:r>
                    <w:t xml:space="preserve">(1.14–4.11)</w:t>
                  </w:r>
                </w:p>
              </w:tc>
              <w:tc>
                <w:tcPr/>
                <w:p>
                  <w:pPr>
                    <w:pStyle w:val="Compact"/>
                    <w:jc w:val="center"/>
                    <w:jc w:val="center"/>
                  </w:pPr>
                  <m:oMath>
                    <m:r>
                      <m:t>0.02</m:t>
                    </m:r>
                  </m:oMath>
                </w:p>
              </w:tc>
              <w:tc>
                <w:tcPr/>
                <w:p>
                  <w:pPr>
                    <w:pStyle w:val="Compact"/>
                    <w:jc w:val="left"/>
                    <w:jc w:val="center"/>
                  </w:pPr>
                  <w:r>
                    <w:t xml:space="preserve">OR: 2.03</w:t>
                  </w:r>
                  <w:r>
                    <w:t xml:space="preserve"> </w:t>
                  </w:r>
                  <w:r>
                    <w:t xml:space="preserve">(0.77–5.37)</w:t>
                  </w:r>
                </w:p>
              </w:tc>
              <w:tc>
                <w:tcPr/>
                <w:p>
                  <w:pPr>
                    <w:pStyle w:val="Compact"/>
                    <w:jc w:val="center"/>
                    <w:jc w:val="center"/>
                  </w:pPr>
                  <m:oMath>
                    <m:r>
                      <m:t>0.15</m:t>
                    </m:r>
                  </m:oMath>
                </w:p>
              </w:tc>
              <w:tc>
                <w:tcPr/>
                <w:p>
                  <w:pPr>
                    <w:pStyle w:val="Compact"/>
                  </w:pPr>
                </w:p>
              </w:tc>
            </w:tr>
            <w:tr>
              <w:tc>
                <w:tcPr/>
                <w:p>
                  <w:pPr>
                    <w:pStyle w:val="Compact"/>
                    <w:jc w:val="left"/>
                    <w:jc w:val="center"/>
                  </w:pPr>
                  <w:r>
                    <w:t xml:space="preserve">Deng et al</w:t>
                  </w:r>
                  <w:r>
                    <w:rPr>
                      <w:b/>
                      <w:bCs/>
                      <w:vertAlign w:val="superscript"/>
                    </w:rPr>
                    <w:t xml:space="preserve">Deng2023?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1 (Hp1; reference)</w:t>
                  </w:r>
                </w:p>
              </w:tc>
              <w:tc>
                <w:tcPr/>
                <w:p>
                  <w:pPr>
                    <w:pStyle w:val="Compact"/>
                    <w:jc w:val="left"/>
                    <w:jc w:val="center"/>
                  </w:pPr>
                  <w:r>
                    <w:t xml:space="preserve">OR: 1.000</w:t>
                  </w:r>
                </w:p>
              </w:tc>
              <w:tc>
                <w:tcPr/>
                <w:p>
                  <w:pPr>
                    <w:pStyle w:val="Compact"/>
                    <w:jc w:val="center"/>
                    <w:jc w:val="center"/>
                  </w:pPr>
                  <m:oMath>
                    <m:r>
                      <m:t>0.07</m:t>
                    </m:r>
                  </m:oMath>
                  <w:r>
                    <w:t xml:space="preserve"> </w:t>
                  </w:r>
                  <w:r>
                    <w:t xml:space="preserve">(interaction)</w:t>
                  </w:r>
                </w:p>
              </w:tc>
              <w:tc>
                <w:tcPr/>
                <w:p>
                  <w:pPr>
                    <w:pStyle w:val="Compact"/>
                    <w:jc w:val="left"/>
                    <w:jc w:val="center"/>
                  </w:pPr>
                  <w:r>
                    <w:t xml:space="preserve">OR: 1.000</w:t>
                  </w:r>
                </w:p>
              </w:tc>
              <w:tc>
                <w:tcPr/>
                <w:p>
                  <w:pPr>
                    <w:pStyle w:val="Compact"/>
                    <w:jc w:val="center"/>
                    <w:jc w:val="center"/>
                  </w:pPr>
                  <m:oMath>
                    <m:r>
                      <m:t>0.008</m:t>
                    </m:r>
                  </m:oMath>
                  <w:r>
                    <w:t xml:space="preserve"> </w:t>
                  </w:r>
                  <w:r>
                    <w:t xml:space="preserve">(interaction)</w:t>
                  </w:r>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1 (Hp2-2; reference)</w:t>
                  </w:r>
                </w:p>
              </w:tc>
              <w:tc>
                <w:tcPr/>
                <w:p>
                  <w:pPr>
                    <w:pStyle w:val="Compact"/>
                    <w:jc w:val="left"/>
                    <w:jc w:val="center"/>
                  </w:pPr>
                  <w:r>
                    <w:t xml:space="preserve">OR: 1.000</w:t>
                  </w:r>
                </w:p>
              </w:tc>
              <w:tc>
                <w:tcPr/>
                <w:p>
                  <w:pPr>
                    <w:pStyle w:val="Compact"/>
                    <w:jc w:val="center"/>
                    <w:jc w:val="center"/>
                  </w:pPr>
                  <m:oMath>
                    <m:r>
                      <m:t>0.07</m:t>
                    </m:r>
                  </m:oMath>
                  <w:r>
                    <w:t xml:space="preserve"> </w:t>
                  </w:r>
                  <w:r>
                    <w:t xml:space="preserve">(interaction)</w:t>
                  </w:r>
                </w:p>
              </w:tc>
              <w:tc>
                <w:tcPr/>
                <w:p>
                  <w:pPr>
                    <w:pStyle w:val="Compact"/>
                    <w:jc w:val="left"/>
                    <w:jc w:val="center"/>
                  </w:pPr>
                  <w:r>
                    <w:t xml:space="preserve">OR: 1.000</w:t>
                  </w:r>
                </w:p>
              </w:tc>
              <w:tc>
                <w:tcPr/>
                <w:p>
                  <w:pPr>
                    <w:pStyle w:val="Compact"/>
                    <w:jc w:val="center"/>
                    <w:jc w:val="center"/>
                  </w:pPr>
                  <m:oMath>
                    <m:r>
                      <m:t>0.008</m:t>
                    </m:r>
                  </m:oMath>
                  <w:r>
                    <w:t xml:space="preserve"> </w:t>
                  </w:r>
                  <w:r>
                    <w:t xml:space="preserve">(interaction)</w:t>
                  </w:r>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2 (Hp1)</w:t>
                  </w:r>
                </w:p>
              </w:tc>
              <w:tc>
                <w:tcPr/>
                <w:p>
                  <w:pPr>
                    <w:pStyle w:val="Compact"/>
                    <w:jc w:val="left"/>
                    <w:jc w:val="center"/>
                  </w:pPr>
                  <w:r>
                    <w:t xml:space="preserve">OR: 1.483</w:t>
                  </w:r>
                  <w:r>
                    <w:t xml:space="preserve"> </w:t>
                  </w:r>
                  <w:r>
                    <w:t xml:space="preserve">(0.907–2.423)</w:t>
                  </w:r>
                </w:p>
              </w:tc>
              <w:tc>
                <w:tcPr/>
                <w:p>
                  <w:pPr>
                    <w:pStyle w:val="Compact"/>
                    <w:jc w:val="center"/>
                    <w:jc w:val="center"/>
                  </w:pPr>
                  <m:oMath>
                    <m:r>
                      <m:t>0.12</m:t>
                    </m:r>
                  </m:oMath>
                </w:p>
              </w:tc>
              <w:tc>
                <w:tcPr/>
                <w:p>
                  <w:pPr>
                    <w:pStyle w:val="Compact"/>
                    <w:jc w:val="left"/>
                    <w:jc w:val="center"/>
                  </w:pPr>
                  <w:r>
                    <w:t xml:space="preserve">OR: 1.048</w:t>
                  </w:r>
                  <w:r>
                    <w:t xml:space="preserve"> </w:t>
                  </w:r>
                  <w:r>
                    <w:t xml:space="preserve">(0.528–2.078)</w:t>
                  </w:r>
                </w:p>
              </w:tc>
              <w:tc>
                <w:tcPr/>
                <w:p>
                  <w:pPr>
                    <w:pStyle w:val="Compact"/>
                    <w:jc w:val="center"/>
                    <w:jc w:val="center"/>
                  </w:pPr>
                  <m:oMath>
                    <m:r>
                      <m:t>0.89</m:t>
                    </m:r>
                  </m:oMath>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2 (Hp2-2)</w:t>
                  </w:r>
                </w:p>
              </w:tc>
              <w:tc>
                <w:tcPr/>
                <w:p>
                  <w:pPr>
                    <w:pStyle w:val="Compact"/>
                    <w:jc w:val="left"/>
                    <w:jc w:val="center"/>
                  </w:pPr>
                  <w:r>
                    <w:t xml:space="preserve">OR: 1.399</w:t>
                  </w:r>
                  <w:r>
                    <w:t xml:space="preserve"> </w:t>
                  </w:r>
                  <w:r>
                    <w:t xml:space="preserve">(0.829–2.358)</w:t>
                  </w:r>
                </w:p>
              </w:tc>
              <w:tc>
                <w:tcPr/>
                <w:p>
                  <w:pPr>
                    <w:pStyle w:val="Compact"/>
                    <w:jc w:val="center"/>
                    <w:jc w:val="center"/>
                  </w:pPr>
                  <m:oMath>
                    <m:r>
                      <m:t>0.21</m:t>
                    </m:r>
                  </m:oMath>
                </w:p>
              </w:tc>
              <w:tc>
                <w:tcPr/>
                <w:p>
                  <w:pPr>
                    <w:pStyle w:val="Compact"/>
                    <w:jc w:val="left"/>
                    <w:jc w:val="center"/>
                  </w:pPr>
                  <w:r>
                    <w:t xml:space="preserve">OR: 0.659</w:t>
                  </w:r>
                  <w:r>
                    <w:t xml:space="preserve"> </w:t>
                  </w:r>
                  <w:r>
                    <w:t xml:space="preserve">(0.296–1.466)</w:t>
                  </w:r>
                </w:p>
              </w:tc>
              <w:tc>
                <w:tcPr/>
                <w:p>
                  <w:pPr>
                    <w:pStyle w:val="Compact"/>
                    <w:jc w:val="center"/>
                    <w:jc w:val="center"/>
                  </w:pPr>
                  <m:oMath>
                    <m:r>
                      <m:t>0.31</m:t>
                    </m:r>
                  </m:oMath>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3 (Hp1)</w:t>
                  </w:r>
                </w:p>
              </w:tc>
              <w:tc>
                <w:tcPr/>
                <w:p>
                  <w:pPr>
                    <w:pStyle w:val="Compact"/>
                    <w:jc w:val="left"/>
                    <w:jc w:val="center"/>
                  </w:pPr>
                  <w:r>
                    <w:t xml:space="preserve">OR: 2.347</w:t>
                  </w:r>
                  <w:r>
                    <w:t xml:space="preserve"> </w:t>
                  </w:r>
                  <w:r>
                    <w:t xml:space="preserve">(1.393–3.957)</w:t>
                  </w:r>
                </w:p>
              </w:tc>
              <w:tc>
                <w:tcPr/>
                <w:p>
                  <w:pPr>
                    <w:pStyle w:val="Compact"/>
                    <w:jc w:val="center"/>
                    <w:jc w:val="center"/>
                  </w:pPr>
                  <m:oMath>
                    <m:r>
                      <m:t>0.001</m:t>
                    </m:r>
                  </m:oMath>
                </w:p>
              </w:tc>
              <w:tc>
                <w:tcPr/>
                <w:p>
                  <w:pPr>
                    <w:pStyle w:val="Compact"/>
                    <w:jc w:val="left"/>
                    <w:jc w:val="center"/>
                  </w:pPr>
                  <w:r>
                    <w:t xml:space="preserve">OR: 2.461</w:t>
                  </w:r>
                  <w:r>
                    <w:t xml:space="preserve"> </w:t>
                  </w:r>
                  <w:r>
                    <w:t xml:space="preserve">(1.183–5.121)</w:t>
                  </w:r>
                </w:p>
              </w:tc>
              <w:tc>
                <w:tcPr/>
                <w:p>
                  <w:pPr>
                    <w:pStyle w:val="Compact"/>
                    <w:jc w:val="center"/>
                    <w:jc w:val="center"/>
                  </w:pPr>
                  <m:oMath>
                    <m:r>
                      <m:t>0.02</m:t>
                    </m:r>
                  </m:oMath>
                </w:p>
              </w:tc>
              <w:tc>
                <w:tcPr/>
                <w:p>
                  <w:pPr>
                    <w:pStyle w:val="Compact"/>
                  </w:pPr>
                </w:p>
              </w:tc>
            </w:tr>
            <w:tr>
              <w:tc>
                <w:tcPr/>
                <w:p>
                  <w:pPr>
                    <w:pStyle w:val="Compact"/>
                    <w:jc w:val="left"/>
                    <w:jc w:val="center"/>
                  </w:pPr>
                  <w:r>
                    <w:t xml:space="preserve">   </w:t>
                  </w:r>
                  <w:r>
                    <w:t xml:space="preserve"> </w:t>
                  </w:r>
                  <m:oMath>
                    <m:r>
                      <m:rPr>
                        <m:sty m:val="p"/>
                      </m:rPr>
                      <m:t>%</m:t>
                    </m:r>
                  </m:oMath>
                  <w:r>
                    <w:t xml:space="preserve"> </w:t>
                  </w:r>
                  <w:r>
                    <w:t xml:space="preserve">CV tertile 3 (Hp2-2)</w:t>
                  </w:r>
                </w:p>
              </w:tc>
              <w:tc>
                <w:tcPr/>
                <w:p>
                  <w:pPr>
                    <w:pStyle w:val="Compact"/>
                    <w:jc w:val="left"/>
                    <w:jc w:val="center"/>
                  </w:pPr>
                  <w:r>
                    <w:t xml:space="preserve">OR: 1.217</w:t>
                  </w:r>
                  <w:r>
                    <w:t xml:space="preserve"> </w:t>
                  </w:r>
                  <w:r>
                    <w:t xml:space="preserve">(0.731–2.027)</w:t>
                  </w:r>
                </w:p>
              </w:tc>
              <w:tc>
                <w:tcPr/>
                <w:p>
                  <w:pPr>
                    <w:pStyle w:val="Compact"/>
                    <w:jc w:val="center"/>
                    <w:jc w:val="center"/>
                  </w:pPr>
                  <m:oMath>
                    <m:r>
                      <m:t>0.45</m:t>
                    </m:r>
                  </m:oMath>
                </w:p>
              </w:tc>
              <w:tc>
                <w:tcPr/>
                <w:p>
                  <w:pPr>
                    <w:pStyle w:val="Compact"/>
                    <w:jc w:val="left"/>
                    <w:jc w:val="center"/>
                  </w:pPr>
                  <w:r>
                    <w:t xml:space="preserve">OR: 0.540</w:t>
                  </w:r>
                  <w:r>
                    <w:t xml:space="preserve"> </w:t>
                  </w:r>
                  <w:r>
                    <w:t xml:space="preserve">(0.245–1.191)</w:t>
                  </w:r>
                </w:p>
              </w:tc>
              <w:tc>
                <w:tcPr/>
                <w:p>
                  <w:pPr>
                    <w:pStyle w:val="Compact"/>
                    <w:jc w:val="center"/>
                    <w:jc w:val="center"/>
                  </w:pPr>
                  <m:oMath>
                    <m:r>
                      <m:t>0.13</m:t>
                    </m:r>
                  </m:oMath>
                </w:p>
              </w:tc>
              <w:tc>
                <w:tcPr/>
                <w:p>
                  <w:pPr>
                    <w:pStyle w:val="Compact"/>
                  </w:pPr>
                </w:p>
              </w:tc>
            </w:tr>
            <w:tr>
              <w:tc>
                <w:tcPr/>
                <w:p>
                  <w:pPr>
                    <w:pStyle w:val="Compact"/>
                    <w:jc w:val="left"/>
                    <w:jc w:val="center"/>
                  </w:pPr>
                  <w:r>
                    <w:t xml:space="preserve">El Malahi et al</w:t>
                  </w:r>
                  <w:r>
                    <w:rPr>
                      <w:b/>
                      <w:bCs/>
                      <w:vertAlign w:val="superscript"/>
                    </w:rPr>
                    <w:t xml:space="preserve">Malahi2022?</w:t>
                  </w:r>
                  <w:r>
                    <w:t xml:space="preserve">, 2022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SD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CV</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Magri et al</w:t>
                  </w:r>
                  <w:r>
                    <w:rPr>
                      <w:vertAlign w:val="superscript"/>
                    </w:rPr>
                    <w:t xml:space="preserve">27</w:t>
                  </w:r>
                  <m:oMath>
                    <m:sSup>
                      <m:e>
                        <m:r>
                          <m:t>​</m:t>
                        </m:r>
                      </m:e>
                      <m:sup>
                        <m:r>
                          <m:rPr>
                            <m:sty m:val="p"/>
                          </m:rPr>
                          <m:t>†</m:t>
                        </m:r>
                      </m:sup>
                    </m:sSup>
                  </m:oMath>
                  <w:r>
                    <w:t xml:space="preserve">, 2018</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TBR</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1.12</w:t>
                  </w:r>
                  <w:r>
                    <w:t xml:space="preserve"> </w:t>
                  </w:r>
                  <w:r>
                    <w:t xml:space="preserve">(1.014–1.228)</w:t>
                  </w:r>
                </w:p>
              </w:tc>
              <w:tc>
                <w:tcPr/>
                <w:p>
                  <w:pPr>
                    <w:pStyle w:val="Compact"/>
                    <w:jc w:val="center"/>
                    <w:jc w:val="center"/>
                  </w:pPr>
                  <m:oMath>
                    <m:r>
                      <m:t>0.02</m:t>
                    </m:r>
                  </m:oMath>
                </w:p>
              </w:tc>
              <w:tc>
                <w:tcPr/>
                <w:p>
                  <w:pPr>
                    <w:pStyle w:val="Compact"/>
                  </w:pPr>
                </w:p>
              </w:tc>
            </w:tr>
            <w:tr>
              <w:tc>
                <w:tcPr/>
                <w:p>
                  <w:pPr>
                    <w:pStyle w:val="Compact"/>
                    <w:jc w:val="left"/>
                    <w:jc w:val="center"/>
                  </w:pPr>
                  <w:r>
                    <w:t xml:space="preserve">    Lowest BG value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w:r>
                    <w:t xml:space="preserve">—</w:t>
                  </w:r>
                </w:p>
              </w:tc>
              <w:tc>
                <w:tcPr/>
                <w:p>
                  <w:pPr>
                    <w:pStyle w:val="Compact"/>
                  </w:pPr>
                </w:p>
              </w:tc>
            </w:tr>
            <w:tr>
              <w:tc>
                <w:tcPr/>
                <w:p>
                  <w:pPr>
                    <w:pStyle w:val="Compact"/>
                    <w:jc w:val="left"/>
                    <w:jc w:val="center"/>
                  </w:pPr>
                  <w:r>
                    <w:t xml:space="preserve">    Area under the TBR curve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w:t>
                  </w:r>
                </w:p>
              </w:tc>
              <w:tc>
                <w:tcPr/>
                <w:p>
                  <w:pPr>
                    <w:pStyle w:val="Compact"/>
                    <w:jc w:val="center"/>
                    <w:jc w:val="center"/>
                  </w:pPr>
                  <w:r>
                    <w:t xml:space="preserve">—</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Coronary Artery Disease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1.039</w:t>
                  </w:r>
                  <w:r>
                    <w:t xml:space="preserve"> </w:t>
                  </w:r>
                  <w:r>
                    <w:t xml:space="preserve">(0.812–1.330)</w:t>
                  </w:r>
                </w:p>
              </w:tc>
              <w:tc>
                <w:tcPr/>
                <w:p>
                  <w:pPr>
                    <w:pStyle w:val="Compact"/>
                    <w:jc w:val="center"/>
                    <w:jc w:val="center"/>
                  </w:pPr>
                  <m:oMath>
                    <m:r>
                      <m:rPr>
                        <m:sty m:val="p"/>
                      </m:rPr>
                      <m:t>&gt;</m:t>
                    </m:r>
                    <m:r>
                      <m:t>0.05</m:t>
                    </m:r>
                  </m:oMath>
                </w:p>
              </w:tc>
              <w:tc>
                <w:tcPr/>
                <w:p>
                  <w:pPr>
                    <w:pStyle w:val="Compact"/>
                    <w:jc w:val="left"/>
                    <w:jc w:val="center"/>
                  </w:pPr>
                  <w:r>
                    <w:t xml:space="preserve">OR: 1.255</w:t>
                  </w:r>
                  <w:r>
                    <w:t xml:space="preserve"> </w:t>
                  </w:r>
                  <w:r>
                    <w:t xml:space="preserve">(0.874–1.803)</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TIR</w:t>
                  </w:r>
                </w:p>
              </w:tc>
              <w:tc>
                <w:tcPr/>
                <w:p>
                  <w:pPr>
                    <w:pStyle w:val="Compact"/>
                    <w:jc w:val="left"/>
                    <w:jc w:val="center"/>
                  </w:pPr>
                  <w:r>
                    <w:t xml:space="preserve">OR: 1.072</w:t>
                  </w:r>
                  <w:r>
                    <w:t xml:space="preserve"> </w:t>
                  </w:r>
                  <w:r>
                    <w:t xml:space="preserve">(0.866–1.328)</w:t>
                  </w:r>
                </w:p>
              </w:tc>
              <w:tc>
                <w:tcPr/>
                <w:p>
                  <w:pPr>
                    <w:pStyle w:val="Compact"/>
                    <w:jc w:val="center"/>
                    <w:jc w:val="center"/>
                  </w:pPr>
                  <m:oMath>
                    <m:r>
                      <m:rPr>
                        <m:sty m:val="p"/>
                      </m:rPr>
                      <m:t>&gt;</m:t>
                    </m:r>
                    <m:r>
                      <m:t>0.05</m:t>
                    </m:r>
                  </m:oMath>
                </w:p>
              </w:tc>
              <w:tc>
                <w:tcPr/>
                <w:p>
                  <w:pPr>
                    <w:pStyle w:val="Compact"/>
                    <w:jc w:val="left"/>
                    <w:jc w:val="center"/>
                  </w:pPr>
                  <w:r>
                    <w:t xml:space="preserve">OR: 1.164</w:t>
                  </w:r>
                  <w:r>
                    <w:t xml:space="preserve"> </w:t>
                  </w:r>
                  <w:r>
                    <w:t xml:space="preserve">(0.844–1.607)</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Sheng et al</w:t>
                  </w:r>
                  <w:r>
                    <w:rPr>
                      <w:b/>
                      <w:bCs/>
                      <w:vertAlign w:val="superscript"/>
                    </w:rPr>
                    <w:t xml:space="preserve">Sheng2023?</w:t>
                  </w:r>
                  <w:r>
                    <w:t xml:space="preserve">, 2023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r>
                    <w:t xml:space="preserve"> </w:t>
                  </w:r>
                  <m:oMath>
                    <m:r>
                      <m:rPr>
                        <m:sty m:val="p"/>
                      </m:rPr>
                      <m:t>&lt;</m:t>
                    </m:r>
                    <m:r>
                      <m:t>20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2.143</w:t>
                  </w:r>
                  <w:r>
                    <w:t xml:space="preserve"> </w:t>
                  </w:r>
                  <w:r>
                    <w:t xml:space="preserve">(1.554–3.287)</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t>20</m:t>
                    </m:r>
                    <m:r>
                      <m:rPr>
                        <m:sty m:val="p"/>
                      </m:rPr>
                      <m:t>%</m:t>
                    </m:r>
                    <m:r>
                      <m:rPr>
                        <m:sty m:val="p"/>
                      </m:rPr>
                      <m:t>−</m:t>
                    </m:r>
                    <m:r>
                      <m:t>40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1.049</w:t>
                  </w:r>
                  <w:r>
                    <w:t xml:space="preserve"> </w:t>
                  </w:r>
                  <w:r>
                    <w:t xml:space="preserve">(0.945–2.022)</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t>40</m:t>
                    </m:r>
                    <m:r>
                      <m:rPr>
                        <m:sty m:val="p"/>
                      </m:rPr>
                      <m:t>%</m:t>
                    </m:r>
                    <m:r>
                      <m:rPr>
                        <m:sty m:val="p"/>
                      </m:rPr>
                      <m:t>−</m:t>
                    </m:r>
                    <m:r>
                      <m:t>60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0.854 (0.495–1.473)</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t>60</m:t>
                    </m:r>
                    <m:r>
                      <m:rPr>
                        <m:sty m:val="p"/>
                      </m:rPr>
                      <m:t>%</m:t>
                    </m:r>
                    <m:r>
                      <m:rPr>
                        <m:sty m:val="p"/>
                      </m:rPr>
                      <m:t>−</m:t>
                    </m:r>
                    <m:r>
                      <m:t>80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0.617</w:t>
                  </w:r>
                  <w:r>
                    <w:t xml:space="preserve"> </w:t>
                  </w:r>
                  <w:r>
                    <w:t xml:space="preserve">(0.423–1.312)</w:t>
                  </w:r>
                </w:p>
              </w:tc>
              <w:tc>
                <w:tcPr/>
                <w:p>
                  <w:pPr>
                    <w:pStyle w:val="Compact"/>
                    <w:jc w:val="center"/>
                    <w:jc w:val="center"/>
                  </w:pPr>
                  <w:r>
                    <w:t xml:space="preserve">—</w:t>
                  </w:r>
                </w:p>
              </w:tc>
              <w:tc>
                <w:tcPr/>
                <w:p>
                  <w:pPr>
                    <w:pStyle w:val="Compact"/>
                  </w:pPr>
                </w:p>
              </w:tc>
            </w:tr>
            <w:tr>
              <w:tc>
                <w:tcPr/>
                <w:p>
                  <w:pPr>
                    <w:pStyle w:val="Compact"/>
                    <w:jc w:val="left"/>
                    <w:jc w:val="center"/>
                  </w:pPr>
                  <w:r>
                    <w:t xml:space="preserve">    TIR</w:t>
                  </w:r>
                  <w:r>
                    <w:t xml:space="preserve"> </w:t>
                  </w:r>
                  <m:oMath>
                    <m:r>
                      <m:rPr>
                        <m:sty m:val="p"/>
                      </m:rPr>
                      <m:t>&gt;</m:t>
                    </m:r>
                    <m:r>
                      <m:t>80</m:t>
                    </m:r>
                    <m:r>
                      <m:rPr>
                        <m:sty m:val="p"/>
                      </m:rPr>
                      <m:t>%</m:t>
                    </m:r>
                  </m:oMath>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0.470</w:t>
                  </w:r>
                  <w:r>
                    <w:t xml:space="preserve"> </w:t>
                  </w:r>
                  <w:r>
                    <w:t xml:space="preserve">(0.143–1.545)</w:t>
                  </w:r>
                </w:p>
              </w:tc>
              <w:tc>
                <w:tcPr/>
                <w:p>
                  <w:pPr>
                    <w:pStyle w:val="Compact"/>
                    <w:jc w:val="center"/>
                    <w:jc w:val="center"/>
                  </w:pPr>
                  <w:r>
                    <w:t xml:space="preserve">—</w:t>
                  </w:r>
                </w:p>
              </w:tc>
              <w:tc>
                <w:tcPr/>
                <w:p>
                  <w:pPr>
                    <w:pStyle w:val="Compact"/>
                  </w:pPr>
                </w:p>
              </w:tc>
            </w:tr>
            <w:tr>
              <w:tc>
                <w:tcPr/>
                <w:p>
                  <w:pPr>
                    <w:pStyle w:val="Compact"/>
                    <w:jc w:val="left"/>
                    <w:jc w:val="center"/>
                  </w:pPr>
                  <w:r>
                    <w:t xml:space="preserve">Chen et al</w:t>
                  </w:r>
                  <w:r>
                    <w:rPr>
                      <w:b/>
                      <w:bCs/>
                      <w:vertAlign w:val="superscript"/>
                    </w:rPr>
                    <w:t xml:space="preserve">Chen2020?</w:t>
                  </w:r>
                  <m:oMath>
                    <m:sSup>
                      <m:e>
                        <m:r>
                          <m:t>​</m:t>
                        </m:r>
                      </m:e>
                      <m:sup>
                        <m:r>
                          <m:rPr>
                            <m:sty m:val="p"/>
                          </m:rPr>
                          <m:t>†</m:t>
                        </m:r>
                        <m:r>
                          <m:rPr>
                            <m:sty m:val="p"/>
                          </m:rPr>
                          <m:t>,</m:t>
                        </m:r>
                        <m:r>
                          <m:rPr>
                            <m:sty m:val="p"/>
                          </m:rPr>
                          <m:t>*</m:t>
                        </m:r>
                      </m:sup>
                    </m:sSup>
                  </m:oMath>
                  <w:r>
                    <w:t xml:space="preserve">, 2020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SD</w:t>
                  </w:r>
                  <w:r>
                    <w:t xml:space="preserve"> </w:t>
                  </w:r>
                  <m:oMath>
                    <m:r>
                      <m:rPr>
                        <m:sty m:val="p"/>
                      </m:rPr>
                      <m:t>&lt;</m:t>
                    </m:r>
                    <m:r>
                      <m:t>1.40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&lt;</m:t>
                    </m:r>
                    <m:r>
                      <m:t>3.90</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sSup>
                      <m:e>
                        <m:r>
                          <m:t>χ</m:t>
                        </m:r>
                      </m:e>
                      <m:sup>
                        <m:r>
                          <m:t>2</m:t>
                        </m:r>
                      </m:sup>
                    </m:sSup>
                    <m:r>
                      <m:rPr>
                        <m:sty m:val="p"/>
                      </m:rPr>
                      <m:t>=</m:t>
                    </m:r>
                    <m:r>
                      <m:t>5.797</m:t>
                    </m:r>
                  </m:oMath>
                </w:p>
              </w:tc>
              <w:tc>
                <w:tcPr/>
                <w:p>
                  <w:pPr>
                    <w:pStyle w:val="Compact"/>
                    <w:jc w:val="center"/>
                    <w:jc w:val="center"/>
                  </w:pPr>
                  <m:oMath>
                    <m:r>
                      <m:t>0.02</m:t>
                    </m:r>
                  </m:oMath>
                </w:p>
              </w:tc>
              <w:tc>
                <w:tcPr/>
                <w:p>
                  <w:pPr>
                    <w:pStyle w:val="Compact"/>
                  </w:pPr>
                </w:p>
              </w:tc>
            </w:tr>
            <w:tr>
              <w:tc>
                <w:tcPr/>
                <w:p>
                  <w:pPr>
                    <w:pStyle w:val="Compact"/>
                    <w:jc w:val="left"/>
                    <w:jc w:val="center"/>
                  </w:pPr>
                  <w:r>
                    <w:t xml:space="preserve">    LAGE</w:t>
                  </w:r>
                  <w:r>
                    <w:t xml:space="preserve"> </w:t>
                  </w:r>
                  <m:oMath>
                    <m:r>
                      <m:rPr>
                        <m:sty m:val="p"/>
                      </m:rPr>
                      <m:t>&lt;</m:t>
                    </m:r>
                    <m:r>
                      <m:t>4.40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MODD</w:t>
                  </w:r>
                  <w:r>
                    <w:t xml:space="preserve"> </w:t>
                  </w:r>
                  <m:oMath>
                    <m:r>
                      <m:rPr>
                        <m:sty m:val="p"/>
                      </m:rPr>
                      <m:t>&lt;</m:t>
                    </m:r>
                    <m:r>
                      <m:t>0.83</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versus high BG fluctuations (angina pectoris)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SD</w:t>
                  </w:r>
                  <w:r>
                    <w:t xml:space="preserve"> </w:t>
                  </w:r>
                  <m:oMath>
                    <m:r>
                      <m:rPr>
                        <m:sty m:val="p"/>
                      </m:rPr>
                      <m:t>&lt;</m:t>
                    </m:r>
                    <m:r>
                      <m:t>1.40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&lt;</m:t>
                    </m:r>
                    <m:r>
                      <m:t>3.90</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sSup>
                      <m:e>
                        <m:r>
                          <m:t>χ</m:t>
                        </m:r>
                      </m:e>
                      <m:sup>
                        <m:r>
                          <m:t>2</m:t>
                        </m:r>
                      </m:sup>
                    </m:sSup>
                    <m:r>
                      <m:rPr>
                        <m:sty m:val="p"/>
                      </m:rPr>
                      <m:t>=</m:t>
                    </m:r>
                    <m:r>
                      <m:t>7.490</m:t>
                    </m:r>
                  </m:oMath>
                </w:p>
              </w:tc>
              <w:tc>
                <w:tcPr/>
                <w:p>
                  <w:pPr>
                    <w:pStyle w:val="Compact"/>
                    <w:jc w:val="center"/>
                    <w:jc w:val="center"/>
                  </w:pPr>
                  <m:oMath>
                    <m:r>
                      <m:t>0.006</m:t>
                    </m:r>
                  </m:oMath>
                </w:p>
              </w:tc>
              <w:tc>
                <w:tcPr/>
                <w:p>
                  <w:pPr>
                    <w:pStyle w:val="Compact"/>
                  </w:pPr>
                </w:p>
              </w:tc>
            </w:tr>
            <w:tr>
              <w:tc>
                <w:tcPr/>
                <w:p>
                  <w:pPr>
                    <w:pStyle w:val="Compact"/>
                    <w:jc w:val="left"/>
                    <w:jc w:val="center"/>
                  </w:pPr>
                  <w:r>
                    <w:t xml:space="preserve">    LAGE</w:t>
                  </w:r>
                  <w:r>
                    <w:t xml:space="preserve"> </w:t>
                  </w:r>
                  <m:oMath>
                    <m:r>
                      <m:rPr>
                        <m:sty m:val="p"/>
                      </m:rPr>
                      <m:t>&lt;</m:t>
                    </m:r>
                    <m:r>
                      <m:t>4.40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MODD</w:t>
                  </w:r>
                  <w:r>
                    <w:t xml:space="preserve"> </w:t>
                  </w:r>
                  <m:oMath>
                    <m:r>
                      <m:rPr>
                        <m:sty m:val="p"/>
                      </m:rPr>
                      <m:t>&lt;</m:t>
                    </m:r>
                    <m:r>
                      <m:t>0.83</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versus high BG fluctuations (angina pectoris)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r>
                    <w:t xml:space="preserve"> </w:t>
                  </w:r>
                  <w:r>
                    <w:t xml:space="preserve">(myocardial Infarction)</w:t>
                  </w:r>
                </w:p>
              </w:tc>
              <w:tc>
                <w:tcPr/>
                <w:p>
                  <w:pPr>
                    <w:pStyle w:val="Compact"/>
                    <w:jc w:val="left"/>
                    <w:jc w:val="center"/>
                  </w:pPr>
                  <w:r>
                    <w:t xml:space="preserve">HR: 1.901</w:t>
                  </w:r>
                  <w:r>
                    <w:t xml:space="preserve"> </w:t>
                  </w:r>
                  <w:r>
                    <w:t xml:space="preserve">(1.067–3.389)</w:t>
                  </w:r>
                </w:p>
              </w:tc>
              <w:tc>
                <w:tcPr/>
                <w:p>
                  <w:pPr>
                    <w:pStyle w:val="Compact"/>
                    <w:jc w:val="center"/>
                    <w:jc w:val="center"/>
                  </w:pPr>
                  <w:r>
                    <w:t xml:space="preserve">—</w:t>
                  </w:r>
                </w:p>
              </w:tc>
              <w:tc>
                <w:tcPr/>
                <w:p>
                  <w:pPr>
                    <w:pStyle w:val="Compact"/>
                    <w:jc w:val="left"/>
                    <w:jc w:val="center"/>
                  </w:pPr>
                  <w:r>
                    <w:t xml:space="preserve">HR: 1.549</w:t>
                  </w:r>
                  <w:r>
                    <w:t xml:space="preserve"> </w:t>
                  </w:r>
                  <w:r>
                    <w:t xml:space="preserve">(0.768–3.124)</w:t>
                  </w:r>
                </w:p>
              </w:tc>
              <w:tc>
                <w:tcPr/>
                <w:p>
                  <w:pPr>
                    <w:pStyle w:val="Compact"/>
                    <w:jc w:val="center"/>
                    <w:jc w:val="center"/>
                  </w:pPr>
                  <m:oMath>
                    <m:r>
                      <m:t>0.03</m:t>
                    </m:r>
                  </m:oMath>
                </w:p>
              </w:tc>
              <w:tc>
                <w:tcPr/>
                <w:p>
                  <w:pPr>
                    <w:pStyle w:val="Compact"/>
                  </w:pPr>
                </w:p>
              </w:tc>
            </w:tr>
            <w:tr>
              <w:tc>
                <w:tcPr/>
                <w:p>
                  <w:pPr>
                    <w:pStyle w:val="Compact"/>
                    <w:jc w:val="left"/>
                    <w:jc w:val="center"/>
                  </w:pPr>
                  <w:r>
                    <w:t xml:space="preserve">    Hypoglycemic events</w:t>
                  </w:r>
                  <w:r>
                    <w:t xml:space="preserve"> </w:t>
                  </w:r>
                  <w:r>
                    <w:t xml:space="preserve">(unstable angina pectoris)</w:t>
                  </w:r>
                </w:p>
              </w:tc>
              <w:tc>
                <w:tcPr/>
                <w:p>
                  <w:pPr>
                    <w:pStyle w:val="Compact"/>
                    <w:jc w:val="left"/>
                    <w:jc w:val="center"/>
                  </w:pPr>
                  <w:r>
                    <w:t xml:space="preserve">HR: 1.226</w:t>
                  </w:r>
                  <w:r>
                    <w:t xml:space="preserve"> </w:t>
                  </w:r>
                  <w:r>
                    <w:t xml:space="preserve">(0.857–1.753)</w:t>
                  </w:r>
                </w:p>
              </w:tc>
              <w:tc>
                <w:tcPr/>
                <w:p>
                  <w:pPr>
                    <w:pStyle w:val="Compact"/>
                    <w:jc w:val="center"/>
                    <w:jc w:val="center"/>
                  </w:pPr>
                  <w:r>
                    <w:t xml:space="preserve">—</w:t>
                  </w:r>
                </w:p>
              </w:tc>
              <w:tc>
                <w:tcPr/>
                <w:p>
                  <w:pPr>
                    <w:pStyle w:val="Compact"/>
                    <w:jc w:val="left"/>
                    <w:jc w:val="center"/>
                  </w:pPr>
                  <w:r>
                    <w:t xml:space="preserve">HR: 1.218</w:t>
                  </w:r>
                  <w:r>
                    <w:t xml:space="preserve"> </w:t>
                  </w:r>
                  <w:r>
                    <w:t xml:space="preserve">(0.794–1.869)</w:t>
                  </w:r>
                </w:p>
              </w:tc>
              <w:tc>
                <w:tcPr/>
                <w:p>
                  <w:pPr>
                    <w:pStyle w:val="Compact"/>
                    <w:jc w:val="center"/>
                    <w:jc w:val="center"/>
                  </w:pPr>
                  <m:oMath>
                    <m:r>
                      <m:t>0.30</m:t>
                    </m:r>
                  </m:oMath>
                </w:p>
              </w:tc>
              <w:tc>
                <w:tcPr/>
                <w:p>
                  <w:pPr>
                    <w:pStyle w:val="Compact"/>
                  </w:pPr>
                </w:p>
              </w:tc>
            </w:tr>
            <w:tr>
              <w:tc>
                <w:tcPr/>
                <w:p>
                  <w:pPr>
                    <w:pStyle w:val="Compact"/>
                    <w:jc w:val="left"/>
                    <w:jc w:val="center"/>
                  </w:pPr>
                  <w:r>
                    <w:t xml:space="preserve">Shu-Hua et al</w:t>
                  </w:r>
                  <w:r>
                    <w:rPr>
                      <w:b/>
                      <w:bCs/>
                      <w:vertAlign w:val="superscript"/>
                    </w:rPr>
                    <w:t xml:space="preserve">Hua?</w:t>
                  </w:r>
                  <m:oMath>
                    <m:sSup>
                      <m:e>
                        <m:r>
                          <m:t>​</m:t>
                        </m:r>
                      </m:e>
                      <m:sup>
                        <m:r>
                          <m:t>e</m:t>
                        </m:r>
                      </m:sup>
                    </m:sSup>
                  </m:oMath>
                  <w:r>
                    <w:t xml:space="preserve">, 2012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 level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2.286</w:t>
                  </w:r>
                  <w:r>
                    <w:t xml:space="preserve"> </w:t>
                  </w:r>
                  <w:r>
                    <w:t xml:space="preserve">(1.176–4.446)</w:t>
                  </w:r>
                </w:p>
              </w:tc>
              <w:tc>
                <w:tcPr/>
                <w:p>
                  <w:pPr>
                    <w:pStyle w:val="Compact"/>
                    <w:jc w:val="center"/>
                    <w:jc w:val="center"/>
                  </w:pPr>
                  <m:oMath>
                    <m:r>
                      <m:t>0.02</m:t>
                    </m:r>
                  </m:oMath>
                </w:p>
              </w:tc>
              <w:tc>
                <w:tcPr/>
                <w:p>
                  <w:pPr>
                    <w:pStyle w:val="Compact"/>
                  </w:pPr>
                </w:p>
              </w:tc>
            </w:tr>
            <w:tr>
              <w:tc>
                <w:tcPr/>
                <w:p>
                  <w:pPr>
                    <w:pStyle w:val="Compact"/>
                    <w:jc w:val="left"/>
                    <w:jc w:val="center"/>
                  </w:pPr>
                  <w:r>
                    <w:t xml:space="preserve">Su et al</w:t>
                  </w:r>
                  <w:r>
                    <w:rPr>
                      <w:vertAlign w:val="superscript"/>
                    </w:rPr>
                    <w:t xml:space="preserve">28</w:t>
                  </w:r>
                  <m:oMath>
                    <m:sSup>
                      <m:e>
                        <m:r>
                          <m:t>​</m:t>
                        </m:r>
                      </m:e>
                      <m:sup>
                        <m:r>
                          <m:rPr>
                            <m:sty m:val="p"/>
                          </m:rPr>
                          <m:t>*</m:t>
                        </m:r>
                      </m:sup>
                    </m:sSup>
                  </m:oMath>
                  <w:r>
                    <w:t xml:space="preserve">, 2011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2.612</w:t>
                  </w:r>
                  <w:r>
                    <w:t xml:space="preserve"> </w:t>
                  </w:r>
                  <w:r>
                    <w:t xml:space="preserve">(1.423–4.831)</w:t>
                  </w:r>
                </w:p>
              </w:tc>
              <w:tc>
                <w:tcPr/>
                <w:p>
                  <w:pPr>
                    <w:pStyle w:val="Compact"/>
                    <w:jc w:val="center"/>
                    <w:jc w:val="center"/>
                  </w:pPr>
                  <m:oMath>
                    <m:r>
                      <m:t>0.002</m:t>
                    </m:r>
                  </m:oMath>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AUC: 0.618</w:t>
                  </w:r>
                  <w:r>
                    <w:t xml:space="preserve"> </w:t>
                  </w:r>
                  <w:r>
                    <w:t xml:space="preserve">(0.555–0.680)</w:t>
                  </w:r>
                </w:p>
              </w:tc>
              <w:tc>
                <w:tcPr/>
                <w:p>
                  <w:pPr>
                    <w:pStyle w:val="Compact"/>
                    <w:jc w:val="center"/>
                    <w:jc w:val="center"/>
                  </w:pPr>
                  <m:oMath>
                    <m:r>
                      <m:t>0.001</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Gensini Score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Chen et al</w:t>
                  </w:r>
                  <w:r>
                    <w:rPr>
                      <w:b/>
                      <w:bCs/>
                      <w:vertAlign w:val="superscript"/>
                    </w:rPr>
                    <w:t xml:space="preserve">Chen2020?</w:t>
                  </w:r>
                  <m:oMath>
                    <m:sSup>
                      <m:e>
                        <m:r>
                          <m:t>​</m:t>
                        </m:r>
                      </m:e>
                      <m:sup>
                        <m:r>
                          <m:rPr>
                            <m:sty m:val="p"/>
                          </m:rPr>
                          <m:t>†</m:t>
                        </m:r>
                        <m:r>
                          <m:rPr>
                            <m:sty m:val="p"/>
                          </m:rPr>
                          <m:t>,</m:t>
                        </m:r>
                        <m:r>
                          <m:rPr>
                            <m:sty m:val="p"/>
                          </m:rPr>
                          <m:t>*</m:t>
                        </m:r>
                      </m:sup>
                    </m:sSup>
                  </m:oMath>
                  <w:r>
                    <w:t xml:space="preserve">, 2020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SD</w:t>
                  </w:r>
                  <w:r>
                    <w:t xml:space="preserve"> </w:t>
                  </w:r>
                  <m:oMath>
                    <m:r>
                      <m:rPr>
                        <m:sty m:val="p"/>
                      </m:rPr>
                      <m:t>&lt;</m:t>
                    </m:r>
                    <m:r>
                      <m:t>1.40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&lt;</m:t>
                    </m:r>
                    <m:r>
                      <m:t>3.90</m:t>
                    </m:r>
                  </m:oMath>
                  <w:r>
                    <w:t xml:space="preserve"> </w:t>
                  </w:r>
                  <w:r>
                    <w:t xml:space="preserve">mmol/L,</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t</m:t>
                    </m:r>
                    <m:r>
                      <m:rPr>
                        <m:sty m:val="p"/>
                      </m:rPr>
                      <m:t>=</m:t>
                    </m:r>
                    <m:r>
                      <m:t>6.210</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LAGE</w:t>
                  </w:r>
                  <w:r>
                    <w:t xml:space="preserve"> </w:t>
                  </w:r>
                  <m:oMath>
                    <m:r>
                      <m:rPr>
                        <m:sty m:val="p"/>
                      </m:rPr>
                      <m:t>&lt;</m:t>
                    </m:r>
                    <m:r>
                      <m:t>4.40</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MODD</w:t>
                  </w:r>
                  <w:r>
                    <w:t xml:space="preserve"> </w:t>
                  </w:r>
                  <m:oMath>
                    <m:r>
                      <m:rPr>
                        <m:sty m:val="p"/>
                      </m:rPr>
                      <m:t>&lt;</m:t>
                    </m:r>
                    <m:r>
                      <m:t>0.83</m:t>
                    </m:r>
                  </m:oMath>
                  <w:r>
                    <w:t xml:space="preserve"> </w:t>
                  </w:r>
                  <w:r>
                    <w:t xml:space="preserve">mmol/L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et al</w:t>
                  </w:r>
                  <w:r>
                    <w:rPr>
                      <w:b/>
                      <w:bCs/>
                      <w:vertAlign w:val="superscript"/>
                    </w:rPr>
                    <w:t xml:space="preserve">Watanabe2017?</w:t>
                  </w:r>
                  <m:oMath>
                    <m:sSup>
                      <m:e>
                        <m:r>
                          <m:t>​</m:t>
                        </m:r>
                      </m:e>
                      <m:sup>
                        <m:r>
                          <m:rPr>
                            <m:sty m:val="p"/>
                          </m:rPr>
                          <m:t>*</m:t>
                        </m:r>
                      </m:sup>
                    </m:sSup>
                  </m:oMath>
                  <w:r>
                    <w:t xml:space="preserve">, 2017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0.742</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Shu-Hua et al</w:t>
                  </w:r>
                  <w:r>
                    <w:rPr>
                      <w:b/>
                      <w:bCs/>
                      <w:vertAlign w:val="superscript"/>
                    </w:rPr>
                    <w:t xml:space="preserve">Hua2012?</w:t>
                  </w:r>
                  <m:oMath>
                    <m:sSup>
                      <m:e>
                        <m:r>
                          <m:t>​</m:t>
                        </m:r>
                      </m:e>
                      <m:sup>
                        <m:r>
                          <m:rPr>
                            <m:sty m:val="p"/>
                          </m:rPr>
                          <m:t>*</m:t>
                        </m:r>
                      </m:sup>
                    </m:sSup>
                  </m:oMath>
                  <w:r>
                    <w:t xml:space="preserve">, 2012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Unstandardized coefficient</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β</m:t>
                    </m:r>
                    <m:r>
                      <m:rPr>
                        <m:sty m:val="p"/>
                      </m:rPr>
                      <m:t>=</m:t>
                    </m:r>
                    <m:r>
                      <m:t>4.817</m:t>
                    </m:r>
                  </m:oMath>
                  <w:r>
                    <w:t xml:space="preserve">;</w:t>
                  </w: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SE = 1.164;</w:t>
                  </w:r>
                </w:p>
              </w:tc>
              <w:tc>
                <w:tcPr/>
                <w:p>
                  <w:pPr>
                    <w:pStyle w:val="Compact"/>
                    <w:jc w:val="center"/>
                    <w:jc w:val="center"/>
                  </w:pPr>
                  <m:oMath>
                    <m:r>
                      <m:t>0.003</m:t>
                    </m:r>
                  </m:oMath>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Standardized coefficient</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t</m:t>
                    </m:r>
                    <m:r>
                      <m:rPr>
                        <m:sty m:val="p"/>
                      </m:rPr>
                      <m:t>=</m:t>
                    </m:r>
                    <m:r>
                      <m:t>2.984</m:t>
                    </m:r>
                  </m:oMath>
                </w:p>
              </w:tc>
              <w:tc>
                <w:tcPr/>
                <w:p>
                  <w:pPr>
                    <w:pStyle w:val="Compact"/>
                  </w:pPr>
                </w:p>
              </w:tc>
              <w:tc>
                <w:tcPr/>
                <w:p>
                  <w:pPr>
                    <w:pStyle w:val="Compact"/>
                  </w:pPr>
                </w:p>
              </w:tc>
            </w:tr>
            <w:tr>
              <w:tc>
                <w:tcPr/>
                <w:p>
                  <w:pPr>
                    <w:pStyle w:val="Compact"/>
                    <w:jc w:val="left"/>
                    <w:jc w:val="center"/>
                  </w:pPr>
                  <w:r>
                    <w:t xml:space="preserve">Su et al</w:t>
                  </w:r>
                  <w:r>
                    <w:rPr>
                      <w:vertAlign w:val="superscript"/>
                    </w:rPr>
                    <w:t xml:space="preserve">28</w:t>
                  </w:r>
                  <m:oMath>
                    <m:sSup>
                      <m:e>
                        <m:r>
                          <m:t>​</m:t>
                        </m:r>
                      </m:e>
                      <m:sup>
                        <m:r>
                          <m:rPr>
                            <m:sty m:val="p"/>
                          </m:rPr>
                          <m:t>*</m:t>
                        </m:r>
                      </m:sup>
                    </m:sSup>
                  </m:oMath>
                  <w:r>
                    <w:t xml:space="preserve">, 2011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Unstandardized</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β</m:t>
                    </m:r>
                    <m:r>
                      <m:rPr>
                        <m:sty m:val="p"/>
                      </m:rPr>
                      <m:t>=</m:t>
                    </m:r>
                    <m:r>
                      <m:t>7.010</m:t>
                    </m:r>
                  </m:oMath>
                  <w:r>
                    <w:t xml:space="preserve">;</w:t>
                  </w: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SE = 1.466;</w:t>
                  </w:r>
                </w:p>
              </w:tc>
              <w:tc>
                <w:tcPr/>
                <w:p>
                  <w:pPr>
                    <w:pStyle w:val="Compact"/>
                    <w:jc w:val="center"/>
                    <w:jc w:val="center"/>
                  </w:pPr>
                  <m:oMath>
                    <m:r>
                      <m:rPr>
                        <m:sty m:val="p"/>
                      </m:rPr>
                      <m:t>&lt;</m:t>
                    </m:r>
                    <m:r>
                      <m:t>0.001</m:t>
                    </m:r>
                  </m:oMath>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w:r>
                    <w:t xml:space="preserve">standardized</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β</m:t>
                    </m:r>
                    <m:r>
                      <m:rPr>
                        <m:sty m:val="p"/>
                      </m:rPr>
                      <m:t>=</m:t>
                    </m:r>
                    <m:r>
                      <m:t>0.237</m:t>
                    </m:r>
                  </m:oMath>
                  <w:r>
                    <w:t xml:space="preserve">;</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jc w:val="center"/>
                  </w:pPr>
                  <m:oMath>
                    <m:r>
                      <m:t>t</m:t>
                    </m:r>
                    <m:r>
                      <m:rPr>
                        <m:sty m:val="p"/>
                      </m:rPr>
                      <m:t>=</m:t>
                    </m:r>
                    <m:r>
                      <m:t>4.783</m:t>
                    </m:r>
                  </m:oMath>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Syntax Score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et al</w:t>
                  </w:r>
                  <w:r>
                    <w:rPr>
                      <w:b/>
                      <w:bCs/>
                      <w:vertAlign w:val="superscript"/>
                    </w:rPr>
                    <w:t xml:space="preserve">Watanabe2017?</w:t>
                  </w:r>
                  <m:oMath>
                    <m:sSup>
                      <m:e>
                        <m:r>
                          <m:t>​</m:t>
                        </m:r>
                      </m:e>
                      <m:sup>
                        <m:r>
                          <m:rPr>
                            <m:sty m:val="p"/>
                          </m:rPr>
                          <m:t>*</m:t>
                        </m:r>
                      </m:sup>
                    </m:sSup>
                  </m:oMath>
                  <w:r>
                    <w:t xml:space="preserve">, 2017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0.776</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Zhang et al</w:t>
                  </w:r>
                  <w:r>
                    <w:rPr>
                      <w:vertAlign w:val="superscript"/>
                    </w:rPr>
                    <w:t xml:space="preserve">30</w:t>
                  </w:r>
                  <m:oMath>
                    <m:sSup>
                      <m:e>
                        <m:r>
                          <m:t>​</m:t>
                        </m:r>
                      </m:e>
                      <m:sup>
                        <m:r>
                          <m:rPr>
                            <m:sty m:val="p"/>
                          </m:rPr>
                          <m:t>*</m:t>
                        </m:r>
                      </m:sup>
                    </m:sSup>
                  </m:oMath>
                  <w:r>
                    <w:t xml:space="preserve">, 2013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0.518</m:t>
                    </m:r>
                  </m:oMath>
                </w:p>
              </w:tc>
              <w:tc>
                <w:tcPr/>
                <w:p>
                  <w:pPr>
                    <w:pStyle w:val="Compact"/>
                    <w:jc w:val="center"/>
                    <w:jc w:val="center"/>
                  </w:pPr>
                  <m:oMath>
                    <m:r>
                      <m:t>0.01</m:t>
                    </m:r>
                  </m:oMath>
                </w:p>
              </w:tc>
              <w:tc>
                <w:tcPr/>
                <w:p>
                  <w:pPr>
                    <w:pStyle w:val="Compact"/>
                  </w:pPr>
                </w:p>
              </w:tc>
            </w:tr>
            <w:tr>
              <w:tc>
                <w:tcPr/>
                <w:p>
                  <w:pPr>
                    <w:pStyle w:val="Compact"/>
                    <w:jc w:val="left"/>
                    <w:jc w:val="center"/>
                  </w:pPr>
                  <w:r>
                    <w:t xml:space="preserve">    BG fluctuations from 00:00 to 03:00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rPr>
                        <m:sty m:val="p"/>
                      </m:rPr>
                      <m:t>−</m:t>
                    </m:r>
                    <m:r>
                      <m:t>0.442</m:t>
                    </m:r>
                  </m:oMath>
                </w:p>
              </w:tc>
              <w:tc>
                <w:tcPr/>
                <w:p>
                  <w:pPr>
                    <w:pStyle w:val="Compact"/>
                    <w:jc w:val="center"/>
                    <w:jc w:val="center"/>
                  </w:pPr>
                  <m:oMath>
                    <m:r>
                      <m:t>0.04</m:t>
                    </m:r>
                  </m:oMath>
                </w:p>
              </w:tc>
              <w:tc>
                <w:tcPr/>
                <w:p>
                  <w:pPr>
                    <w:pStyle w:val="Compact"/>
                  </w:pPr>
                </w:p>
              </w:tc>
            </w:tr>
            <w:tr>
              <w:tc>
                <w:tcPr/>
                <w:p>
                  <w:pPr>
                    <w:pStyle w:val="Compact"/>
                    <w:jc w:val="left"/>
                    <w:jc w:val="center"/>
                  </w:pPr>
                  <w:r>
                    <w:t xml:space="preserve">    BG fluctuations from 03:00 to 06:00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rPr>
                        <m:sty m:val="p"/>
                      </m:rPr>
                      <m:t>−</m:t>
                    </m:r>
                    <m:r>
                      <m:t>0.208</m:t>
                    </m:r>
                  </m:oMath>
                </w:p>
              </w:tc>
              <w:tc>
                <w:tcPr/>
                <w:p>
                  <w:pPr>
                    <w:pStyle w:val="Compact"/>
                    <w:jc w:val="center"/>
                    <w:jc w:val="center"/>
                  </w:pPr>
                  <m:oMath>
                    <m:r>
                      <m:t>0.34</m:t>
                    </m:r>
                  </m:oMath>
                </w:p>
              </w:tc>
              <w:tc>
                <w:tcPr/>
                <w:p>
                  <w:pPr>
                    <w:pStyle w:val="Compact"/>
                  </w:pPr>
                </w:p>
              </w:tc>
            </w:tr>
            <w:tr>
              <w:tc>
                <w:tcPr/>
                <w:p>
                  <w:pPr>
                    <w:pStyle w:val="Compact"/>
                    <w:jc w:val="left"/>
                    <w:jc w:val="center"/>
                  </w:pPr>
                  <w:r>
                    <w:t xml:space="preserve">    BG fluctuations from 06:00 to 08:00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0.678</m:t>
                    </m:r>
                  </m:oMath>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BG fluctuations from 08:00 to 11:00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0.115</m:t>
                    </m:r>
                  </m:oMath>
                </w:p>
              </w:tc>
              <w:tc>
                <w:tcPr/>
                <w:p>
                  <w:pPr>
                    <w:pStyle w:val="Compact"/>
                    <w:jc w:val="center"/>
                    <w:jc w:val="center"/>
                  </w:pPr>
                  <m:oMath>
                    <m:r>
                      <m:t>0.60</m:t>
                    </m:r>
                  </m:oMath>
                </w:p>
              </w:tc>
              <w:tc>
                <w:tcPr/>
                <w:p>
                  <w:pPr>
                    <w:pStyle w:val="Compact"/>
                  </w:pPr>
                </w:p>
              </w:tc>
            </w:tr>
            <w:tr>
              <w:tc>
                <w:tcPr/>
                <w:p>
                  <w:pPr>
                    <w:pStyle w:val="Compact"/>
                    <w:jc w:val="left"/>
                    <w:jc w:val="center"/>
                  </w:pPr>
                  <w:r>
                    <w:t xml:space="preserve">    BG fluctuations from 11:00 to 13:00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0.523</m:t>
                    </m:r>
                  </m:oMath>
                </w:p>
              </w:tc>
              <w:tc>
                <w:tcPr/>
                <w:p>
                  <w:pPr>
                    <w:pStyle w:val="Compact"/>
                    <w:jc w:val="center"/>
                    <w:jc w:val="center"/>
                  </w:pPr>
                  <m:oMath>
                    <m:r>
                      <m:t>0.01</m:t>
                    </m:r>
                  </m:oMath>
                </w:p>
              </w:tc>
              <w:tc>
                <w:tcPr/>
                <w:p>
                  <w:pPr>
                    <w:pStyle w:val="Compact"/>
                  </w:pPr>
                </w:p>
              </w:tc>
            </w:tr>
            <w:tr>
              <w:tc>
                <w:tcPr/>
                <w:p>
                  <w:pPr>
                    <w:pStyle w:val="Compact"/>
                    <w:jc w:val="left"/>
                    <w:jc w:val="center"/>
                  </w:pPr>
                  <w:r>
                    <w:t xml:space="preserve">    BG fluctuations from 13:00 to 17:00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0.257</m:t>
                    </m:r>
                  </m:oMath>
                </w:p>
              </w:tc>
              <w:tc>
                <w:tcPr/>
                <w:p>
                  <w:pPr>
                    <w:pStyle w:val="Compact"/>
                    <w:jc w:val="center"/>
                    <w:jc w:val="center"/>
                  </w:pPr>
                  <m:oMath>
                    <m:r>
                      <m:t>0.24</m:t>
                    </m:r>
                  </m:oMath>
                </w:p>
              </w:tc>
              <w:tc>
                <w:tcPr/>
                <w:p>
                  <w:pPr>
                    <w:pStyle w:val="Compact"/>
                  </w:pPr>
                </w:p>
              </w:tc>
            </w:tr>
            <w:tr>
              <w:tc>
                <w:tcPr/>
                <w:p>
                  <w:pPr>
                    <w:pStyle w:val="Compact"/>
                    <w:jc w:val="left"/>
                    <w:jc w:val="center"/>
                  </w:pPr>
                  <w:r>
                    <w:t xml:space="preserve">    BG fluctuations from 17:00 to 19:00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t>0.358</m:t>
                    </m:r>
                  </m:oMath>
                </w:p>
              </w:tc>
              <w:tc>
                <w:tcPr/>
                <w:p>
                  <w:pPr>
                    <w:pStyle w:val="Compact"/>
                    <w:jc w:val="center"/>
                    <w:jc w:val="center"/>
                  </w:pPr>
                  <m:oMath>
                    <m:r>
                      <m:t>0.09</m:t>
                    </m:r>
                  </m:oMath>
                </w:p>
              </w:tc>
              <w:tc>
                <w:tcPr/>
                <w:p>
                  <w:pPr>
                    <w:pStyle w:val="Compact"/>
                  </w:pPr>
                </w:p>
              </w:tc>
            </w:tr>
            <w:tr>
              <w:tc>
                <w:tcPr/>
                <w:p>
                  <w:pPr>
                    <w:pStyle w:val="Compact"/>
                    <w:jc w:val="left"/>
                    <w:jc w:val="center"/>
                  </w:pPr>
                  <w:r>
                    <w:t xml:space="preserve">    BG fluctuations from 19:00 to 24:00</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m:oMath>
                    <m:r>
                      <m:t>r</m:t>
                    </m:r>
                    <m:r>
                      <m:rPr>
                        <m:sty m:val="p"/>
                      </m:rPr>
                      <m:t>=</m:t>
                    </m:r>
                    <m:r>
                      <m:rPr>
                        <m:sty m:val="p"/>
                      </m:rPr>
                      <m:t>−</m:t>
                    </m:r>
                    <m:r>
                      <m:t>0.018</m:t>
                    </m:r>
                  </m:oMath>
                </w:p>
              </w:tc>
              <w:tc>
                <w:tcPr/>
                <w:p>
                  <w:pPr>
                    <w:pStyle w:val="Compact"/>
                    <w:jc w:val="center"/>
                    <w:jc w:val="center"/>
                  </w:pPr>
                  <m:oMath>
                    <m:r>
                      <m:t>0.93</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Stroke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0.651 (0.470–0.902)</w:t>
                  </w:r>
                </w:p>
              </w:tc>
              <w:tc>
                <w:tcPr/>
                <w:p>
                  <w:pPr>
                    <w:pStyle w:val="Compact"/>
                    <w:jc w:val="center"/>
                    <w:jc w:val="center"/>
                  </w:pPr>
                  <m:oMath>
                    <m:r>
                      <m:rPr>
                        <m:sty m:val="p"/>
                      </m:rPr>
                      <m:t>&lt;</m:t>
                    </m:r>
                    <m:r>
                      <m:t>0.05</m:t>
                    </m:r>
                  </m:oMath>
                </w:p>
              </w:tc>
              <w:tc>
                <w:tcPr/>
                <w:p>
                  <w:pPr>
                    <w:pStyle w:val="Compact"/>
                    <w:jc w:val="left"/>
                    <w:jc w:val="center"/>
                  </w:pPr>
                  <w:r>
                    <w:t xml:space="preserve">OR 0.546 (0.347–0.858)</w:t>
                  </w:r>
                </w:p>
              </w:tc>
              <w:tc>
                <w:tcPr/>
                <w:p>
                  <w:pPr>
                    <w:pStyle w:val="Compact"/>
                    <w:jc w:val="center"/>
                    <w:jc w:val="center"/>
                  </w:pPr>
                  <m:oMath>
                    <m:r>
                      <m:rPr>
                        <m:sty m:val="p"/>
                      </m:rPr>
                      <m:t>&lt;</m:t>
                    </m:r>
                    <m:r>
                      <m:t>0.01</m:t>
                    </m:r>
                  </m:oMath>
                </w:p>
              </w:tc>
              <w:tc>
                <w:tcPr/>
                <w:p>
                  <w:pPr>
                    <w:pStyle w:val="Compact"/>
                  </w:pPr>
                </w:p>
              </w:tc>
            </w:tr>
            <w:tr>
              <w:tc>
                <w:tcPr/>
                <w:p>
                  <w:pPr>
                    <w:pStyle w:val="Compact"/>
                    <w:jc w:val="left"/>
                    <w:jc w:val="center"/>
                  </w:pPr>
                  <w:r>
                    <w:t xml:space="preserve">    TIR</w:t>
                  </w:r>
                </w:p>
              </w:tc>
              <w:tc>
                <w:tcPr/>
                <w:p>
                  <w:pPr>
                    <w:pStyle w:val="Compact"/>
                    <w:jc w:val="left"/>
                    <w:jc w:val="center"/>
                  </w:pPr>
                  <w:r>
                    <w:t xml:space="preserve">OR 0.749 (0.588–0.955)</w:t>
                  </w:r>
                </w:p>
              </w:tc>
              <w:tc>
                <w:tcPr/>
                <w:p>
                  <w:pPr>
                    <w:pStyle w:val="Compact"/>
                    <w:jc w:val="center"/>
                    <w:jc w:val="center"/>
                  </w:pPr>
                  <m:oMath>
                    <m:r>
                      <m:rPr>
                        <m:sty m:val="p"/>
                      </m:rPr>
                      <m:t>&lt;</m:t>
                    </m:r>
                    <m:r>
                      <m:t>0.05</m:t>
                    </m:r>
                  </m:oMath>
                </w:p>
              </w:tc>
              <w:tc>
                <w:tcPr/>
                <w:p>
                  <w:pPr>
                    <w:pStyle w:val="Compact"/>
                    <w:jc w:val="left"/>
                    <w:jc w:val="center"/>
                  </w:pPr>
                  <w:r>
                    <w:t xml:space="preserve">OR 0.617 (0.440–0.866)</w:t>
                  </w:r>
                </w:p>
              </w:tc>
              <w:tc>
                <w:tcPr/>
                <w:p>
                  <w:pPr>
                    <w:pStyle w:val="Compact"/>
                    <w:jc w:val="center"/>
                    <w:jc w:val="center"/>
                  </w:pPr>
                  <m:oMath>
                    <m:r>
                      <m:rPr>
                        <m:sty m:val="p"/>
                      </m:rPr>
                      <m:t>&lt;</m:t>
                    </m:r>
                    <m:r>
                      <m:t>0.01</m:t>
                    </m:r>
                  </m:oMath>
                </w:p>
              </w:tc>
              <w:tc>
                <w:tcPr/>
                <w:p>
                  <w:pPr>
                    <w:pStyle w:val="Compact"/>
                  </w:pPr>
                </w:p>
              </w:tc>
            </w:tr>
            <w:tr>
              <w:tc>
                <w:tcPr/>
                <w:p>
                  <w:pPr>
                    <w:pStyle w:val="Compact"/>
                    <w:jc w:val="left"/>
                    <w:jc w:val="center"/>
                  </w:pPr>
                  <w:r>
                    <w:t xml:space="preserve">Guo et al</w:t>
                  </w:r>
                  <w:r>
                    <w:rPr>
                      <w:b/>
                      <w:bCs/>
                      <w:vertAlign w:val="superscript"/>
                    </w:rPr>
                    <w:t xml:space="preserve">Guo2021?</w:t>
                  </w:r>
                  <m:oMath>
                    <m:sSup>
                      <m:e>
                        <m:r>
                          <m:t>​</m:t>
                        </m:r>
                      </m:e>
                      <m:sup>
                        <m:r>
                          <m:rPr>
                            <m:sty m:val="p"/>
                          </m:rPr>
                          <m:t>*</m:t>
                        </m:r>
                      </m:sup>
                    </m:sSup>
                  </m:oMath>
                  <w:r>
                    <w:t xml:space="preserve">, 2021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 Q1 (</w:t>
                  </w:r>
                  <m:oMath>
                    <m:r>
                      <m:rPr>
                        <m:sty m:val="p"/>
                      </m:rPr>
                      <m:t>≤</m:t>
                    </m:r>
                    <m:r>
                      <m:t>46</m:t>
                    </m:r>
                    <m:r>
                      <m:rPr>
                        <m:sty m:val="p"/>
                      </m:rPr>
                      <m:t>%</m:t>
                    </m:r>
                  </m:oMath>
                  <w:r>
                    <w:t xml:space="preserve">; reference)</w:t>
                  </w:r>
                </w:p>
              </w:tc>
              <w:tc>
                <w:tcPr/>
                <w:p>
                  <w:pPr>
                    <w:pStyle w:val="Compact"/>
                    <w:jc w:val="left"/>
                    <w:jc w:val="center"/>
                  </w:pPr>
                  <w:r>
                    <w:t xml:space="preserve">OR: 1.00</w:t>
                  </w:r>
                </w:p>
              </w:tc>
              <w:tc>
                <w:tcPr/>
                <w:p>
                  <w:pPr>
                    <w:pStyle w:val="Compact"/>
                    <w:jc w:val="center"/>
                    <w:jc w:val="center"/>
                  </w:pPr>
                  <m:oMath>
                    <m:r>
                      <m:rPr>
                        <m:sty m:val="p"/>
                      </m:rPr>
                      <m:t>&lt;</m:t>
                    </m:r>
                    <m:r>
                      <m:t>0.001</m:t>
                    </m:r>
                  </m:oMath>
                </w:p>
              </w:tc>
              <w:tc>
                <w:tcPr/>
                <w:p>
                  <w:pPr>
                    <w:pStyle w:val="Compact"/>
                    <w:jc w:val="left"/>
                    <w:jc w:val="center"/>
                  </w:pPr>
                  <w:r>
                    <w:t xml:space="preserve">OR: 1.00</w:t>
                  </w:r>
                  <w:r>
                    <w:t xml:space="preserve"> </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Q2 (</w:t>
                  </w:r>
                  <m:oMath>
                    <m:r>
                      <m:t>46</m:t>
                    </m:r>
                    <m:r>
                      <m:rPr>
                        <m:sty m:val="p"/>
                      </m:rPr>
                      <m:t>%</m:t>
                    </m:r>
                    <m:r>
                      <m:rPr>
                        <m:sty m:val="p"/>
                      </m:rPr>
                      <m:t>−</m:t>
                    </m:r>
                    <m:r>
                      <m:t>65</m:t>
                    </m:r>
                    <m:r>
                      <m:rPr>
                        <m:sty m:val="p"/>
                      </m:rPr>
                      <m:t>%</m:t>
                    </m:r>
                  </m:oMath>
                  <w:r>
                    <w:t xml:space="preserve">)</w:t>
                  </w:r>
                </w:p>
              </w:tc>
              <w:tc>
                <w:tcPr/>
                <w:p>
                  <w:pPr>
                    <w:pStyle w:val="Compact"/>
                    <w:jc w:val="left"/>
                    <w:jc w:val="center"/>
                  </w:pPr>
                  <w:r>
                    <w:t xml:space="preserve">OR: 0.86</w:t>
                  </w:r>
                  <w:r>
                    <w:t xml:space="preserve"> </w:t>
                  </w:r>
                  <w:r>
                    <w:t xml:space="preserve">(0.72–0.95)</w:t>
                  </w:r>
                </w:p>
              </w:tc>
              <w:tc>
                <w:tcPr/>
                <w:p>
                  <w:pPr>
                    <w:pStyle w:val="Compact"/>
                    <w:jc w:val="center"/>
                    <w:jc w:val="center"/>
                  </w:pPr>
                  <m:oMath>
                    <m:r>
                      <m:rPr>
                        <m:sty m:val="p"/>
                      </m:rPr>
                      <m:t>&lt;</m:t>
                    </m:r>
                    <m:r>
                      <m:t>0.001</m:t>
                    </m:r>
                  </m:oMath>
                </w:p>
              </w:tc>
              <w:tc>
                <w:tcPr/>
                <w:p>
                  <w:pPr>
                    <w:pStyle w:val="Compact"/>
                    <w:jc w:val="left"/>
                    <w:jc w:val="center"/>
                  </w:pPr>
                  <w:r>
                    <w:t xml:space="preserve">OR: 0.80</w:t>
                  </w:r>
                  <w:r>
                    <w:t xml:space="preserve"> </w:t>
                  </w:r>
                  <w:r>
                    <w:t xml:space="preserve">(0.68–0.92)</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Q3 (</w:t>
                  </w:r>
                  <m:oMath>
                    <m:r>
                      <m:t>65</m:t>
                    </m:r>
                    <m:r>
                      <m:rPr>
                        <m:sty m:val="p"/>
                      </m:rPr>
                      <m:t>%</m:t>
                    </m:r>
                    <m:r>
                      <m:rPr>
                        <m:sty m:val="p"/>
                      </m:rPr>
                      <m:t>−</m:t>
                    </m:r>
                    <m:r>
                      <m:t>81</m:t>
                    </m:r>
                    <m:r>
                      <m:rPr>
                        <m:sty m:val="p"/>
                      </m:rPr>
                      <m:t>%</m:t>
                    </m:r>
                  </m:oMath>
                  <w:r>
                    <w:t xml:space="preserve">)</w:t>
                  </w:r>
                </w:p>
              </w:tc>
              <w:tc>
                <w:tcPr/>
                <w:p>
                  <w:pPr>
                    <w:pStyle w:val="Compact"/>
                    <w:jc w:val="left"/>
                    <w:jc w:val="center"/>
                  </w:pPr>
                  <w:r>
                    <w:t xml:space="preserve">OR: 0.71</w:t>
                  </w:r>
                  <w:r>
                    <w:t xml:space="preserve"> </w:t>
                  </w:r>
                  <w:r>
                    <w:t xml:space="preserve">(0.61–0.81)</w:t>
                  </w:r>
                </w:p>
              </w:tc>
              <w:tc>
                <w:tcPr/>
                <w:p>
                  <w:pPr>
                    <w:pStyle w:val="Compact"/>
                    <w:jc w:val="center"/>
                    <w:jc w:val="center"/>
                  </w:pPr>
                  <m:oMath>
                    <m:r>
                      <m:rPr>
                        <m:sty m:val="p"/>
                      </m:rPr>
                      <m:t>&lt;</m:t>
                    </m:r>
                    <m:r>
                      <m:t>0.001</m:t>
                    </m:r>
                  </m:oMath>
                </w:p>
              </w:tc>
              <w:tc>
                <w:tcPr/>
                <w:p>
                  <w:pPr>
                    <w:pStyle w:val="Compact"/>
                    <w:jc w:val="left"/>
                    <w:jc w:val="center"/>
                  </w:pPr>
                  <w:r>
                    <w:t xml:space="preserve">OR: 0.64</w:t>
                  </w:r>
                  <w:r>
                    <w:t xml:space="preserve"> </w:t>
                  </w:r>
                  <w:r>
                    <w:t xml:space="preserve">(0.53–0.79)</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Q4 (</w:t>
                  </w:r>
                  <m:oMath>
                    <m:r>
                      <m:rPr>
                        <m:sty m:val="p"/>
                      </m:rPr>
                      <m:t>&gt;</m:t>
                    </m:r>
                    <m:r>
                      <m:t>81</m:t>
                    </m:r>
                    <m:r>
                      <m:rPr>
                        <m:sty m:val="p"/>
                      </m:rPr>
                      <m:t>%</m:t>
                    </m:r>
                  </m:oMath>
                  <w:r>
                    <w:t xml:space="preserve">)</w:t>
                  </w:r>
                </w:p>
              </w:tc>
              <w:tc>
                <w:tcPr/>
                <w:p>
                  <w:pPr>
                    <w:pStyle w:val="Compact"/>
                    <w:jc w:val="left"/>
                    <w:jc w:val="center"/>
                  </w:pPr>
                  <w:r>
                    <w:t xml:space="preserve">OR: 0.66</w:t>
                  </w:r>
                  <w:r>
                    <w:t xml:space="preserve"> </w:t>
                  </w:r>
                  <w:r>
                    <w:t xml:space="preserve">(0.58–0.80)</w:t>
                  </w:r>
                </w:p>
              </w:tc>
              <w:tc>
                <w:tcPr/>
                <w:p>
                  <w:pPr>
                    <w:pStyle w:val="Compact"/>
                    <w:jc w:val="center"/>
                    <w:jc w:val="center"/>
                  </w:pPr>
                  <m:oMath>
                    <m:r>
                      <m:rPr>
                        <m:sty m:val="p"/>
                      </m:rPr>
                      <m:t>&lt;</m:t>
                    </m:r>
                    <m:r>
                      <m:t>0.001</m:t>
                    </m:r>
                  </m:oMath>
                </w:p>
              </w:tc>
              <w:tc>
                <w:tcPr/>
                <w:p>
                  <w:pPr>
                    <w:pStyle w:val="Compact"/>
                    <w:jc w:val="left"/>
                    <w:jc w:val="center"/>
                  </w:pPr>
                  <w:r>
                    <w:t xml:space="preserve">OR: 0.59</w:t>
                  </w:r>
                  <w:r>
                    <w:t xml:space="preserve"> </w:t>
                  </w:r>
                  <w:r>
                    <w:t xml:space="preserve">(0.50–0.74)</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    TIR (per</w:t>
                  </w:r>
                  <w:r>
                    <w:t xml:space="preserve"> </w:t>
                  </w:r>
                  <m:oMath>
                    <m:r>
                      <m:t>10</m:t>
                    </m:r>
                    <m:r>
                      <m:rPr>
                        <m:sty m:val="p"/>
                      </m:rPr>
                      <m:t>%</m:t>
                    </m:r>
                  </m:oMath>
                  <w:r>
                    <w:t xml:space="preserve"> </w:t>
                  </w:r>
                  <w:r>
                    <w:t xml:space="preserve">increase)</w:t>
                  </w:r>
                </w:p>
              </w:tc>
              <w:tc>
                <w:tcPr/>
                <w:p>
                  <w:pPr>
                    <w:pStyle w:val="Compact"/>
                    <w:jc w:val="left"/>
                    <w:jc w:val="center"/>
                  </w:pPr>
                  <w:r>
                    <w:t xml:space="preserve">OR: 0.93</w:t>
                  </w:r>
                  <w:r>
                    <w:t xml:space="preserve"> </w:t>
                  </w:r>
                  <w:r>
                    <w:t xml:space="preserve">(0.85–0.98)</w:t>
                  </w:r>
                </w:p>
              </w:tc>
              <w:tc>
                <w:tcPr/>
                <w:p>
                  <w:pPr>
                    <w:pStyle w:val="Compact"/>
                    <w:jc w:val="center"/>
                    <w:jc w:val="center"/>
                  </w:pPr>
                  <m:oMath>
                    <m:r>
                      <m:t>0.008</m:t>
                    </m:r>
                  </m:oMath>
                </w:p>
              </w:tc>
              <w:tc>
                <w:tcPr/>
                <w:p>
                  <w:pPr>
                    <w:pStyle w:val="Compact"/>
                    <w:jc w:val="left"/>
                    <w:jc w:val="center"/>
                  </w:pPr>
                  <w:r>
                    <w:t xml:space="preserve">OR: 0.89</w:t>
                  </w:r>
                  <w:r>
                    <w:t xml:space="preserve"> </w:t>
                  </w:r>
                  <w:r>
                    <w:t xml:space="preserve">(0.82–0.95)</w:t>
                  </w:r>
                </w:p>
              </w:tc>
              <w:tc>
                <w:tcPr/>
                <w:p>
                  <w:pPr>
                    <w:pStyle w:val="Compact"/>
                    <w:jc w:val="center"/>
                    <w:jc w:val="center"/>
                  </w:pPr>
                  <m:oMath>
                    <m:r>
                      <m:rPr>
                        <m:sty m:val="p"/>
                      </m:rPr>
                      <m:t>&lt;</m:t>
                    </m:r>
                    <m:r>
                      <m:t>0.001</m:t>
                    </m:r>
                  </m:oMath>
                </w:p>
              </w:tc>
              <w:tc>
                <w:tcPr/>
                <w:p>
                  <w:pPr>
                    <w:pStyle w:val="Compact"/>
                  </w:pPr>
                </w:p>
              </w:tc>
            </w:tr>
            <w:tr>
              <w:tc>
                <w:tcPr/>
                <w:p>
                  <w:pPr>
                    <w:pStyle w:val="Compact"/>
                    <w:jc w:val="left"/>
                    <w:jc w:val="center"/>
                  </w:pPr>
                  <w:r>
                    <w:t xml:space="preserve">Wei et al</w:t>
                  </w:r>
                  <w:r>
                    <w:rPr>
                      <w:b/>
                      <w:bCs/>
                      <w:vertAlign w:val="superscript"/>
                    </w:rPr>
                    <w:t xml:space="preserve">Wei2019?</w:t>
                  </w:r>
                  <m:oMath>
                    <m:sSup>
                      <m:e>
                        <m:r>
                          <m:t>​</m:t>
                        </m:r>
                      </m:e>
                      <m:sup>
                        <m:r>
                          <m:rPr>
                            <m:sty m:val="p"/>
                          </m:rPr>
                          <m:t>*</m:t>
                        </m:r>
                      </m:sup>
                    </m:sSup>
                  </m:oMath>
                  <w:r>
                    <w:t xml:space="preserve">, 2019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1.691</w:t>
                  </w:r>
                  <w:r>
                    <w:t xml:space="preserve"> </w:t>
                  </w:r>
                  <w:r>
                    <w:t xml:space="preserve">(1.144–2.499)</w:t>
                  </w:r>
                </w:p>
              </w:tc>
              <w:tc>
                <w:tcPr/>
                <w:p>
                  <w:pPr>
                    <w:pStyle w:val="Compact"/>
                    <w:jc w:val="center"/>
                    <w:jc w:val="center"/>
                  </w:pPr>
                  <w:r>
                    <w:t xml:space="preserve">—</w:t>
                  </w:r>
                </w:p>
              </w:tc>
              <w:tc>
                <w:tcPr/>
                <w:p>
                  <w:pPr>
                    <w:pStyle w:val="Compact"/>
                    <w:jc w:val="left"/>
                    <w:jc w:val="center"/>
                  </w:pPr>
                  <w:r>
                    <w:t xml:space="preserve">HR: 1.813</w:t>
                  </w:r>
                  <w:r>
                    <w:t xml:space="preserve"> </w:t>
                  </w:r>
                  <w:r>
                    <w:t xml:space="preserve">(1.110–2.960)</w:t>
                  </w:r>
                </w:p>
              </w:tc>
              <w:tc>
                <w:tcPr/>
                <w:p>
                  <w:pPr>
                    <w:pStyle w:val="Compact"/>
                    <w:jc w:val="center"/>
                    <w:jc w:val="center"/>
                  </w:pPr>
                  <m:oMath>
                    <m:r>
                      <m:t>0.06</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Peripheral artery disease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w:t>
                  </w:r>
                  <w:r>
                    <w:rPr>
                      <w:b/>
                      <w:bCs/>
                      <w:vertAlign w:val="superscript"/>
                    </w:rPr>
                    <w:t xml:space="preserve">Meulemeester2024?</w:t>
                  </w:r>
                  <m:oMath>
                    <m:sSup>
                      <m:e>
                        <m:r>
                          <m:t>​</m:t>
                        </m:r>
                      </m:e>
                      <m:sup>
                        <m:r>
                          <m:rPr>
                            <m:sty m:val="p"/>
                          </m:rPr>
                          <m:t>†</m:t>
                        </m:r>
                        <m:r>
                          <m:rPr>
                            <m:sty m:val="p"/>
                          </m:rPr>
                          <m:t>,</m:t>
                        </m:r>
                        <m:r>
                          <m:rPr>
                            <m:sty m:val="p"/>
                          </m:rPr>
                          <m:t>*</m:t>
                        </m:r>
                      </m:sup>
                    </m:sSup>
                  </m:oMath>
                  <w:r>
                    <w:t xml:space="preserve">, 2024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0.680 (0.426–1.085)</w:t>
                  </w:r>
                </w:p>
              </w:tc>
              <w:tc>
                <w:tcPr/>
                <w:p>
                  <w:pPr>
                    <w:pStyle w:val="Compact"/>
                    <w:jc w:val="center"/>
                    <w:jc w:val="center"/>
                  </w:pPr>
                  <m:oMath>
                    <m:r>
                      <m:rPr>
                        <m:sty m:val="p"/>
                      </m:rPr>
                      <m:t>&gt;</m:t>
                    </m:r>
                    <m:r>
                      <m:t>0.05</m:t>
                    </m:r>
                  </m:oMath>
                </w:p>
              </w:tc>
              <w:tc>
                <w:tcPr/>
                <w:p>
                  <w:pPr>
                    <w:pStyle w:val="Compact"/>
                    <w:jc w:val="left"/>
                    <w:jc w:val="center"/>
                  </w:pPr>
                  <w:r>
                    <w:t xml:space="preserve">OR 0.807 (0.382–1.703)</w:t>
                  </w:r>
                </w:p>
              </w:tc>
              <w:tc>
                <w:tcPr/>
                <w:p>
                  <w:pPr>
                    <w:pStyle w:val="Compact"/>
                    <w:jc w:val="center"/>
                    <w:jc w:val="center"/>
                  </w:pPr>
                  <m:oMath>
                    <m:r>
                      <m:rPr>
                        <m:sty m:val="p"/>
                      </m:rPr>
                      <m:t>&gt;</m:t>
                    </m:r>
                    <m:r>
                      <m:t>0.05</m:t>
                    </m:r>
                  </m:oMath>
                </w:p>
              </w:tc>
              <w:tc>
                <w:tcPr/>
                <w:p>
                  <w:pPr>
                    <w:pStyle w:val="Compact"/>
                  </w:pPr>
                </w:p>
              </w:tc>
            </w:tr>
            <w:tr>
              <w:tc>
                <w:tcPr/>
                <w:p>
                  <w:pPr>
                    <w:pStyle w:val="Compact"/>
                    <w:jc w:val="left"/>
                    <w:jc w:val="center"/>
                  </w:pPr>
                  <w:r>
                    <w:t xml:space="preserve">    TIR</w:t>
                  </w:r>
                </w:p>
              </w:tc>
              <w:tc>
                <w:tcPr/>
                <w:p>
                  <w:pPr>
                    <w:pStyle w:val="Compact"/>
                    <w:jc w:val="left"/>
                    <w:jc w:val="center"/>
                  </w:pPr>
                  <w:r>
                    <w:t xml:space="preserve">OR 0.736 (0.520–1.042)</w:t>
                  </w:r>
                </w:p>
              </w:tc>
              <w:tc>
                <w:tcPr/>
                <w:p>
                  <w:pPr>
                    <w:pStyle w:val="Compact"/>
                    <w:jc w:val="center"/>
                    <w:jc w:val="center"/>
                  </w:pPr>
                  <m:oMath>
                    <m:r>
                      <m:rPr>
                        <m:sty m:val="p"/>
                      </m:rPr>
                      <m:t>&gt;</m:t>
                    </m:r>
                    <m:r>
                      <m:t>0.05</m:t>
                    </m:r>
                  </m:oMath>
                </w:p>
              </w:tc>
              <w:tc>
                <w:tcPr/>
                <w:p>
                  <w:pPr>
                    <w:pStyle w:val="Compact"/>
                    <w:jc w:val="left"/>
                    <w:jc w:val="center"/>
                  </w:pPr>
                  <w:r>
                    <w:t xml:space="preserve">OR 0.811 (0.470–1.398)</w:t>
                  </w:r>
                </w:p>
              </w:tc>
              <w:tc>
                <w:tcPr/>
                <w:p>
                  <w:pPr>
                    <w:pStyle w:val="Compact"/>
                    <w:jc w:val="center"/>
                    <w:jc w:val="center"/>
                  </w:pPr>
                  <m:oMath>
                    <m:r>
                      <m:rPr>
                        <m:sty m:val="p"/>
                      </m:rPr>
                      <m:t>&gt;</m:t>
                    </m:r>
                    <m:r>
                      <m:t>0.05</m:t>
                    </m:r>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Lower Extremity Arterial Disease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Li et al</w:t>
                  </w:r>
                  <w:r>
                    <w:rPr>
                      <w:b/>
                      <w:bCs/>
                      <w:vertAlign w:val="superscript"/>
                    </w:rPr>
                    <w:t xml:space="preserve">Li2020?</w:t>
                  </w:r>
                  <w:r>
                    <w:t xml:space="preserve">, 2020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0.97</w:t>
                  </w:r>
                  <w:r>
                    <w:t xml:space="preserve">9 (0.968–0.991)</w:t>
                  </w:r>
                </w:p>
              </w:tc>
              <w:tc>
                <w:tcPr/>
                <w:p>
                  <w:pPr>
                    <w:pStyle w:val="Compact"/>
                    <w:jc w:val="center"/>
                    <w:jc w:val="center"/>
                  </w:pPr>
                  <m:oMath>
                    <m:r>
                      <m:rPr>
                        <m:sty m:val="p"/>
                      </m:rPr>
                      <m:t>&lt;</m:t>
                    </m:r>
                    <m:r>
                      <m:t>0.001</m:t>
                    </m:r>
                  </m:oMath>
                </w:p>
              </w:tc>
              <w:tc>
                <w:tcPr/>
                <w:p>
                  <w:pPr>
                    <w:pStyle w:val="Compact"/>
                    <w:jc w:val="left"/>
                    <w:jc w:val="center"/>
                  </w:pPr>
                  <w:r>
                    <w:t xml:space="preserve">OR: 0.97</w:t>
                  </w:r>
                  <w:r>
                    <w:t xml:space="preserve">9 (0.965–0.992)</w:t>
                  </w:r>
                </w:p>
              </w:tc>
              <w:tc>
                <w:tcPr/>
                <w:p>
                  <w:pPr>
                    <w:pStyle w:val="Compact"/>
                    <w:jc w:val="center"/>
                    <w:jc w:val="center"/>
                  </w:pPr>
                  <m:oMath>
                    <m:r>
                      <m:t>0.002</m:t>
                    </m:r>
                  </m:oMath>
                </w:p>
              </w:tc>
              <w:tc>
                <w:tcPr/>
                <w:p>
                  <w:pPr>
                    <w:pStyle w:val="Compact"/>
                  </w:pPr>
                </w:p>
              </w:tc>
            </w:tr>
            <w:tr>
              <w:tc>
                <w:tcPr/>
                <w:p>
                  <w:pPr>
                    <w:pStyle w:val="Compact"/>
                    <w:jc w:val="left"/>
                    <w:jc w:val="center"/>
                  </w:pPr>
                  <w:r>
                    <w:t xml:space="preserve">    CV</w:t>
                  </w:r>
                </w:p>
              </w:tc>
              <w:tc>
                <w:tcPr/>
                <w:p>
                  <w:pPr>
                    <w:pStyle w:val="Compact"/>
                    <w:jc w:val="left"/>
                    <w:jc w:val="center"/>
                  </w:pPr>
                  <w:r>
                    <w:t xml:space="preserve">OR: 1.04</w:t>
                  </w:r>
                  <w:r>
                    <w:t xml:space="preserve">0 (1.003–1.078)</w:t>
                  </w:r>
                </w:p>
              </w:tc>
              <w:tc>
                <w:tcPr/>
                <w:p>
                  <w:pPr>
                    <w:pStyle w:val="Compact"/>
                    <w:jc w:val="center"/>
                    <w:jc w:val="center"/>
                  </w:pPr>
                  <m:oMath>
                    <m:r>
                      <m:t>0.04</m:t>
                    </m:r>
                  </m:oMath>
                </w:p>
              </w:tc>
              <w:tc>
                <w:tcPr/>
                <w:p>
                  <w:pPr>
                    <w:pStyle w:val="Compact"/>
                    <w:jc w:val="left"/>
                    <w:jc w:val="center"/>
                  </w:pPr>
                  <w:r>
                    <w:t xml:space="preserve">OR: 1.03</w:t>
                  </w:r>
                  <w:r>
                    <w:t xml:space="preserve">8 (0.996–1.081)</w:t>
                  </w:r>
                </w:p>
              </w:tc>
              <w:tc>
                <w:tcPr/>
                <w:p>
                  <w:pPr>
                    <w:pStyle w:val="Compact"/>
                    <w:jc w:val="center"/>
                    <w:jc w:val="center"/>
                  </w:pPr>
                  <m:oMath>
                    <m:r>
                      <m:t>0.08</m:t>
                    </m:r>
                  </m:oMath>
                </w:p>
              </w:tc>
              <w:tc>
                <w:tcPr/>
                <w:p>
                  <w:pPr>
                    <w:pStyle w:val="Compact"/>
                  </w:pPr>
                </w:p>
              </w:tc>
            </w:tr>
            <w:tr>
              <w:tc>
                <w:tcPr/>
                <w:p>
                  <w:pPr>
                    <w:pStyle w:val="Compact"/>
                    <w:jc w:val="left"/>
                    <w:jc w:val="center"/>
                  </w:pPr>
                  <w:r>
                    <w:t xml:space="preserve">    SD</w:t>
                  </w:r>
                </w:p>
              </w:tc>
              <w:tc>
                <w:tcPr/>
                <w:p>
                  <w:pPr>
                    <w:pStyle w:val="Compact"/>
                    <w:jc w:val="left"/>
                    <w:jc w:val="center"/>
                  </w:pPr>
                  <w:r>
                    <w:t xml:space="preserve">OR: 1.32</w:t>
                  </w:r>
                  <w:r>
                    <w:t xml:space="preserve">5 (1.038–1.691)</w:t>
                  </w:r>
                </w:p>
              </w:tc>
              <w:tc>
                <w:tcPr/>
                <w:p>
                  <w:pPr>
                    <w:pStyle w:val="Compact"/>
                    <w:jc w:val="center"/>
                    <w:jc w:val="center"/>
                  </w:pPr>
                  <m:oMath>
                    <m:r>
                      <m:t>0.02</m:t>
                    </m:r>
                  </m:oMath>
                </w:p>
              </w:tc>
              <w:tc>
                <w:tcPr/>
                <w:p>
                  <w:pPr>
                    <w:pStyle w:val="Compact"/>
                    <w:jc w:val="left"/>
                    <w:jc w:val="center"/>
                  </w:pPr>
                  <w:r>
                    <w:t xml:space="preserve">OR: 1.15</w:t>
                  </w:r>
                  <w:r>
                    <w:t xml:space="preserve">8 (0.824–1.627)</w:t>
                  </w:r>
                </w:p>
              </w:tc>
              <w:tc>
                <w:tcPr/>
                <w:p>
                  <w:pPr>
                    <w:pStyle w:val="Compact"/>
                    <w:jc w:val="center"/>
                    <w:jc w:val="center"/>
                  </w:pPr>
                  <m:oMath>
                    <m:r>
                      <m:t>0.40</m:t>
                    </m:r>
                  </m:oMath>
                </w:p>
              </w:tc>
              <w:tc>
                <w:tcPr/>
                <w:p>
                  <w:pPr>
                    <w:pStyle w:val="Compact"/>
                  </w:pPr>
                </w:p>
              </w:tc>
            </w:tr>
            <w:tr>
              <w:tc>
                <w:tcPr/>
                <w:p>
                  <w:pPr>
                    <w:pStyle w:val="Compact"/>
                    <w:jc w:val="left"/>
                    <w:jc w:val="center"/>
                  </w:pPr>
                  <w:r>
                    <w:t xml:space="preserve">    TIR-without LEAD (1)</w:t>
                  </w:r>
                </w:p>
              </w:tc>
              <w:tc>
                <w:tcPr/>
                <w:p>
                  <w:pPr>
                    <w:pStyle w:val="Compact"/>
                    <w:jc w:val="left"/>
                    <w:jc w:val="center"/>
                  </w:pPr>
                  <w:r>
                    <w:t xml:space="preserve">OR: 1.00</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TIR-mild LEAD (1)</w:t>
                  </w:r>
                </w:p>
              </w:tc>
              <w:tc>
                <w:tcPr/>
                <w:p>
                  <w:pPr>
                    <w:pStyle w:val="Compact"/>
                    <w:jc w:val="left"/>
                    <w:jc w:val="center"/>
                  </w:pPr>
                  <w:r>
                    <w:t xml:space="preserve">OR: 0.98</w:t>
                  </w:r>
                  <w:r>
                    <w:t xml:space="preserve"> </w:t>
                  </w:r>
                  <w:r>
                    <w:t xml:space="preserve">(0.97–1.00)</w:t>
                  </w:r>
                </w:p>
              </w:tc>
              <w:tc>
                <w:tcPr/>
                <w:p>
                  <w:pPr>
                    <w:pStyle w:val="Compact"/>
                    <w:jc w:val="center"/>
                    <w:jc w:val="center"/>
                  </w:pPr>
                  <m:oMath>
                    <m:r>
                      <m:t>0.14</m:t>
                    </m:r>
                  </m:oMath>
                </w:p>
              </w:tc>
              <w:tc>
                <w:tcPr/>
                <w:p>
                  <w:pPr>
                    <w:pStyle w:val="Compact"/>
                    <w:jc w:val="left"/>
                    <w:jc w:val="center"/>
                  </w:pPr>
                  <w:r>
                    <w:t xml:space="preserve">OR: 0.99</w:t>
                  </w:r>
                  <w:r>
                    <w:t xml:space="preserve"> </w:t>
                  </w:r>
                  <w:r>
                    <w:t xml:space="preserve">(0.97–1.01)</w:t>
                  </w:r>
                </w:p>
              </w:tc>
              <w:tc>
                <w:tcPr/>
                <w:p>
                  <w:pPr>
                    <w:pStyle w:val="Compact"/>
                    <w:jc w:val="center"/>
                    <w:jc w:val="center"/>
                  </w:pPr>
                  <m:oMath>
                    <m:r>
                      <m:t>0.25</m:t>
                    </m:r>
                  </m:oMath>
                </w:p>
              </w:tc>
              <w:tc>
                <w:tcPr/>
                <w:p>
                  <w:pPr>
                    <w:pStyle w:val="Compact"/>
                  </w:pPr>
                </w:p>
              </w:tc>
            </w:tr>
            <w:tr>
              <w:tc>
                <w:tcPr/>
                <w:p>
                  <w:pPr>
                    <w:pStyle w:val="Compact"/>
                    <w:jc w:val="left"/>
                    <w:jc w:val="center"/>
                  </w:pPr>
                  <w:r>
                    <w:t xml:space="preserve">    TIR-moderate LEAD (1)</w:t>
                  </w:r>
                </w:p>
              </w:tc>
              <w:tc>
                <w:tcPr/>
                <w:p>
                  <w:pPr>
                    <w:pStyle w:val="Compact"/>
                    <w:jc w:val="left"/>
                    <w:jc w:val="center"/>
                  </w:pPr>
                  <w:r>
                    <w:t xml:space="preserve">OR: 0.97</w:t>
                  </w:r>
                  <w:r>
                    <w:t xml:space="preserve"> </w:t>
                  </w:r>
                  <w:r>
                    <w:t xml:space="preserve">(0.95–0.99)</w:t>
                  </w:r>
                </w:p>
              </w:tc>
              <w:tc>
                <w:tcPr/>
                <w:p>
                  <w:pPr>
                    <w:pStyle w:val="Compact"/>
                    <w:jc w:val="center"/>
                    <w:jc w:val="center"/>
                  </w:pPr>
                  <m:oMath>
                    <m:r>
                      <m:t>0.007</m:t>
                    </m:r>
                  </m:oMath>
                </w:p>
              </w:tc>
              <w:tc>
                <w:tcPr/>
                <w:p>
                  <w:pPr>
                    <w:pStyle w:val="Compact"/>
                    <w:jc w:val="left"/>
                    <w:jc w:val="center"/>
                  </w:pPr>
                  <w:r>
                    <w:t xml:space="preserve">OR: 0.97</w:t>
                  </w:r>
                  <w:r>
                    <w:t xml:space="preserve"> </w:t>
                  </w:r>
                  <w:r>
                    <w:t xml:space="preserve">(0.95–0.99)</w:t>
                  </w:r>
                </w:p>
              </w:tc>
              <w:tc>
                <w:tcPr/>
                <w:p>
                  <w:pPr>
                    <w:pStyle w:val="Compact"/>
                    <w:jc w:val="center"/>
                    <w:jc w:val="center"/>
                  </w:pPr>
                  <m:oMath>
                    <m:r>
                      <m:t>0.01</m:t>
                    </m:r>
                  </m:oMath>
                </w:p>
              </w:tc>
              <w:tc>
                <w:tcPr/>
                <w:p>
                  <w:pPr>
                    <w:pStyle w:val="Compact"/>
                  </w:pPr>
                </w:p>
              </w:tc>
            </w:tr>
            <w:tr>
              <w:tc>
                <w:tcPr/>
                <w:p>
                  <w:pPr>
                    <w:pStyle w:val="Compact"/>
                    <w:jc w:val="left"/>
                    <w:jc w:val="center"/>
                  </w:pPr>
                  <w:r>
                    <w:t xml:space="preserve">    TIR-without severe LEAD (1)</w:t>
                  </w:r>
                </w:p>
              </w:tc>
              <w:tc>
                <w:tcPr/>
                <w:p>
                  <w:pPr>
                    <w:pStyle w:val="Compact"/>
                    <w:jc w:val="left"/>
                    <w:jc w:val="center"/>
                  </w:pPr>
                  <w:r>
                    <w:t xml:space="preserve">OR: 0.96</w:t>
                  </w:r>
                  <w:r>
                    <w:t xml:space="preserve"> </w:t>
                  </w:r>
                  <w:r>
                    <w:t xml:space="preserve">(0.94–0.98)</w:t>
                  </w:r>
                </w:p>
              </w:tc>
              <w:tc>
                <w:tcPr/>
                <w:p>
                  <w:pPr>
                    <w:pStyle w:val="Compact"/>
                    <w:jc w:val="center"/>
                    <w:jc w:val="center"/>
                  </w:pPr>
                  <m:oMath>
                    <m:r>
                      <m:t>0.002</m:t>
                    </m:r>
                  </m:oMath>
                </w:p>
              </w:tc>
              <w:tc>
                <w:tcPr/>
                <w:p>
                  <w:pPr>
                    <w:pStyle w:val="Compact"/>
                    <w:jc w:val="left"/>
                    <w:jc w:val="center"/>
                  </w:pPr>
                  <w:r>
                    <w:t xml:space="preserve">OR: 0.96</w:t>
                  </w:r>
                  <w:r>
                    <w:t xml:space="preserve"> </w:t>
                  </w:r>
                  <w:r>
                    <w:t xml:space="preserve">(0.94–0.98)</w:t>
                  </w:r>
                </w:p>
              </w:tc>
              <w:tc>
                <w:tcPr/>
                <w:p>
                  <w:pPr>
                    <w:pStyle w:val="Compact"/>
                    <w:jc w:val="center"/>
                    <w:jc w:val="center"/>
                  </w:pPr>
                  <m:oMath>
                    <m:r>
                      <m:t>0.003</m:t>
                    </m:r>
                  </m:oMath>
                </w:p>
              </w:tc>
              <w:tc>
                <w:tcPr/>
                <w:p>
                  <w:pPr>
                    <w:pStyle w:val="Compact"/>
                  </w:pPr>
                </w:p>
              </w:tc>
            </w:tr>
            <w:tr>
              <w:tc>
                <w:tcPr/>
                <w:p>
                  <w:pPr>
                    <w:pStyle w:val="Compact"/>
                    <w:jc w:val="left"/>
                    <w:jc w:val="center"/>
                  </w:pPr>
                  <w:r>
                    <w:t xml:space="preserve">    CV-without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CV-mild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1.03</w:t>
                  </w:r>
                  <w:r>
                    <w:t xml:space="preserve"> </w:t>
                  </w:r>
                  <w:r>
                    <w:t xml:space="preserve">(0.98–1.07)</w:t>
                  </w:r>
                </w:p>
              </w:tc>
              <w:tc>
                <w:tcPr/>
                <w:p>
                  <w:pPr>
                    <w:pStyle w:val="Compact"/>
                    <w:jc w:val="center"/>
                    <w:jc w:val="center"/>
                  </w:pPr>
                  <m:oMath>
                    <m:r>
                      <m:t>0.28</m:t>
                    </m:r>
                  </m:oMath>
                </w:p>
              </w:tc>
              <w:tc>
                <w:tcPr/>
                <w:p>
                  <w:pPr>
                    <w:pStyle w:val="Compact"/>
                  </w:pPr>
                </w:p>
              </w:tc>
            </w:tr>
            <w:tr>
              <w:tc>
                <w:tcPr/>
                <w:p>
                  <w:pPr>
                    <w:pStyle w:val="Compact"/>
                    <w:jc w:val="left"/>
                    <w:jc w:val="center"/>
                  </w:pPr>
                  <w:r>
                    <w:t xml:space="preserve">    CV-moderate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1.02</w:t>
                  </w:r>
                  <w:r>
                    <w:t xml:space="preserve"> </w:t>
                  </w:r>
                  <w:r>
                    <w:t xml:space="preserve">(0.96–1.09)</w:t>
                  </w:r>
                </w:p>
              </w:tc>
              <w:tc>
                <w:tcPr/>
                <w:p>
                  <w:pPr>
                    <w:pStyle w:val="Compact"/>
                    <w:jc w:val="center"/>
                    <w:jc w:val="center"/>
                  </w:pPr>
                  <m:oMath>
                    <m:r>
                      <m:t>0.48</m:t>
                    </m:r>
                  </m:oMath>
                </w:p>
              </w:tc>
              <w:tc>
                <w:tcPr/>
                <w:p>
                  <w:pPr>
                    <w:pStyle w:val="Compact"/>
                  </w:pPr>
                </w:p>
              </w:tc>
            </w:tr>
            <w:tr>
              <w:tc>
                <w:tcPr/>
                <w:p>
                  <w:pPr>
                    <w:pStyle w:val="Compact"/>
                    <w:jc w:val="left"/>
                    <w:jc w:val="center"/>
                  </w:pPr>
                  <w:r>
                    <w:t xml:space="preserve">    CV-without severe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1.02</w:t>
                  </w:r>
                  <w:r>
                    <w:t xml:space="preserve"> </w:t>
                  </w:r>
                  <w:r>
                    <w:t xml:space="preserve">(0.95–1.09)</w:t>
                  </w:r>
                </w:p>
              </w:tc>
              <w:tc>
                <w:tcPr/>
                <w:p>
                  <w:pPr>
                    <w:pStyle w:val="Compact"/>
                    <w:jc w:val="center"/>
                    <w:jc w:val="center"/>
                  </w:pPr>
                  <m:oMath>
                    <m:r>
                      <m:t>0.60</m:t>
                    </m:r>
                  </m:oMath>
                </w:p>
              </w:tc>
              <w:tc>
                <w:tcPr/>
                <w:p>
                  <w:pPr>
                    <w:pStyle w:val="Compact"/>
                  </w:pPr>
                </w:p>
              </w:tc>
            </w:tr>
            <w:tr>
              <w:tc>
                <w:tcPr/>
                <w:p>
                  <w:pPr>
                    <w:pStyle w:val="Compact"/>
                    <w:jc w:val="left"/>
                    <w:jc w:val="center"/>
                  </w:pPr>
                  <w:r>
                    <w:t xml:space="preserve">    TIR-without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TIR-mild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0.97</w:t>
                  </w:r>
                  <w:r>
                    <w:t xml:space="preserve"> </w:t>
                  </w:r>
                  <w:r>
                    <w:t xml:space="preserve">(0.96–1.08)</w:t>
                  </w:r>
                </w:p>
              </w:tc>
              <w:tc>
                <w:tcPr/>
                <w:p>
                  <w:pPr>
                    <w:pStyle w:val="Compact"/>
                    <w:jc w:val="center"/>
                    <w:jc w:val="center"/>
                  </w:pPr>
                  <m:oMath>
                    <m:r>
                      <m:t>0.06</m:t>
                    </m:r>
                  </m:oMath>
                </w:p>
              </w:tc>
              <w:tc>
                <w:tcPr/>
                <w:p>
                  <w:pPr>
                    <w:pStyle w:val="Compact"/>
                  </w:pPr>
                </w:p>
              </w:tc>
            </w:tr>
            <w:tr>
              <w:tc>
                <w:tcPr/>
                <w:p>
                  <w:pPr>
                    <w:pStyle w:val="Compact"/>
                    <w:jc w:val="left"/>
                    <w:jc w:val="center"/>
                  </w:pPr>
                  <w:r>
                    <w:t xml:space="preserve">    TIR-moderate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0.98</w:t>
                  </w:r>
                  <w:r>
                    <w:t xml:space="preserve"> </w:t>
                  </w:r>
                  <w:r>
                    <w:t xml:space="preserve">(0.95–0.99)</w:t>
                  </w:r>
                </w:p>
              </w:tc>
              <w:tc>
                <w:tcPr/>
                <w:p>
                  <w:pPr>
                    <w:pStyle w:val="Compact"/>
                    <w:jc w:val="center"/>
                    <w:jc w:val="center"/>
                  </w:pPr>
                  <m:oMath>
                    <m:r>
                      <m:t>0.01</m:t>
                    </m:r>
                  </m:oMath>
                </w:p>
              </w:tc>
              <w:tc>
                <w:tcPr/>
                <w:p>
                  <w:pPr>
                    <w:pStyle w:val="Compact"/>
                  </w:pPr>
                </w:p>
              </w:tc>
            </w:tr>
            <w:tr>
              <w:tc>
                <w:tcPr/>
                <w:p>
                  <w:pPr>
                    <w:pStyle w:val="Compact"/>
                    <w:jc w:val="left"/>
                    <w:jc w:val="center"/>
                  </w:pPr>
                  <w:r>
                    <w:t xml:space="preserve">    TIR-without severe LEAD (2)</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0.97</w:t>
                  </w:r>
                  <w:r>
                    <w:t xml:space="preserve"> </w:t>
                  </w:r>
                  <w:r>
                    <w:t xml:space="preserve">(0.95–0.99)</w:t>
                  </w:r>
                </w:p>
              </w:tc>
              <w:tc>
                <w:tcPr/>
                <w:p>
                  <w:pPr>
                    <w:pStyle w:val="Compact"/>
                    <w:jc w:val="center"/>
                    <w:jc w:val="center"/>
                  </w:pPr>
                  <m:oMath>
                    <m:r>
                      <m:t>0.02</m:t>
                    </m:r>
                  </m:oMath>
                </w:p>
              </w:tc>
              <w:tc>
                <w:tcPr/>
                <w:p>
                  <w:pPr>
                    <w:pStyle w:val="Compact"/>
                  </w:pPr>
                </w:p>
              </w:tc>
            </w:tr>
            <w:tr>
              <w:tc>
                <w:tcPr/>
                <w:p>
                  <w:pPr>
                    <w:pStyle w:val="Compact"/>
                    <w:jc w:val="left"/>
                    <w:jc w:val="center"/>
                  </w:pPr>
                  <w:r>
                    <w:t xml:space="preserve">    SD-without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1.00</w:t>
                  </w:r>
                </w:p>
              </w:tc>
              <w:tc>
                <w:tcPr/>
                <w:p>
                  <w:pPr>
                    <w:pStyle w:val="Compact"/>
                    <w:jc w:val="center"/>
                    <w:jc w:val="center"/>
                  </w:pPr>
                  <w:r>
                    <w:t xml:space="preserve">—</w:t>
                  </w:r>
                </w:p>
              </w:tc>
              <w:tc>
                <w:tcPr/>
                <w:p>
                  <w:pPr>
                    <w:pStyle w:val="Compact"/>
                  </w:pPr>
                </w:p>
              </w:tc>
            </w:tr>
            <w:tr>
              <w:tc>
                <w:tcPr/>
                <w:p>
                  <w:pPr>
                    <w:pStyle w:val="Compact"/>
                    <w:jc w:val="left"/>
                    <w:jc w:val="center"/>
                  </w:pPr>
                  <w:r>
                    <w:t xml:space="preserve">    SD-mild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0.88</w:t>
                  </w:r>
                  <w:r>
                    <w:t xml:space="preserve"> </w:t>
                  </w:r>
                  <w:r>
                    <w:t xml:space="preserve">(0.47–1.64)</w:t>
                  </w:r>
                </w:p>
              </w:tc>
              <w:tc>
                <w:tcPr/>
                <w:p>
                  <w:pPr>
                    <w:pStyle w:val="Compact"/>
                    <w:jc w:val="center"/>
                    <w:jc w:val="center"/>
                  </w:pPr>
                  <m:oMath>
                    <m:r>
                      <m:t>0.69</m:t>
                    </m:r>
                  </m:oMath>
                </w:p>
              </w:tc>
              <w:tc>
                <w:tcPr/>
                <w:p>
                  <w:pPr>
                    <w:pStyle w:val="Compact"/>
                  </w:pPr>
                </w:p>
              </w:tc>
            </w:tr>
            <w:tr>
              <w:tc>
                <w:tcPr/>
                <w:p>
                  <w:pPr>
                    <w:pStyle w:val="Compact"/>
                    <w:jc w:val="left"/>
                    <w:jc w:val="center"/>
                  </w:pPr>
                  <w:r>
                    <w:t xml:space="preserve">    SD-moderate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1.28</w:t>
                  </w:r>
                  <w:r>
                    <w:t xml:space="preserve"> </w:t>
                  </w:r>
                  <w:r>
                    <w:t xml:space="preserve">(0.58–3.07)</w:t>
                  </w:r>
                </w:p>
              </w:tc>
              <w:tc>
                <w:tcPr/>
                <w:p>
                  <w:pPr>
                    <w:pStyle w:val="Compact"/>
                    <w:jc w:val="center"/>
                    <w:jc w:val="center"/>
                  </w:pPr>
                  <m:oMath>
                    <m:r>
                      <m:t>0.58</m:t>
                    </m:r>
                  </m:oMath>
                </w:p>
              </w:tc>
              <w:tc>
                <w:tcPr/>
                <w:p>
                  <w:pPr>
                    <w:pStyle w:val="Compact"/>
                  </w:pPr>
                </w:p>
              </w:tc>
            </w:tr>
            <w:tr>
              <w:tc>
                <w:tcPr/>
                <w:p>
                  <w:pPr>
                    <w:pStyle w:val="Compact"/>
                    <w:jc w:val="left"/>
                    <w:jc w:val="center"/>
                  </w:pPr>
                  <w:r>
                    <w:t xml:space="preserve">    SD-without severe LEAD</w:t>
                  </w:r>
                </w:p>
              </w:tc>
              <w:tc>
                <w:tcPr/>
                <w:p>
                  <w:pPr>
                    <w:pStyle w:val="Compact"/>
                    <w:jc w:val="left"/>
                    <w:jc w:val="center"/>
                  </w:pPr>
                  <w:r>
                    <w:t xml:space="preserve">—</w:t>
                  </w:r>
                </w:p>
              </w:tc>
              <w:tc>
                <w:tcPr/>
                <w:p>
                  <w:pPr>
                    <w:pStyle w:val="Compact"/>
                    <w:jc w:val="center"/>
                    <w:jc w:val="center"/>
                  </w:pPr>
                  <w:r>
                    <w:t xml:space="preserve">—</w:t>
                  </w:r>
                </w:p>
              </w:tc>
              <w:tc>
                <w:tcPr/>
                <w:p>
                  <w:pPr>
                    <w:pStyle w:val="Compact"/>
                    <w:jc w:val="left"/>
                    <w:jc w:val="center"/>
                  </w:pPr>
                  <w:r>
                    <w:t xml:space="preserve">OR: 1.52</w:t>
                  </w:r>
                  <w:r>
                    <w:t xml:space="preserve"> </w:t>
                  </w:r>
                  <w:r>
                    <w:t xml:space="preserve">(0.92–2.41)</w:t>
                  </w:r>
                </w:p>
              </w:tc>
              <w:tc>
                <w:tcPr/>
                <w:p>
                  <w:pPr>
                    <w:pStyle w:val="Compact"/>
                    <w:jc w:val="center"/>
                    <w:jc w:val="center"/>
                  </w:pPr>
                  <m:oMath>
                    <m:r>
                      <m:t>0.10</m:t>
                    </m:r>
                  </m:oMath>
                </w:p>
              </w:tc>
              <w:tc>
                <w:tcPr/>
                <w:p>
                  <w:pPr>
                    <w:pStyle w:val="Compact"/>
                  </w:pPr>
                </w:p>
              </w:tc>
            </w:tr>
          </w:tbl>
          <w:bookmarkEnd w:id="146"/>
          <w:p/>
        </w:tc>
      </w:tr>
    </w:tbl>
    <w:p>
      <w:pPr>
        <w:sectPr>
          <w:pgSz w:h="11906" w:w="16838" w:orient="landscape"/>
        </w:sectPr>
      </w:pPr>
    </w:p>
    <w:bookmarkEnd w:id="147"/>
    <w:bookmarkEnd w:id="148"/>
    <w:bookmarkStart w:id="151" w:name="X765c08b167377e2e85bcfb3e2c45f67c0200e12"/>
    <w:p>
      <w:pPr>
        <w:pStyle w:val="Heading2"/>
      </w:pPr>
      <w:r>
        <w:t xml:space="preserve">4.2 Baseline Characteristics Tables of the Datasets</w:t>
      </w:r>
    </w:p>
    <w:p>
      <w:pPr>
        <w:pStyle w:val="FirstParagraph"/>
      </w:pPr>
      <w:r>
        <w:t xml:space="preserve">The CANCAN dataset presented below was used in Study II (</w:t>
      </w:r>
      <w:hyperlink w:anchor="tbl-baseline-cancan">
        <w:r>
          <w:rPr>
            <w:rStyle w:val="Hyperlink"/>
          </w:rPr>
          <w:t xml:space="preserve">Table 4.12</w:t>
        </w:r>
      </w:hyperlink>
      <w:r>
        <w:t xml:space="preserve">).</w:t>
      </w:r>
      <w:r>
        <w:t xml:space="preserve"> </w:t>
      </w:r>
      <w:r>
        <w:t xml:space="preserve">The total number of included participants were 159 and 67 (42%) had elevated NT-proBNP values.</w:t>
      </w:r>
      <w:r>
        <w:t xml:space="preserve"> </w:t>
      </w:r>
      <w:r>
        <w:t xml:space="preserve">Participants with elevated NT-proBNP tended to be older, have a longer duration of diabetes, and more frequently have cardiovascular disease. They also tended to have lower BMI and lower LDL and total cholesterol concentrations, while exhibiting modestly better overall glycaemic control but slightly higher glycaemic variability.</w:t>
      </w:r>
    </w:p>
    <w:tbl>
      <w:tblPr>
        <w:tblStyle w:val="Table"/>
        <w:tblW w:type="pct" w:w="5000"/>
        <w:tblLayout w:type="fixed"/>
        <w:tblLook w:firstRow="0" w:lastRow="0" w:firstColumn="0" w:lastColumn="0" w:noHBand="0" w:noVBand="0" w:val="0000"/>
      </w:tblPr>
      <w:tblGrid>
        <w:gridCol w:w="7920"/>
      </w:tblGrid>
      <w:tr>
        <w:tc>
          <w:tcPr/>
          <w:bookmarkStart w:id="149" w:name="tbl-baseline-cancan"/>
          <w:p>
            <w:pPr>
              <w:jc w:val="center"/>
            </w:pPr>
            <w:pPr>
              <w:jc w:val="left"/>
              <w:spacing w:before="200"/>
              <w:pStyle w:val="ImageCaption"/>
            </w:pPr>
            <w:r>
              <w:t xml:space="preserve">Table 4.5: Baseline table for CANCAN data.</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Variable</w:t>
                  </w:r>
                </w:p>
              </w:tc>
              <w:tc>
                <w:tcPr/>
                <w:p>
                  <w:pPr>
                    <w:pStyle w:val="Compact"/>
                    <w:jc w:val="right"/>
                    <w:jc w:val="center"/>
                  </w:pPr>
                  <w:r>
                    <w:t xml:space="preserve">Total</w:t>
                  </w:r>
                </w:p>
              </w:tc>
              <w:tc>
                <w:tcPr/>
                <w:p>
                  <w:pPr>
                    <w:pStyle w:val="Compact"/>
                    <w:jc w:val="right"/>
                    <w:jc w:val="center"/>
                  </w:pPr>
                  <w:r>
                    <w:t xml:space="preserve">NT-proBNP $≤$125 pg/mL</w:t>
                  </w:r>
                </w:p>
              </w:tc>
              <w:tc>
                <w:tcPr/>
                <w:p>
                  <w:pPr>
                    <w:pStyle w:val="Compact"/>
                    <w:jc w:val="right"/>
                    <w:jc w:val="center"/>
                  </w:pPr>
                  <w:r>
                    <w:t xml:space="preserve">NT-proBNP &gt;125 pg/mL</w:t>
                  </w:r>
                </w:p>
              </w:tc>
            </w:tr>
            <w:tr>
              <w:tc>
                <w:tcPr/>
                <w:p>
                  <w:pPr>
                    <w:pStyle w:val="Compact"/>
                    <w:jc w:val="left"/>
                    <w:jc w:val="center"/>
                  </w:pPr>
                  <w:r>
                    <w:t xml:space="preserve">N</w:t>
                  </w:r>
                </w:p>
              </w:tc>
              <w:tc>
                <w:tcPr/>
                <w:p>
                  <w:pPr>
                    <w:pStyle w:val="Compact"/>
                    <w:jc w:val="right"/>
                    <w:jc w:val="center"/>
                  </w:pPr>
                  <w:r>
                    <w:t xml:space="preserve">159</w:t>
                  </w:r>
                </w:p>
              </w:tc>
              <w:tc>
                <w:tcPr/>
                <w:p>
                  <w:pPr>
                    <w:pStyle w:val="Compact"/>
                    <w:jc w:val="right"/>
                    <w:jc w:val="center"/>
                  </w:pPr>
                  <w:r>
                    <w:t xml:space="preserve">92</w:t>
                  </w:r>
                </w:p>
              </w:tc>
              <w:tc>
                <w:tcPr/>
                <w:p>
                  <w:pPr>
                    <w:pStyle w:val="Compact"/>
                    <w:jc w:val="right"/>
                    <w:jc w:val="center"/>
                  </w:pPr>
                  <w:r>
                    <w:t xml:space="preserve">67</w:t>
                  </w:r>
                </w:p>
              </w:tc>
            </w:tr>
            <w:tr>
              <w:tc>
                <w:tcPr/>
                <w:p>
                  <w:pPr>
                    <w:pStyle w:val="Compact"/>
                    <w:jc w:val="left"/>
                    <w:jc w:val="center"/>
                  </w:pPr>
                  <w:r>
                    <w:t xml:space="preserve">Age (years)</w:t>
                  </w:r>
                </w:p>
              </w:tc>
              <w:tc>
                <w:tcPr/>
                <w:p>
                  <w:pPr>
                    <w:pStyle w:val="Compact"/>
                    <w:jc w:val="right"/>
                    <w:jc w:val="center"/>
                  </w:pPr>
                  <w:r>
                    <w:t xml:space="preserve">65 [56, 71]</w:t>
                  </w:r>
                </w:p>
              </w:tc>
              <w:tc>
                <w:tcPr/>
                <w:p>
                  <w:pPr>
                    <w:pStyle w:val="Compact"/>
                    <w:jc w:val="right"/>
                    <w:jc w:val="center"/>
                  </w:pPr>
                  <w:r>
                    <w:t xml:space="preserve">60 [53, 68]</w:t>
                  </w:r>
                </w:p>
              </w:tc>
              <w:tc>
                <w:tcPr/>
                <w:p>
                  <w:pPr>
                    <w:pStyle w:val="Compact"/>
                    <w:jc w:val="right"/>
                    <w:jc w:val="center"/>
                  </w:pPr>
                  <w:r>
                    <w:t xml:space="preserve">68 [64, 76]</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 Male</w:t>
                  </w:r>
                </w:p>
              </w:tc>
              <w:tc>
                <w:tcPr/>
                <w:p>
                  <w:pPr>
                    <w:pStyle w:val="Compact"/>
                    <w:jc w:val="right"/>
                    <w:jc w:val="center"/>
                  </w:pPr>
                  <w:r>
                    <w:t xml:space="preserve">99 (62%)</w:t>
                  </w:r>
                </w:p>
              </w:tc>
              <w:tc>
                <w:tcPr/>
                <w:p>
                  <w:pPr>
                    <w:pStyle w:val="Compact"/>
                    <w:jc w:val="right"/>
                    <w:jc w:val="center"/>
                  </w:pPr>
                  <w:r>
                    <w:t xml:space="preserve">55 (60%)</w:t>
                  </w:r>
                </w:p>
              </w:tc>
              <w:tc>
                <w:tcPr/>
                <w:p>
                  <w:pPr>
                    <w:pStyle w:val="Compact"/>
                    <w:jc w:val="right"/>
                    <w:jc w:val="center"/>
                  </w:pPr>
                  <w:r>
                    <w:t xml:space="preserve">44 (66%)</w:t>
                  </w:r>
                </w:p>
              </w:tc>
            </w:tr>
            <w:tr>
              <w:tc>
                <w:tcPr/>
                <w:p>
                  <w:pPr>
                    <w:pStyle w:val="Compact"/>
                    <w:jc w:val="left"/>
                    <w:jc w:val="center"/>
                  </w:pPr>
                  <w:r>
                    <w:t xml:space="preserve">    – Female</w:t>
                  </w:r>
                </w:p>
              </w:tc>
              <w:tc>
                <w:tcPr/>
                <w:p>
                  <w:pPr>
                    <w:pStyle w:val="Compact"/>
                    <w:jc w:val="right"/>
                    <w:jc w:val="center"/>
                  </w:pPr>
                  <w:r>
                    <w:t xml:space="preserve">60 (38%)</w:t>
                  </w:r>
                </w:p>
              </w:tc>
              <w:tc>
                <w:tcPr/>
                <w:p>
                  <w:pPr>
                    <w:pStyle w:val="Compact"/>
                    <w:jc w:val="right"/>
                    <w:jc w:val="center"/>
                  </w:pPr>
                  <w:r>
                    <w:t xml:space="preserve">37 (40%)</w:t>
                  </w:r>
                </w:p>
              </w:tc>
              <w:tc>
                <w:tcPr/>
                <w:p>
                  <w:pPr>
                    <w:pStyle w:val="Compact"/>
                    <w:jc w:val="right"/>
                    <w:jc w:val="center"/>
                  </w:pPr>
                  <w:r>
                    <w:t xml:space="preserve">23 (34%)</w:t>
                  </w:r>
                </w:p>
              </w:tc>
            </w:tr>
            <w:tr>
              <w:tc>
                <w:tcPr/>
                <w:p>
                  <w:pPr>
                    <w:pStyle w:val="Compact"/>
                    <w:jc w:val="left"/>
                    <w:jc w:val="center"/>
                  </w:pPr>
                  <w:r>
                    <w:rPr>
                      <w:b/>
                      <w:bCs/>
                    </w:rPr>
                    <w:t xml:space="preserve">Smoking status</w:t>
                  </w:r>
                </w:p>
              </w:tc>
              <w:tc>
                <w:tcPr/>
                <w:p>
                  <w:pPr>
                    <w:pStyle w:val="Compact"/>
                  </w:pPr>
                </w:p>
              </w:tc>
              <w:tc>
                <w:tcPr/>
                <w:p>
                  <w:pPr>
                    <w:pStyle w:val="Compact"/>
                  </w:pPr>
                </w:p>
              </w:tc>
              <w:tc>
                <w:tcPr/>
                <w:p>
                  <w:pPr>
                    <w:pStyle w:val="Compact"/>
                  </w:pPr>
                </w:p>
              </w:tc>
            </w:tr>
            <w:tr>
              <w:tc>
                <w:tcPr/>
                <w:p>
                  <w:pPr>
                    <w:pStyle w:val="Compact"/>
                    <w:jc w:val="left"/>
                    <w:jc w:val="center"/>
                  </w:pPr>
                  <w:r>
                    <w:t xml:space="preserve">    – Never or former</w:t>
                  </w:r>
                </w:p>
              </w:tc>
              <w:tc>
                <w:tcPr/>
                <w:p>
                  <w:pPr>
                    <w:pStyle w:val="Compact"/>
                    <w:jc w:val="right"/>
                    <w:jc w:val="center"/>
                  </w:pPr>
                  <w:r>
                    <w:t xml:space="preserve">135 (85%)</w:t>
                  </w:r>
                </w:p>
              </w:tc>
              <w:tc>
                <w:tcPr/>
                <w:p>
                  <w:pPr>
                    <w:pStyle w:val="Compact"/>
                    <w:jc w:val="right"/>
                    <w:jc w:val="center"/>
                  </w:pPr>
                  <w:r>
                    <w:t xml:space="preserve">77 (84%)</w:t>
                  </w:r>
                </w:p>
              </w:tc>
              <w:tc>
                <w:tcPr/>
                <w:p>
                  <w:pPr>
                    <w:pStyle w:val="Compact"/>
                    <w:jc w:val="right"/>
                    <w:jc w:val="center"/>
                  </w:pPr>
                  <w:r>
                    <w:t xml:space="preserve">58 (87%)</w:t>
                  </w:r>
                </w:p>
              </w:tc>
            </w:tr>
            <w:tr>
              <w:tc>
                <w:tcPr/>
                <w:p>
                  <w:pPr>
                    <w:pStyle w:val="Compact"/>
                    <w:jc w:val="left"/>
                    <w:jc w:val="center"/>
                  </w:pPr>
                  <w:r>
                    <w:t xml:space="preserve">    – Current</w:t>
                  </w:r>
                </w:p>
              </w:tc>
              <w:tc>
                <w:tcPr/>
                <w:p>
                  <w:pPr>
                    <w:pStyle w:val="Compact"/>
                    <w:jc w:val="right"/>
                    <w:jc w:val="center"/>
                  </w:pPr>
                  <w:r>
                    <w:t xml:space="preserve">24 (15%)</w:t>
                  </w:r>
                </w:p>
              </w:tc>
              <w:tc>
                <w:tcPr/>
                <w:p>
                  <w:pPr>
                    <w:pStyle w:val="Compact"/>
                    <w:jc w:val="right"/>
                    <w:jc w:val="center"/>
                  </w:pPr>
                  <w:r>
                    <w:t xml:space="preserve">15 (16%)</w:t>
                  </w:r>
                </w:p>
              </w:tc>
              <w:tc>
                <w:tcPr/>
                <w:p>
                  <w:pPr>
                    <w:pStyle w:val="Compact"/>
                    <w:jc w:val="right"/>
                    <w:jc w:val="center"/>
                  </w:pPr>
                  <w:r>
                    <w:t xml:space="preserve">9 (13%)</w:t>
                  </w:r>
                </w:p>
              </w:tc>
            </w:tr>
            <w:tr>
              <w:tc>
                <w:tcPr/>
                <w:p>
                  <w:pPr>
                    <w:pStyle w:val="Compact"/>
                    <w:jc w:val="left"/>
                    <w:jc w:val="center"/>
                  </w:pPr>
                  <w:r>
                    <w:t xml:space="preserve">Diabetes duration (years)</w:t>
                  </w:r>
                </w:p>
              </w:tc>
              <w:tc>
                <w:tcPr/>
                <w:p>
                  <w:pPr>
                    <w:pStyle w:val="Compact"/>
                    <w:jc w:val="right"/>
                    <w:jc w:val="center"/>
                  </w:pPr>
                  <w:r>
                    <w:t xml:space="preserve">16 [11, 24]</w:t>
                  </w:r>
                </w:p>
              </w:tc>
              <w:tc>
                <w:tcPr/>
                <w:p>
                  <w:pPr>
                    <w:pStyle w:val="Compact"/>
                    <w:jc w:val="right"/>
                    <w:jc w:val="center"/>
                  </w:pPr>
                  <w:r>
                    <w:t xml:space="preserve">14 [9, 22]</w:t>
                  </w:r>
                </w:p>
              </w:tc>
              <w:tc>
                <w:tcPr/>
                <w:p>
                  <w:pPr>
                    <w:pStyle w:val="Compact"/>
                    <w:jc w:val="right"/>
                    <w:jc w:val="center"/>
                  </w:pPr>
                  <w:r>
                    <w:t xml:space="preserve">19 [14, 25]</w:t>
                  </w:r>
                </w:p>
              </w:tc>
            </w:tr>
            <w:tr>
              <w:tc>
                <w:tcPr/>
                <w:p>
                  <w:pPr>
                    <w:pStyle w:val="Compact"/>
                    <w:jc w:val="left"/>
                    <w:jc w:val="center"/>
                  </w:pPr>
                  <w:r>
                    <w:t xml:space="preserve">SCORE2-Diabetes (%)</w:t>
                  </w:r>
                </w:p>
              </w:tc>
              <w:tc>
                <w:tcPr/>
                <w:p>
                  <w:pPr>
                    <w:pStyle w:val="Compact"/>
                    <w:jc w:val="right"/>
                    <w:jc w:val="center"/>
                  </w:pPr>
                  <w:r>
                    <w:t xml:space="preserve">14.8 [9.1, 20.9]</w:t>
                  </w:r>
                </w:p>
              </w:tc>
              <w:tc>
                <w:tcPr/>
                <w:p>
                  <w:pPr>
                    <w:pStyle w:val="Compact"/>
                    <w:jc w:val="right"/>
                    <w:jc w:val="center"/>
                  </w:pPr>
                  <w:r>
                    <w:t xml:space="preserve">11.9 [7.8, 17.2]</w:t>
                  </w:r>
                </w:p>
              </w:tc>
              <w:tc>
                <w:tcPr/>
                <w:p>
                  <w:pPr>
                    <w:pStyle w:val="Compact"/>
                    <w:jc w:val="right"/>
                    <w:jc w:val="center"/>
                  </w:pPr>
                  <w:r>
                    <w:t xml:space="preserve">19.0 [13.4, 25.4]</w:t>
                  </w:r>
                </w:p>
              </w:tc>
            </w:tr>
            <w:tr>
              <w:tc>
                <w:tcPr/>
                <w:p>
                  <w:pPr>
                    <w:pStyle w:val="Compact"/>
                    <w:jc w:val="left"/>
                    <w:jc w:val="center"/>
                  </w:pPr>
                  <w:r>
                    <w:t xml:space="preserve">HbA1c (mmol/mol)</w:t>
                  </w:r>
                </w:p>
              </w:tc>
              <w:tc>
                <w:tcPr/>
                <w:p>
                  <w:pPr>
                    <w:pStyle w:val="Compact"/>
                    <w:jc w:val="right"/>
                    <w:jc w:val="center"/>
                  </w:pPr>
                  <w:r>
                    <w:t xml:space="preserve">64 [55, 80]</w:t>
                  </w:r>
                </w:p>
              </w:tc>
              <w:tc>
                <w:tcPr/>
                <w:p>
                  <w:pPr>
                    <w:pStyle w:val="Compact"/>
                    <w:jc w:val="right"/>
                    <w:jc w:val="center"/>
                  </w:pPr>
                  <w:r>
                    <w:t xml:space="preserve">66 [56, 86]</w:t>
                  </w:r>
                </w:p>
              </w:tc>
              <w:tc>
                <w:tcPr/>
                <w:p>
                  <w:pPr>
                    <w:pStyle w:val="Compact"/>
                    <w:jc w:val="right"/>
                    <w:jc w:val="center"/>
                  </w:pPr>
                  <w:r>
                    <w:t xml:space="preserve">60 [54, 72]</w:t>
                  </w:r>
                </w:p>
              </w:tc>
            </w:tr>
            <w:tr>
              <w:tc>
                <w:tcPr/>
                <w:p>
                  <w:pPr>
                    <w:pStyle w:val="Compact"/>
                    <w:jc w:val="left"/>
                    <w:jc w:val="center"/>
                  </w:pPr>
                  <w:r>
                    <w:t xml:space="preserve">Systolic blood pressure (mmHg)</w:t>
                  </w:r>
                </w:p>
              </w:tc>
              <w:tc>
                <w:tcPr/>
                <w:p>
                  <w:pPr>
                    <w:pStyle w:val="Compact"/>
                    <w:jc w:val="right"/>
                    <w:jc w:val="center"/>
                  </w:pPr>
                  <w:r>
                    <w:t xml:space="preserve">132 [123, 143]</w:t>
                  </w:r>
                </w:p>
              </w:tc>
              <w:tc>
                <w:tcPr/>
                <w:p>
                  <w:pPr>
                    <w:pStyle w:val="Compact"/>
                    <w:jc w:val="right"/>
                    <w:jc w:val="center"/>
                  </w:pPr>
                  <w:r>
                    <w:t xml:space="preserve">132 [123, 143]</w:t>
                  </w:r>
                </w:p>
              </w:tc>
              <w:tc>
                <w:tcPr/>
                <w:p>
                  <w:pPr>
                    <w:pStyle w:val="Compact"/>
                    <w:jc w:val="right"/>
                    <w:jc w:val="center"/>
                  </w:pPr>
                  <w:r>
                    <w:t xml:space="preserve">131 [122, 142]</w:t>
                  </w:r>
                </w:p>
              </w:tc>
            </w:tr>
            <w:tr>
              <w:tc>
                <w:tcPr/>
                <w:p>
                  <w:pPr>
                    <w:pStyle w:val="Compact"/>
                    <w:jc w:val="left"/>
                    <w:jc w:val="center"/>
                  </w:pPr>
                  <w:r>
                    <w:t xml:space="preserve">HDL (mmol/L)</w:t>
                  </w:r>
                </w:p>
              </w:tc>
              <w:tc>
                <w:tcPr/>
                <w:p>
                  <w:pPr>
                    <w:pStyle w:val="Compact"/>
                    <w:jc w:val="right"/>
                    <w:jc w:val="center"/>
                  </w:pPr>
                  <w:r>
                    <w:t xml:space="preserve">1.0 [0.9, 1.2]</w:t>
                  </w:r>
                </w:p>
              </w:tc>
              <w:tc>
                <w:tcPr/>
                <w:p>
                  <w:pPr>
                    <w:pStyle w:val="Compact"/>
                    <w:jc w:val="right"/>
                    <w:jc w:val="center"/>
                  </w:pPr>
                  <w:r>
                    <w:t xml:space="preserve">1.0 [0.9, 1.2]</w:t>
                  </w:r>
                </w:p>
              </w:tc>
              <w:tc>
                <w:tcPr/>
                <w:p>
                  <w:pPr>
                    <w:pStyle w:val="Compact"/>
                    <w:jc w:val="right"/>
                    <w:jc w:val="center"/>
                  </w:pPr>
                  <w:r>
                    <w:t xml:space="preserve">1.0 [0.9, 1.3]</w:t>
                  </w:r>
                </w:p>
              </w:tc>
            </w:tr>
            <w:tr>
              <w:tc>
                <w:tcPr/>
                <w:p>
                  <w:pPr>
                    <w:pStyle w:val="Compact"/>
                    <w:jc w:val="left"/>
                    <w:jc w:val="center"/>
                  </w:pPr>
                  <w:r>
                    <w:t xml:space="preserve">Total cholesterol (mmol/L)</w:t>
                  </w:r>
                </w:p>
              </w:tc>
              <w:tc>
                <w:tcPr/>
                <w:p>
                  <w:pPr>
                    <w:pStyle w:val="Compact"/>
                    <w:jc w:val="right"/>
                    <w:jc w:val="center"/>
                  </w:pPr>
                  <w:r>
                    <w:t xml:space="preserve">3.9 [3.2, 4.8]</w:t>
                  </w:r>
                </w:p>
              </w:tc>
              <w:tc>
                <w:tcPr/>
                <w:p>
                  <w:pPr>
                    <w:pStyle w:val="Compact"/>
                    <w:jc w:val="right"/>
                    <w:jc w:val="center"/>
                  </w:pPr>
                  <w:r>
                    <w:t xml:space="preserve">4.1 [3.5, 4.9]</w:t>
                  </w:r>
                </w:p>
              </w:tc>
              <w:tc>
                <w:tcPr/>
                <w:p>
                  <w:pPr>
                    <w:pStyle w:val="Compact"/>
                    <w:jc w:val="right"/>
                    <w:jc w:val="center"/>
                  </w:pPr>
                  <w:r>
                    <w:t xml:space="preserve">3.6 [3.0, 4.2]</w:t>
                  </w:r>
                </w:p>
              </w:tc>
            </w:tr>
            <w:tr>
              <w:tc>
                <w:tcPr/>
                <w:p>
                  <w:pPr>
                    <w:pStyle w:val="Compact"/>
                    <w:jc w:val="left"/>
                    <w:jc w:val="center"/>
                  </w:pPr>
                  <w:r>
                    <w:t xml:space="preserve">eGFR (mL/min/1.73 m²)</w:t>
                  </w:r>
                </w:p>
              </w:tc>
              <w:tc>
                <w:tcPr/>
                <w:p>
                  <w:pPr>
                    <w:pStyle w:val="Compact"/>
                    <w:jc w:val="right"/>
                    <w:jc w:val="center"/>
                  </w:pPr>
                  <w:r>
                    <w:t xml:space="preserve">57 [39, 74]</w:t>
                  </w:r>
                </w:p>
              </w:tc>
              <w:tc>
                <w:tcPr/>
                <w:p>
                  <w:pPr>
                    <w:pStyle w:val="Compact"/>
                    <w:jc w:val="right"/>
                    <w:jc w:val="center"/>
                  </w:pPr>
                  <w:r>
                    <w:t xml:space="preserve">68 [52, 82]</w:t>
                  </w:r>
                </w:p>
              </w:tc>
              <w:tc>
                <w:tcPr/>
                <w:p>
                  <w:pPr>
                    <w:pStyle w:val="Compact"/>
                    <w:jc w:val="right"/>
                    <w:jc w:val="center"/>
                  </w:pPr>
                  <w:r>
                    <w:t xml:space="preserve">48 [27, 63]</w:t>
                  </w:r>
                </w:p>
              </w:tc>
            </w:tr>
            <w:tr>
              <w:tc>
                <w:tcPr/>
                <w:p>
                  <w:pPr>
                    <w:pStyle w:val="Compact"/>
                    <w:jc w:val="left"/>
                    <w:jc w:val="center"/>
                  </w:pPr>
                  <w:r>
                    <w:rPr>
                      <w:b/>
                      <w:bCs/>
                    </w:rP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13 [10, 13]</w:t>
                  </w:r>
                </w:p>
              </w:tc>
              <w:tc>
                <w:tcPr/>
                <w:p>
                  <w:pPr>
                    <w:pStyle w:val="Compact"/>
                    <w:jc w:val="right"/>
                    <w:jc w:val="center"/>
                  </w:pPr>
                  <w:r>
                    <w:t xml:space="preserve">13 [9, 13]</w:t>
                  </w:r>
                </w:p>
              </w:tc>
              <w:tc>
                <w:tcPr/>
                <w:p>
                  <w:pPr>
                    <w:pStyle w:val="Compact"/>
                    <w:jc w:val="right"/>
                    <w:jc w:val="center"/>
                  </w:pPr>
                  <w:r>
                    <w:t xml:space="preserve">13 [10, 13]</w:t>
                  </w:r>
                </w:p>
              </w:tc>
            </w:tr>
            <w:tr>
              <w:tc>
                <w:tcPr/>
                <w:p>
                  <w:pPr>
                    <w:pStyle w:val="Compact"/>
                    <w:jc w:val="left"/>
                    <w:jc w:val="center"/>
                  </w:pPr>
                  <w:r>
                    <w:t xml:space="preserve">    – Glucose management</w:t>
                  </w:r>
                </w:p>
              </w:tc>
              <w:tc>
                <w:tcPr/>
                <w:p>
                  <w:pPr>
                    <w:pStyle w:val="Compact"/>
                    <w:jc w:val="right"/>
                    <w:jc w:val="center"/>
                  </w:pPr>
                  <w:r>
                    <w:t xml:space="preserve">7.3 [6.8, 8.4]</w:t>
                  </w:r>
                </w:p>
              </w:tc>
              <w:tc>
                <w:tcPr/>
                <w:p>
                  <w:pPr>
                    <w:pStyle w:val="Compact"/>
                    <w:jc w:val="right"/>
                    <w:jc w:val="center"/>
                  </w:pPr>
                  <w:r>
                    <w:t xml:space="preserve">7.5 [6.8, 8.6]</w:t>
                  </w:r>
                </w:p>
              </w:tc>
              <w:tc>
                <w:tcPr/>
                <w:p>
                  <w:pPr>
                    <w:pStyle w:val="Compact"/>
                    <w:jc w:val="right"/>
                    <w:jc w:val="center"/>
                  </w:pPr>
                  <w:r>
                    <w:t xml:space="preserve">7.2 [6.7, 8.0]</w:t>
                  </w:r>
                </w:p>
              </w:tc>
            </w:tr>
            <w:tr>
              <w:tc>
                <w:tcPr/>
                <w:p>
                  <w:pPr>
                    <w:pStyle w:val="Compact"/>
                    <w:jc w:val="left"/>
                    <w:jc w:val="center"/>
                  </w:pPr>
                  <w:r>
                    <w:t xml:space="preserve">       indicator (%)</w:t>
                  </w:r>
                </w:p>
              </w:tc>
              <w:tc>
                <w:tcPr/>
                <w:p>
                  <w:pPr>
                    <w:pStyle w:val="Compact"/>
                  </w:pPr>
                </w:p>
              </w:tc>
              <w:tc>
                <w:tcPr/>
                <w:p>
                  <w:pPr>
                    <w:pStyle w:val="Compact"/>
                  </w:pPr>
                </w:p>
              </w:tc>
              <w:tc>
                <w:tcPr/>
                <w:p>
                  <w:pPr>
                    <w:pStyle w:val="Compact"/>
                  </w:pPr>
                </w:p>
              </w:tc>
            </w:tr>
            <w:tr>
              <w:tc>
                <w:tcPr/>
                <w:p>
                  <w:pPr>
                    <w:pStyle w:val="Compact"/>
                    <w:jc w:val="left"/>
                    <w:jc w:val="center"/>
                  </w:pPr>
                  <w:r>
                    <w:t xml:space="preserve">    – Time in range (%)</w:t>
                  </w:r>
                </w:p>
              </w:tc>
              <w:tc>
                <w:tcPr/>
                <w:p>
                  <w:pPr>
                    <w:pStyle w:val="Compact"/>
                    <w:jc w:val="right"/>
                    <w:jc w:val="center"/>
                  </w:pPr>
                  <w:r>
                    <w:t xml:space="preserve">59.6 [31.9, 78.9]</w:t>
                  </w:r>
                </w:p>
              </w:tc>
              <w:tc>
                <w:tcPr/>
                <w:p>
                  <w:pPr>
                    <w:pStyle w:val="Compact"/>
                    <w:jc w:val="right"/>
                    <w:jc w:val="center"/>
                  </w:pPr>
                  <w:r>
                    <w:t xml:space="preserve">58.2 [20.2, 78.6]</w:t>
                  </w:r>
                </w:p>
              </w:tc>
              <w:tc>
                <w:tcPr/>
                <w:p>
                  <w:pPr>
                    <w:pStyle w:val="Compact"/>
                    <w:jc w:val="right"/>
                    <w:jc w:val="center"/>
                  </w:pPr>
                  <w:r>
                    <w:t xml:space="preserve">62.1 [40.8, 81.0]</w:t>
                  </w:r>
                </w:p>
              </w:tc>
            </w:tr>
            <w:tr>
              <w:tc>
                <w:tcPr/>
                <w:p>
                  <w:pPr>
                    <w:pStyle w:val="Compact"/>
                    <w:jc w:val="left"/>
                    <w:jc w:val="center"/>
                  </w:pPr>
                  <w:r>
                    <w:t xml:space="preserve">    – Time below range (%)</w:t>
                  </w:r>
                </w:p>
              </w:tc>
              <w:tc>
                <w:tcPr/>
                <w:p>
                  <w:pPr>
                    <w:pStyle w:val="Compact"/>
                    <w:jc w:val="right"/>
                    <w:jc w:val="center"/>
                  </w:pPr>
                  <w:r>
                    <w:t xml:space="preserve">0.0 [0.0, 1.5]</w:t>
                  </w:r>
                </w:p>
              </w:tc>
              <w:tc>
                <w:tcPr/>
                <w:p>
                  <w:pPr>
                    <w:pStyle w:val="Compact"/>
                    <w:jc w:val="right"/>
                    <w:jc w:val="center"/>
                  </w:pPr>
                  <w:r>
                    <w:t xml:space="preserve">0.0 [0.0, 0.8]</w:t>
                  </w:r>
                </w:p>
              </w:tc>
              <w:tc>
                <w:tcPr/>
                <w:p>
                  <w:pPr>
                    <w:pStyle w:val="Compact"/>
                    <w:jc w:val="right"/>
                    <w:jc w:val="center"/>
                  </w:pPr>
                  <w:r>
                    <w:t xml:space="preserve">0.2 [0.0, 2.0]</w:t>
                  </w:r>
                </w:p>
              </w:tc>
            </w:tr>
            <w:tr>
              <w:tc>
                <w:tcPr/>
                <w:p>
                  <w:pPr>
                    <w:pStyle w:val="Compact"/>
                    <w:jc w:val="left"/>
                    <w:jc w:val="center"/>
                  </w:pPr>
                  <w:r>
                    <w:t xml:space="preserve">    – Time above range (%)</w:t>
                  </w:r>
                </w:p>
              </w:tc>
              <w:tc>
                <w:tcPr/>
                <w:p>
                  <w:pPr>
                    <w:pStyle w:val="Compact"/>
                    <w:jc w:val="right"/>
                    <w:jc w:val="center"/>
                  </w:pPr>
                  <w:r>
                    <w:t xml:space="preserve">36.6 [17.6, 68.1]</w:t>
                  </w:r>
                </w:p>
              </w:tc>
              <w:tc>
                <w:tcPr/>
                <w:p>
                  <w:pPr>
                    <w:pStyle w:val="Compact"/>
                    <w:jc w:val="right"/>
                    <w:jc w:val="center"/>
                  </w:pPr>
                  <w:r>
                    <w:t xml:space="preserve">41.8 [19.8, 79.5]</w:t>
                  </w:r>
                </w:p>
              </w:tc>
              <w:tc>
                <w:tcPr/>
                <w:p>
                  <w:pPr>
                    <w:pStyle w:val="Compact"/>
                    <w:jc w:val="right"/>
                    <w:jc w:val="center"/>
                  </w:pPr>
                  <w:r>
                    <w:t xml:space="preserve">33.1 [14.1, 58.2]</w:t>
                  </w:r>
                </w:p>
              </w:tc>
            </w:tr>
            <w:tr>
              <w:tc>
                <w:tcPr/>
                <w:p>
                  <w:pPr>
                    <w:pStyle w:val="Compact"/>
                    <w:jc w:val="left"/>
                    <w:jc w:val="center"/>
                  </w:pPr>
                  <w:r>
                    <w:t xml:space="preserve">    – Coefficient of variation (%)</w:t>
                  </w:r>
                </w:p>
              </w:tc>
              <w:tc>
                <w:tcPr/>
                <w:p>
                  <w:pPr>
                    <w:pStyle w:val="Compact"/>
                    <w:jc w:val="right"/>
                    <w:jc w:val="center"/>
                  </w:pPr>
                  <w:r>
                    <w:t xml:space="preserve">27.3 [22.5, 31.9]</w:t>
                  </w:r>
                </w:p>
              </w:tc>
              <w:tc>
                <w:tcPr/>
                <w:p>
                  <w:pPr>
                    <w:pStyle w:val="Compact"/>
                    <w:jc w:val="right"/>
                    <w:jc w:val="center"/>
                  </w:pPr>
                  <w:r>
                    <w:t xml:space="preserve">25.3 [21.2, 30.3]</w:t>
                  </w:r>
                </w:p>
              </w:tc>
              <w:tc>
                <w:tcPr/>
                <w:p>
                  <w:pPr>
                    <w:pStyle w:val="Compact"/>
                    <w:jc w:val="right"/>
                    <w:jc w:val="center"/>
                  </w:pPr>
                  <w:r>
                    <w:t xml:space="preserve">28.3[24.8, 34.2]</w:t>
                  </w:r>
                </w:p>
              </w:tc>
            </w:tr>
            <w:tr>
              <w:tc>
                <w:tcPr/>
                <w:p>
                  <w:pPr>
                    <w:pStyle w:val="Compact"/>
                    <w:jc w:val="left"/>
                    <w:jc w:val="center"/>
                  </w:pPr>
                  <w:r>
                    <w:t xml:space="preserve">    – Mean amplitude of</w:t>
                  </w:r>
                </w:p>
              </w:tc>
              <w:tc>
                <w:tcPr/>
                <w:p>
                  <w:pPr>
                    <w:pStyle w:val="Compact"/>
                    <w:jc w:val="right"/>
                    <w:jc w:val="center"/>
                  </w:pPr>
                  <w:r>
                    <w:t xml:space="preserve">6.3 [5.0, 7.9]</w:t>
                  </w:r>
                </w:p>
              </w:tc>
              <w:tc>
                <w:tcPr/>
                <w:p>
                  <w:pPr>
                    <w:pStyle w:val="Compact"/>
                    <w:jc w:val="right"/>
                    <w:jc w:val="center"/>
                  </w:pPr>
                  <w:r>
                    <w:t xml:space="preserve">6.0 [4.9, 7.7]</w:t>
                  </w:r>
                </w:p>
              </w:tc>
              <w:tc>
                <w:tcPr/>
                <w:p>
                  <w:pPr>
                    <w:pStyle w:val="Compact"/>
                    <w:jc w:val="right"/>
                    <w:jc w:val="center"/>
                  </w:pPr>
                  <w:r>
                    <w:t xml:space="preserve">6.7 [5.1, 8.5]</w:t>
                  </w:r>
                </w:p>
              </w:tc>
            </w:tr>
            <w:tr>
              <w:tc>
                <w:tcPr/>
                <w:p>
                  <w:pPr>
                    <w:pStyle w:val="Compact"/>
                    <w:jc w:val="left"/>
                    <w:jc w:val="center"/>
                  </w:pPr>
                  <w:r>
                    <w:t xml:space="preserve">      glycemic excursions (mmol/L)</w:t>
                  </w:r>
                </w:p>
              </w:tc>
              <w:tc>
                <w:tcPr/>
                <w:p>
                  <w:pPr>
                    <w:pStyle w:val="Compact"/>
                  </w:pPr>
                </w:p>
              </w:tc>
              <w:tc>
                <w:tcPr/>
                <w:p>
                  <w:pPr>
                    <w:pStyle w:val="Compact"/>
                  </w:pPr>
                </w:p>
              </w:tc>
              <w:tc>
                <w:tcPr/>
                <w:p>
                  <w:pPr>
                    <w:pStyle w:val="Compact"/>
                  </w:pPr>
                </w:p>
              </w:tc>
            </w:tr>
          </w:tbl>
          <w:bookmarkEnd w:id="149"/>
          <w:p/>
        </w:tc>
      </w:tr>
    </w:tbl>
    <w:p>
      <w:pPr>
        <w:pStyle w:val="BodyText"/>
      </w:pPr>
      <w:r>
        <w:t xml:space="preserve">The T1DX dataset presented below was used in Study II and Study III (</w:t>
      </w:r>
      <w:hyperlink w:anchor="tbl-baseline-t1dx">
        <w:r>
          <w:rPr>
            <w:rStyle w:val="Hyperlink"/>
          </w:rPr>
          <w:t xml:space="preserve">Table 4.13</w:t>
        </w:r>
      </w:hyperlink>
      <w:r>
        <w:t xml:space="preserve">).</w:t>
      </w:r>
      <w:r>
        <w:t xml:space="preserve"> </w:t>
      </w:r>
      <w:r>
        <w:t xml:space="preserve">A total of 205 participants were included, of whom 101 (49%) were White. Compared with Black participants, White participants tended to have lower HbA1c levels (63 mmol/mol vs. 72 mmol/mol ) and a higher proportion of children (49% vs. 32%). Females constituted the majority of both racial groups (46% and 40%).</w:t>
      </w:r>
    </w:p>
    <w:tbl>
      <w:tblPr>
        <w:tblStyle w:val="Table"/>
        <w:tblW w:type="pct" w:w="5000"/>
        <w:tblLayout w:type="fixed"/>
        <w:tblLook w:firstRow="0" w:lastRow="0" w:firstColumn="0" w:lastColumn="0" w:noHBand="0" w:noVBand="0" w:val="0000"/>
      </w:tblPr>
      <w:tblGrid>
        <w:gridCol w:w="7920"/>
      </w:tblGrid>
      <w:tr>
        <w:tc>
          <w:tcPr/>
          <w:bookmarkStart w:id="150" w:name="tbl-baseline-t1dx"/>
          <w:p>
            <w:pPr>
              <w:jc w:val="center"/>
            </w:pPr>
            <w:pPr>
              <w:jc w:val="left"/>
              <w:spacing w:before="200"/>
              <w:pStyle w:val="ImageCaption"/>
            </w:pPr>
            <w:r>
              <w:t xml:space="preserve">Table 4.6: Baseline table for T1DX data.</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Characteristics</w:t>
                  </w:r>
                </w:p>
              </w:tc>
              <w:tc>
                <w:tcPr/>
                <w:p>
                  <w:pPr>
                    <w:pStyle w:val="Compact"/>
                    <w:jc w:val="right"/>
                    <w:jc w:val="center"/>
                  </w:pPr>
                  <w:r>
                    <w:t xml:space="preserve">Total</w:t>
                  </w:r>
                </w:p>
              </w:tc>
              <w:tc>
                <w:tcPr/>
                <w:p>
                  <w:pPr>
                    <w:pStyle w:val="Compact"/>
                    <w:jc w:val="right"/>
                    <w:jc w:val="center"/>
                  </w:pPr>
                  <w:r>
                    <w:t xml:space="preserve">Race: White</w:t>
                  </w:r>
                </w:p>
              </w:tc>
              <w:tc>
                <w:tcPr/>
                <w:p>
                  <w:pPr>
                    <w:pStyle w:val="Compact"/>
                    <w:jc w:val="right"/>
                    <w:jc w:val="center"/>
                  </w:pPr>
                  <w:r>
                    <w:t xml:space="preserve">Race: Black</w:t>
                  </w:r>
                </w:p>
              </w:tc>
            </w:tr>
            <w:tr>
              <w:tc>
                <w:tcPr/>
                <w:p>
                  <w:pPr>
                    <w:pStyle w:val="Compact"/>
                    <w:jc w:val="left"/>
                    <w:jc w:val="center"/>
                  </w:pPr>
                  <w:r>
                    <w:t xml:space="preserve">N</w:t>
                  </w:r>
                </w:p>
              </w:tc>
              <w:tc>
                <w:tcPr/>
                <w:p>
                  <w:pPr>
                    <w:pStyle w:val="Compact"/>
                    <w:jc w:val="right"/>
                    <w:jc w:val="center"/>
                  </w:pPr>
                  <w:r>
                    <w:t xml:space="preserve">205</w:t>
                  </w:r>
                </w:p>
              </w:tc>
              <w:tc>
                <w:tcPr/>
                <w:p>
                  <w:pPr>
                    <w:pStyle w:val="Compact"/>
                    <w:jc w:val="right"/>
                    <w:jc w:val="center"/>
                  </w:pPr>
                  <w:r>
                    <w:t xml:space="preserve">101</w:t>
                  </w:r>
                </w:p>
              </w:tc>
              <w:tc>
                <w:tcPr/>
                <w:p>
                  <w:pPr>
                    <w:pStyle w:val="Compact"/>
                    <w:jc w:val="right"/>
                    <w:jc w:val="center"/>
                  </w:pPr>
                  <w:r>
                    <w:t xml:space="preserve">104</w:t>
                  </w:r>
                </w:p>
              </w:tc>
            </w:tr>
            <w:tr>
              <w:tc>
                <w:tcPr/>
                <w:p>
                  <w:pPr>
                    <w:pStyle w:val="Compact"/>
                    <w:jc w:val="left"/>
                    <w:jc w:val="center"/>
                  </w:pPr>
                  <w:r>
                    <w:t xml:space="preserve">Race (White)</w:t>
                  </w:r>
                </w:p>
              </w:tc>
              <w:tc>
                <w:tcPr/>
                <w:p>
                  <w:pPr>
                    <w:pStyle w:val="Compact"/>
                    <w:jc w:val="right"/>
                    <w:jc w:val="center"/>
                  </w:pPr>
                  <w:r>
                    <w:t xml:space="preserve">101 (49%)</w:t>
                  </w:r>
                </w:p>
              </w:tc>
              <w:tc>
                <w:tcPr/>
                <w:p>
                  <w:pPr>
                    <w:pStyle w:val="Compact"/>
                    <w:jc w:val="right"/>
                    <w:jc w:val="center"/>
                  </w:pPr>
                  <w:r>
                    <w:t xml:space="preserve">101 (100%)</w:t>
                  </w:r>
                </w:p>
              </w:tc>
              <w:tc>
                <w:tcPr/>
                <w:p>
                  <w:pPr>
                    <w:pStyle w:val="Compact"/>
                    <w:jc w:val="right"/>
                    <w:jc w:val="center"/>
                  </w:pPr>
                  <w:r>
                    <w:t xml:space="preserve">0 (0%)</w:t>
                  </w:r>
                </w:p>
              </w:tc>
            </w:tr>
            <w:tr>
              <w:tc>
                <w:tcPr/>
                <w:p>
                  <w:pPr>
                    <w:pStyle w:val="Compact"/>
                    <w:jc w:val="left"/>
                    <w:jc w:val="center"/>
                  </w:pPr>
                  <w:r>
                    <w:t xml:space="preserve">Sex (male)</w:t>
                  </w:r>
                </w:p>
              </w:tc>
              <w:tc>
                <w:tcPr/>
                <w:p>
                  <w:pPr>
                    <w:pStyle w:val="Compact"/>
                    <w:jc w:val="right"/>
                    <w:jc w:val="center"/>
                  </w:pPr>
                  <w:r>
                    <w:t xml:space="preserve">88 (43%)</w:t>
                  </w:r>
                </w:p>
              </w:tc>
              <w:tc>
                <w:tcPr/>
                <w:p>
                  <w:pPr>
                    <w:pStyle w:val="Compact"/>
                    <w:jc w:val="right"/>
                    <w:jc w:val="center"/>
                  </w:pPr>
                  <w:r>
                    <w:t xml:space="preserve">46 (46%)</w:t>
                  </w:r>
                </w:p>
              </w:tc>
              <w:tc>
                <w:tcPr/>
                <w:p>
                  <w:pPr>
                    <w:pStyle w:val="Compact"/>
                    <w:jc w:val="right"/>
                    <w:jc w:val="center"/>
                  </w:pPr>
                  <w:r>
                    <w:t xml:space="preserve">42 (40%)</w:t>
                  </w:r>
                </w:p>
              </w:tc>
            </w:tr>
            <w:tr>
              <w:tc>
                <w:tcPr/>
                <w:p>
                  <w:pPr>
                    <w:pStyle w:val="Compact"/>
                    <w:jc w:val="left"/>
                    <w:jc w:val="center"/>
                  </w:pPr>
                  <w:r>
                    <w:t xml:space="preserve">Age (years)</w:t>
                  </w:r>
                </w:p>
              </w:tc>
              <w:tc>
                <w:tcPr/>
                <w:p>
                  <w:pPr>
                    <w:pStyle w:val="Compact"/>
                    <w:jc w:val="right"/>
                    <w:jc w:val="center"/>
                  </w:pPr>
                  <w:r>
                    <w:t xml:space="preserve">28 [15, 47]</w:t>
                  </w:r>
                </w:p>
              </w:tc>
              <w:tc>
                <w:tcPr/>
                <w:p>
                  <w:pPr>
                    <w:pStyle w:val="Compact"/>
                    <w:jc w:val="right"/>
                    <w:jc w:val="center"/>
                  </w:pPr>
                  <w:r>
                    <w:t xml:space="preserve">22 [13, 46]</w:t>
                  </w:r>
                </w:p>
              </w:tc>
              <w:tc>
                <w:tcPr/>
                <w:p>
                  <w:pPr>
                    <w:pStyle w:val="Compact"/>
                    <w:jc w:val="right"/>
                    <w:jc w:val="center"/>
                  </w:pPr>
                  <w:r>
                    <w:t xml:space="preserve">32 [16, 47]</w:t>
                  </w:r>
                </w:p>
              </w:tc>
            </w:tr>
            <w:tr>
              <w:tc>
                <w:tcPr/>
                <w:p>
                  <w:pPr>
                    <w:pStyle w:val="Compact"/>
                    <w:jc w:val="left"/>
                    <w:jc w:val="center"/>
                  </w:pPr>
                  <w:r>
                    <w:t xml:space="preserve">Age group (child, &lt; 18 yrs)</w:t>
                  </w:r>
                </w:p>
              </w:tc>
              <w:tc>
                <w:tcPr/>
                <w:p>
                  <w:pPr>
                    <w:pStyle w:val="Compact"/>
                    <w:jc w:val="right"/>
                    <w:jc w:val="center"/>
                  </w:pPr>
                  <w:r>
                    <w:t xml:space="preserve">82 (40%)</w:t>
                  </w:r>
                </w:p>
              </w:tc>
              <w:tc>
                <w:tcPr/>
                <w:p>
                  <w:pPr>
                    <w:pStyle w:val="Compact"/>
                    <w:jc w:val="right"/>
                    <w:jc w:val="center"/>
                  </w:pPr>
                  <w:r>
                    <w:t xml:space="preserve">49 (49%)</w:t>
                  </w:r>
                </w:p>
              </w:tc>
              <w:tc>
                <w:tcPr/>
                <w:p>
                  <w:pPr>
                    <w:pStyle w:val="Compact"/>
                    <w:jc w:val="right"/>
                    <w:jc w:val="center"/>
                  </w:pPr>
                  <w:r>
                    <w:t xml:space="preserve">33 (32%)</w:t>
                  </w:r>
                </w:p>
              </w:tc>
            </w:tr>
            <w:tr>
              <w:tc>
                <w:tcPr/>
                <w:p>
                  <w:pPr>
                    <w:pStyle w:val="Compact"/>
                    <w:jc w:val="left"/>
                    <w:jc w:val="center"/>
                  </w:pPr>
                  <w:r>
                    <w:t xml:space="preserve">Age at T1D diagnosis (years)</w:t>
                  </w:r>
                </w:p>
              </w:tc>
              <w:tc>
                <w:tcPr/>
                <w:p>
                  <w:pPr>
                    <w:pStyle w:val="Compact"/>
                    <w:jc w:val="right"/>
                    <w:jc w:val="center"/>
                  </w:pPr>
                  <w:r>
                    <w:t xml:space="preserve">11 [7, 22]</w:t>
                  </w:r>
                </w:p>
              </w:tc>
              <w:tc>
                <w:tcPr/>
                <w:p>
                  <w:pPr>
                    <w:pStyle w:val="Compact"/>
                    <w:jc w:val="right"/>
                    <w:jc w:val="center"/>
                  </w:pPr>
                  <w:r>
                    <w:t xml:space="preserve">9 [6, 16]</w:t>
                  </w:r>
                </w:p>
              </w:tc>
              <w:tc>
                <w:tcPr/>
                <w:p>
                  <w:pPr>
                    <w:pStyle w:val="Compact"/>
                    <w:jc w:val="right"/>
                    <w:jc w:val="center"/>
                  </w:pPr>
                  <w:r>
                    <w:t xml:space="preserve">14 [8, 25]</w:t>
                  </w:r>
                </w:p>
              </w:tc>
            </w:tr>
            <w:tr>
              <w:tc>
                <w:tcPr/>
                <w:p>
                  <w:pPr>
                    <w:pStyle w:val="Compact"/>
                    <w:jc w:val="left"/>
                    <w:jc w:val="center"/>
                  </w:pPr>
                  <w:r>
                    <w:t xml:space="preserve">BMI (</w:t>
                  </w:r>
                  <m:oMath>
                    <m:sSup>
                      <m:e>
                        <m:r>
                          <m:rPr>
                            <m:nor/>
                            <m:sty m:val="p"/>
                          </m:rPr>
                          <m:t>kg/m</m:t>
                        </m:r>
                      </m:e>
                      <m:sup>
                        <m:r>
                          <m:t>2</m:t>
                        </m:r>
                      </m:sup>
                    </m:sSup>
                  </m:oMath>
                  <w:r>
                    <w:t xml:space="preserve">)</w:t>
                  </w:r>
                </w:p>
              </w:tc>
              <w:tc>
                <w:tcPr/>
                <w:p>
                  <w:pPr>
                    <w:pStyle w:val="Compact"/>
                    <w:jc w:val="right"/>
                    <w:jc w:val="center"/>
                  </w:pPr>
                  <w:r>
                    <w:t xml:space="preserve">25.1 [21.7, 29.2]</w:t>
                  </w:r>
                </w:p>
              </w:tc>
              <w:tc>
                <w:tcPr/>
                <w:p>
                  <w:pPr>
                    <w:pStyle w:val="Compact"/>
                    <w:jc w:val="right"/>
                    <w:jc w:val="center"/>
                  </w:pPr>
                  <w:r>
                    <w:t xml:space="preserve">24.0 [20.7, 28.6]</w:t>
                  </w:r>
                </w:p>
              </w:tc>
              <w:tc>
                <w:tcPr/>
                <w:p>
                  <w:pPr>
                    <w:pStyle w:val="Compact"/>
                    <w:jc w:val="right"/>
                    <w:jc w:val="center"/>
                  </w:pPr>
                  <w:r>
                    <w:t xml:space="preserve">26.7 [22.3, 30.0]</w:t>
                  </w:r>
                </w:p>
              </w:tc>
            </w:tr>
            <w:tr>
              <w:tc>
                <w:tcPr/>
                <w:p>
                  <w:pPr>
                    <w:pStyle w:val="Compact"/>
                    <w:jc w:val="left"/>
                    <w:jc w:val="center"/>
                  </w:pPr>
                  <w:r>
                    <w:t xml:space="preserve">HbA1c (mmol/mol)</w:t>
                  </w:r>
                </w:p>
              </w:tc>
              <w:tc>
                <w:tcPr/>
                <w:p>
                  <w:pPr>
                    <w:pStyle w:val="Compact"/>
                    <w:jc w:val="right"/>
                    <w:jc w:val="center"/>
                  </w:pPr>
                  <w:r>
                    <w:t xml:space="preserve">67 [57, 78]</w:t>
                  </w:r>
                </w:p>
              </w:tc>
              <w:tc>
                <w:tcPr/>
                <w:p>
                  <w:pPr>
                    <w:pStyle w:val="Compact"/>
                    <w:jc w:val="right"/>
                    <w:jc w:val="center"/>
                  </w:pPr>
                  <w:r>
                    <w:t xml:space="preserve">63 [55, 73]</w:t>
                  </w:r>
                </w:p>
              </w:tc>
              <w:tc>
                <w:tcPr/>
                <w:p>
                  <w:pPr>
                    <w:pStyle w:val="Compact"/>
                    <w:jc w:val="right"/>
                    <w:jc w:val="center"/>
                  </w:pPr>
                  <w:r>
                    <w:t xml:space="preserve">72 [60, 85]</w:t>
                  </w:r>
                </w:p>
              </w:tc>
            </w:tr>
            <w:tr>
              <w:tc>
                <w:tcPr/>
                <w:p>
                  <w:pPr>
                    <w:pStyle w:val="Compact"/>
                    <w:jc w:val="left"/>
                    <w:jc w:val="center"/>
                  </w:pPr>
                  <w:r>
                    <w:rPr>
                      <w:b/>
                      <w:bCs/>
                    </w:rP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58 [46, 69]</w:t>
                  </w:r>
                </w:p>
              </w:tc>
              <w:tc>
                <w:tcPr/>
                <w:p>
                  <w:pPr>
                    <w:pStyle w:val="Compact"/>
                    <w:jc w:val="right"/>
                    <w:jc w:val="center"/>
                  </w:pPr>
                  <w:r>
                    <w:t xml:space="preserve">63 [47, 71]</w:t>
                  </w:r>
                </w:p>
              </w:tc>
              <w:tc>
                <w:tcPr/>
                <w:p>
                  <w:pPr>
                    <w:pStyle w:val="Compact"/>
                    <w:jc w:val="right"/>
                    <w:jc w:val="center"/>
                  </w:pPr>
                  <w:r>
                    <w:t xml:space="preserve">56 [45, 66]</w:t>
                  </w:r>
                </w:p>
              </w:tc>
            </w:tr>
            <w:tr>
              <w:tc>
                <w:tcPr/>
                <w:p>
                  <w:pPr>
                    <w:pStyle w:val="Compact"/>
                    <w:jc w:val="left"/>
                    <w:jc w:val="center"/>
                  </w:pPr>
                  <w:r>
                    <w:t xml:space="preserve">    – Glucose management</w:t>
                  </w:r>
                </w:p>
              </w:tc>
              <w:tc>
                <w:tcPr/>
                <w:p>
                  <w:pPr>
                    <w:pStyle w:val="Compact"/>
                    <w:jc w:val="right"/>
                    <w:jc w:val="center"/>
                  </w:pPr>
                  <w:r>
                    <w:t xml:space="preserve">7.5 [7.0, 8.2]</w:t>
                  </w:r>
                </w:p>
              </w:tc>
              <w:tc>
                <w:tcPr/>
                <w:p>
                  <w:pPr>
                    <w:pStyle w:val="Compact"/>
                    <w:jc w:val="right"/>
                    <w:jc w:val="center"/>
                  </w:pPr>
                  <w:r>
                    <w:t xml:space="preserve">7.4 [6.9, 7.9]</w:t>
                  </w:r>
                </w:p>
              </w:tc>
              <w:tc>
                <w:tcPr/>
                <w:p>
                  <w:pPr>
                    <w:pStyle w:val="Compact"/>
                    <w:jc w:val="right"/>
                    <w:jc w:val="center"/>
                  </w:pPr>
                  <w:r>
                    <w:t xml:space="preserve">7.7 [7.0, 8.5]</w:t>
                  </w:r>
                </w:p>
              </w:tc>
            </w:tr>
            <w:tr>
              <w:tc>
                <w:tcPr/>
                <w:p>
                  <w:pPr>
                    <w:pStyle w:val="Compact"/>
                    <w:jc w:val="left"/>
                    <w:jc w:val="center"/>
                  </w:pPr>
                  <w:r>
                    <w:t xml:space="preserve">       indicator (%)</w:t>
                  </w:r>
                </w:p>
              </w:tc>
              <w:tc>
                <w:tcPr/>
                <w:p>
                  <w:pPr>
                    <w:pStyle w:val="Compact"/>
                  </w:pPr>
                </w:p>
              </w:tc>
              <w:tc>
                <w:tcPr/>
                <w:p>
                  <w:pPr>
                    <w:pStyle w:val="Compact"/>
                  </w:pPr>
                </w:p>
              </w:tc>
              <w:tc>
                <w:tcPr/>
                <w:p>
                  <w:pPr>
                    <w:pStyle w:val="Compact"/>
                  </w:pPr>
                </w:p>
              </w:tc>
            </w:tr>
            <w:tr>
              <w:tc>
                <w:tcPr/>
                <w:p>
                  <w:pPr>
                    <w:pStyle w:val="Compact"/>
                    <w:jc w:val="left"/>
                    <w:jc w:val="center"/>
                  </w:pPr>
                  <w:r>
                    <w:t xml:space="preserve">    – Time in range (%)</w:t>
                  </w:r>
                </w:p>
              </w:tc>
              <w:tc>
                <w:tcPr/>
                <w:p>
                  <w:pPr>
                    <w:pStyle w:val="Compact"/>
                    <w:jc w:val="right"/>
                    <w:jc w:val="center"/>
                  </w:pPr>
                  <w:r>
                    <w:t xml:space="preserve">47 [35, 57]</w:t>
                  </w:r>
                </w:p>
              </w:tc>
              <w:tc>
                <w:tcPr/>
                <w:p>
                  <w:pPr>
                    <w:pStyle w:val="Compact"/>
                    <w:jc w:val="right"/>
                    <w:jc w:val="center"/>
                  </w:pPr>
                  <w:r>
                    <w:t xml:space="preserve">49 [39, 60]</w:t>
                  </w:r>
                </w:p>
              </w:tc>
              <w:tc>
                <w:tcPr/>
                <w:p>
                  <w:pPr>
                    <w:pStyle w:val="Compact"/>
                    <w:jc w:val="right"/>
                    <w:jc w:val="center"/>
                  </w:pPr>
                  <w:r>
                    <w:t xml:space="preserve">42 [31, 54]</w:t>
                  </w:r>
                </w:p>
              </w:tc>
            </w:tr>
            <w:tr>
              <w:tc>
                <w:tcPr/>
                <w:p>
                  <w:pPr>
                    <w:pStyle w:val="Compact"/>
                    <w:jc w:val="left"/>
                    <w:jc w:val="center"/>
                  </w:pPr>
                  <w:r>
                    <w:t xml:space="preserve">    – Time above range (%)</w:t>
                  </w:r>
                </w:p>
              </w:tc>
              <w:tc>
                <w:tcPr/>
                <w:p>
                  <w:pPr>
                    <w:pStyle w:val="Compact"/>
                    <w:jc w:val="right"/>
                    <w:jc w:val="center"/>
                  </w:pPr>
                  <w:r>
                    <w:t xml:space="preserve">45 [30, 56]</w:t>
                  </w:r>
                </w:p>
              </w:tc>
              <w:tc>
                <w:tcPr/>
                <w:p>
                  <w:pPr>
                    <w:pStyle w:val="Compact"/>
                    <w:jc w:val="right"/>
                    <w:jc w:val="center"/>
                  </w:pPr>
                  <w:r>
                    <w:t xml:space="preserve">42 [28, 53]</w:t>
                  </w:r>
                </w:p>
              </w:tc>
              <w:tc>
                <w:tcPr/>
                <w:p>
                  <w:pPr>
                    <w:pStyle w:val="Compact"/>
                    <w:jc w:val="right"/>
                    <w:jc w:val="center"/>
                  </w:pPr>
                  <w:r>
                    <w:t xml:space="preserve">48 [32, 60]</w:t>
                  </w:r>
                </w:p>
              </w:tc>
            </w:tr>
            <w:tr>
              <w:tc>
                <w:tcPr/>
                <w:p>
                  <w:pPr>
                    <w:pStyle w:val="Compact"/>
                    <w:jc w:val="left"/>
                    <w:jc w:val="center"/>
                  </w:pPr>
                  <w:r>
                    <w:t xml:space="preserve">    – Time below range (%)</w:t>
                  </w:r>
                </w:p>
              </w:tc>
              <w:tc>
                <w:tcPr/>
                <w:p>
                  <w:pPr>
                    <w:pStyle w:val="Compact"/>
                    <w:jc w:val="right"/>
                    <w:jc w:val="center"/>
                  </w:pPr>
                  <w:r>
                    <w:t xml:space="preserve">8 [4, 14]</w:t>
                  </w:r>
                </w:p>
              </w:tc>
              <w:tc>
                <w:tcPr/>
                <w:p>
                  <w:pPr>
                    <w:pStyle w:val="Compact"/>
                    <w:jc w:val="right"/>
                    <w:jc w:val="center"/>
                  </w:pPr>
                  <w:r>
                    <w:t xml:space="preserve">6 [4, 10]</w:t>
                  </w:r>
                </w:p>
              </w:tc>
              <w:tc>
                <w:tcPr/>
                <w:p>
                  <w:pPr>
                    <w:pStyle w:val="Compact"/>
                    <w:jc w:val="right"/>
                    <w:jc w:val="center"/>
                  </w:pPr>
                  <w:r>
                    <w:t xml:space="preserve">11 [5, 15]</w:t>
                  </w:r>
                </w:p>
              </w:tc>
            </w:tr>
            <w:tr>
              <w:tc>
                <w:tcPr/>
                <w:p>
                  <w:pPr>
                    <w:pStyle w:val="Compact"/>
                    <w:jc w:val="left"/>
                    <w:jc w:val="center"/>
                  </w:pPr>
                  <w:r>
                    <w:t xml:space="preserve">    – Coefficient of variation (%)</w:t>
                  </w:r>
                </w:p>
              </w:tc>
              <w:tc>
                <w:tcPr/>
                <w:p>
                  <w:pPr>
                    <w:pStyle w:val="Compact"/>
                    <w:jc w:val="right"/>
                    <w:jc w:val="center"/>
                  </w:pPr>
                  <w:r>
                    <w:t xml:space="preserve">43.3 [39.6, 48.6]</w:t>
                  </w:r>
                </w:p>
              </w:tc>
              <w:tc>
                <w:tcPr/>
                <w:p>
                  <w:pPr>
                    <w:pStyle w:val="Compact"/>
                    <w:jc w:val="right"/>
                    <w:jc w:val="center"/>
                  </w:pPr>
                  <w:r>
                    <w:t xml:space="preserve">42.2 [38.6, 46.5]</w:t>
                  </w:r>
                </w:p>
              </w:tc>
              <w:tc>
                <w:tcPr/>
                <w:p>
                  <w:pPr>
                    <w:pStyle w:val="Compact"/>
                    <w:jc w:val="right"/>
                    <w:jc w:val="center"/>
                  </w:pPr>
                  <w:r>
                    <w:t xml:space="preserve">46.7 [40.4, 51.9]</w:t>
                  </w:r>
                </w:p>
              </w:tc>
            </w:tr>
            <w:tr>
              <w:tc>
                <w:tcPr/>
                <w:p>
                  <w:pPr>
                    <w:pStyle w:val="Compact"/>
                    <w:jc w:val="left"/>
                    <w:jc w:val="center"/>
                  </w:pPr>
                  <w:r>
                    <w:t xml:space="preserve">    – Mean amplitude of</w:t>
                  </w:r>
                </w:p>
              </w:tc>
              <w:tc>
                <w:tcPr/>
                <w:p>
                  <w:pPr>
                    <w:pStyle w:val="Compact"/>
                    <w:jc w:val="right"/>
                    <w:jc w:val="center"/>
                  </w:pPr>
                  <w:r>
                    <w:t xml:space="preserve">9.9 [8.2, 12.1]</w:t>
                  </w:r>
                </w:p>
              </w:tc>
              <w:tc>
                <w:tcPr/>
                <w:p>
                  <w:pPr>
                    <w:pStyle w:val="Compact"/>
                    <w:jc w:val="right"/>
                    <w:jc w:val="center"/>
                  </w:pPr>
                  <w:r>
                    <w:t xml:space="preserve">9.6 [8.1, 11.2]</w:t>
                  </w:r>
                </w:p>
              </w:tc>
              <w:tc>
                <w:tcPr/>
                <w:p>
                  <w:pPr>
                    <w:pStyle w:val="Compact"/>
                    <w:jc w:val="right"/>
                    <w:jc w:val="center"/>
                  </w:pPr>
                  <w:r>
                    <w:t xml:space="preserve">10.6 [8.5, 13.0]</w:t>
                  </w:r>
                </w:p>
              </w:tc>
            </w:tr>
            <w:tr>
              <w:tc>
                <w:tcPr/>
                <w:p>
                  <w:pPr>
                    <w:pStyle w:val="Compact"/>
                    <w:jc w:val="left"/>
                    <w:jc w:val="center"/>
                  </w:pPr>
                  <w:r>
                    <w:t xml:space="preserve">      glycemic excursions (mmol/L)</w:t>
                  </w:r>
                </w:p>
              </w:tc>
              <w:tc>
                <w:tcPr/>
                <w:p>
                  <w:pPr>
                    <w:pStyle w:val="Compact"/>
                  </w:pPr>
                </w:p>
              </w:tc>
              <w:tc>
                <w:tcPr/>
                <w:p>
                  <w:pPr>
                    <w:pStyle w:val="Compact"/>
                  </w:pPr>
                </w:p>
              </w:tc>
              <w:tc>
                <w:tcPr/>
                <w:p>
                  <w:pPr>
                    <w:pStyle w:val="Compact"/>
                  </w:pPr>
                </w:p>
              </w:tc>
            </w:tr>
          </w:tbl>
          <w:bookmarkEnd w:id="150"/>
          <w:p/>
        </w:tc>
      </w:tr>
    </w:tbl>
    <w:bookmarkEnd w:id="151"/>
    <w:bookmarkStart w:id="152" w:name="X8791eece424a9103699e922fdf11dbf6b825367"/>
    <w:p>
      <w:pPr>
        <w:pStyle w:val="Heading2"/>
      </w:pPr>
      <w:r>
        <w:t xml:space="preserve">4.3 Study II: Results from a Foundation Model Embedding Analysis</w:t>
      </w:r>
    </w:p>
    <w:bookmarkEnd w:id="152"/>
    <w:bookmarkStart w:id="154" w:name="study-ii-prediction-of-nt-probnp"/>
    <w:p>
      <w:pPr>
        <w:pStyle w:val="Heading2"/>
      </w:pPr>
      <w:r>
        <w:t xml:space="preserve">4.4 Study II: Prediction of NT-proBNP</w:t>
      </w:r>
    </w:p>
    <w:p>
      <w:pPr>
        <w:pStyle w:val="FirstParagraph"/>
      </w:pPr>
      <w:r>
        <w:t xml:space="preserve">Results from the prediction analysis are shown in</w:t>
      </w:r>
      <w:r>
        <w:t xml:space="preserve"> </w:t>
      </w:r>
      <w:hyperlink w:anchor="tbl-model-performance_main">
        <w:r>
          <w:rPr>
            <w:rStyle w:val="Hyperlink"/>
          </w:rPr>
          <w:t xml:space="preserve">Table 4.14</w:t>
        </w:r>
      </w:hyperlink>
      <w:r>
        <w:t xml:space="preserve">.</w:t>
      </w:r>
      <w:r>
        <w:t xml:space="preserve"> </w:t>
      </w:r>
      <w:r>
        <w:t xml:space="preserve">The highest optimism-corrected AUROC was achieved by Model A2 which included both all nine clinical variables from the SCORE2-Diabetes input and the CGM-derived metrics TIR and MAGE (AUROC: 0.81 [0.77–0.88]).</w:t>
      </w:r>
      <w:r>
        <w:t xml:space="preserve"> </w:t>
      </w:r>
      <w:r>
        <w:t xml:space="preserve">Optimism-corrected AUROCs for the models with fewer predictors had modest performance (AUROC: 0.72 to 77 ), however the optimism-correction was smaller and the prediction stability was more stable the fewer predictors were included in the models (Models: B1, B2, and B3) (@#sec-suppl-pred-stability).</w:t>
      </w:r>
      <w:r>
        <w:t xml:space="preserve"> </w:t>
      </w:r>
      <w:r>
        <w:t xml:space="preserve">The models including only CGM-data either as derived metrics (Model C1) or as UMAP dimensions (Model D1a, D1b, D1c) performed the worst (AUROC: 0.53 to 0.69). Age seemed a better predictor for elevated NT-proBNP (AUROC: 0.73 [0.65 - 0.80])</w:t>
      </w:r>
    </w:p>
    <w:tbl>
      <w:tblPr>
        <w:tblStyle w:val="Table"/>
        <w:tblW w:type="pct" w:w="5000"/>
        <w:tblLayout w:type="fixed"/>
        <w:tblLook w:firstRow="0" w:lastRow="0" w:firstColumn="0" w:lastColumn="0" w:noHBand="0" w:noVBand="0" w:val="0000"/>
      </w:tblPr>
      <w:tblGrid>
        <w:gridCol w:w="7920"/>
      </w:tblGrid>
      <w:tr>
        <w:tc>
          <w:tcPr/>
          <w:bookmarkStart w:id="153" w:name="tbl-model-performance_main"/>
          <w:p>
            <w:pPr>
              <w:jc w:val="center"/>
            </w:pPr>
            <w:pPr>
              <w:jc w:val="left"/>
              <w:spacing w:before="200"/>
              <w:pStyle w:val="ImageCaption"/>
            </w:pPr>
            <w:r>
              <w:t xml:space="preserve">Table 4.7: Area under the receiver operating characteristic curve for the included models.</w:t>
            </w:r>
          </w:p>
          <w:tbl>
            <w:tblPr>
              <w:tblStyle w:val="Table"/>
              <w:tblW w:type="pct" w:w="4900"/>
              <w:tblLayout w:type="fixed"/>
              <w:tblLook w:firstRow="1" w:lastRow="0" w:firstColumn="0" w:lastColumn="0" w:noHBand="0" w:noVBand="0" w:val="0020"/>
            </w:tblPr>
            <w:tblGrid>
              <w:gridCol w:w="2851"/>
              <w:gridCol w:w="1900"/>
              <w:gridCol w:w="871"/>
              <w:gridCol w:w="950"/>
              <w:gridCol w:w="1188"/>
            </w:tblGrid>
            <w:tr>
              <w:trPr>
                <w:tblHeader w:val="on"/>
              </w:trPr>
              <w:tc>
                <w:tcPr/>
                <w:p>
                  <w:pPr>
                    <w:pStyle w:val="Compact"/>
                    <w:jc w:val="left"/>
                    <w:jc w:val="center"/>
                  </w:pPr>
                  <w:r>
                    <w:t xml:space="preserve">Models</w:t>
                  </w:r>
                </w:p>
              </w:tc>
              <w:tc>
                <w:tcPr/>
                <w:p>
                  <w:pPr>
                    <w:pStyle w:val="Compact"/>
                    <w:jc w:val="center"/>
                    <w:jc w:val="center"/>
                  </w:pPr>
                  <w:r>
                    <w:t xml:space="preserve">Corrected [95% CI]</w:t>
                  </w:r>
                </w:p>
              </w:tc>
              <w:tc>
                <w:tcPr/>
                <w:p>
                  <w:pPr>
                    <w:pStyle w:val="Compact"/>
                    <w:jc w:val="center"/>
                    <w:jc w:val="center"/>
                  </w:pPr>
                  <w:r>
                    <w:t xml:space="preserve">Apparent</w:t>
                  </w:r>
                </w:p>
              </w:tc>
              <w:tc>
                <w:tcPr/>
                <w:p>
                  <w:pPr>
                    <w:pStyle w:val="Compact"/>
                    <w:jc w:val="center"/>
                    <w:jc w:val="center"/>
                  </w:pPr>
                  <w:r>
                    <w:t xml:space="preserve">Optimism</w:t>
                  </w:r>
                </w:p>
              </w:tc>
              <w:tc>
                <w:tcPr/>
                <w:p>
                  <w:pPr>
                    <w:pStyle w:val="Compact"/>
                    <w:jc w:val="center"/>
                    <w:jc w:val="center"/>
                  </w:pPr>
                  <w:r>
                    <w:t xml:space="preserve">Number of predictors</w:t>
                  </w:r>
                </w:p>
              </w:tc>
            </w:tr>
            <w:tr>
              <w:tc>
                <w:tcPr/>
                <w:p>
                  <w:pPr>
                    <w:pStyle w:val="Compact"/>
                    <w:jc w:val="left"/>
                    <w:jc w:val="center"/>
                  </w:pPr>
                  <w:r>
                    <w:rPr>
                      <w:b/>
                      <w:bCs/>
                    </w:rPr>
                    <w:t xml:space="preserve">Model A0:</w:t>
                  </w:r>
                  <w:r>
                    <w:t xml:space="preserve"> </w:t>
                  </w:r>
                  <w:r>
                    <w:t xml:space="preserve">(Age)</w:t>
                  </w:r>
                </w:p>
              </w:tc>
              <w:tc>
                <w:tcPr/>
                <w:p>
                  <w:pPr>
                    <w:pStyle w:val="Compact"/>
                    <w:jc w:val="center"/>
                    <w:jc w:val="center"/>
                  </w:pPr>
                  <w:r>
                    <w:t xml:space="preserve">0.73 [0.65 - 0.80]</w:t>
                  </w:r>
                </w:p>
              </w:tc>
              <w:tc>
                <w:tcPr/>
                <w:p>
                  <w:pPr>
                    <w:pStyle w:val="Compact"/>
                    <w:jc w:val="center"/>
                    <w:jc w:val="center"/>
                  </w:pPr>
                  <w:r>
                    <w:t xml:space="preserve">0.73</w:t>
                  </w:r>
                </w:p>
              </w:tc>
              <w:tc>
                <w:tcPr/>
                <w:p>
                  <w:pPr>
                    <w:pStyle w:val="Compact"/>
                    <w:jc w:val="center"/>
                    <w:jc w:val="center"/>
                  </w:pPr>
                  <w:r>
                    <w:t xml:space="preserve">0.00</w:t>
                  </w:r>
                </w:p>
              </w:tc>
              <w:tc>
                <w:tcPr/>
                <w:p>
                  <w:pPr>
                    <w:pStyle w:val="Compact"/>
                    <w:jc w:val="center"/>
                    <w:jc w:val="center"/>
                  </w:pPr>
                  <w:r>
                    <w:t xml:space="preserve">1</w:t>
                  </w:r>
                </w:p>
              </w:tc>
            </w:tr>
            <w:tr>
              <w:tc>
                <w:tcPr/>
                <w:p>
                  <w:pPr>
                    <w:pStyle w:val="Compact"/>
                    <w:jc w:val="left"/>
                    <w:jc w:val="center"/>
                  </w:pPr>
                  <w:r>
                    <w:rPr>
                      <w:b/>
                      <w:bCs/>
                    </w:rPr>
                    <w:t xml:space="preserve">Model A1:</w:t>
                  </w:r>
                </w:p>
              </w:tc>
              <w:tc>
                <w:tcPr/>
                <w:p>
                  <w:pPr>
                    <w:pStyle w:val="Compact"/>
                    <w:jc w:val="center"/>
                    <w:jc w:val="center"/>
                  </w:pPr>
                  <w:r>
                    <w:t xml:space="preserve">0.79 [0.76 - 0.87]</w:t>
                  </w:r>
                </w:p>
              </w:tc>
              <w:tc>
                <w:tcPr/>
                <w:p>
                  <w:pPr>
                    <w:pStyle w:val="Compact"/>
                    <w:jc w:val="center"/>
                    <w:jc w:val="center"/>
                  </w:pPr>
                  <w:r>
                    <w:t xml:space="preserve">0.83</w:t>
                  </w:r>
                </w:p>
              </w:tc>
              <w:tc>
                <w:tcPr/>
                <w:p>
                  <w:pPr>
                    <w:pStyle w:val="Compact"/>
                    <w:jc w:val="center"/>
                    <w:jc w:val="center"/>
                  </w:pPr>
                  <w:r>
                    <w:t xml:space="preserve">0.04</w:t>
                  </w:r>
                </w:p>
              </w:tc>
              <w:tc>
                <w:tcPr/>
                <w:p>
                  <w:pPr>
                    <w:pStyle w:val="Compact"/>
                    <w:jc w:val="center"/>
                    <w:jc w:val="center"/>
                  </w:pPr>
                  <w:r>
                    <w:t xml:space="preserve">9</w:t>
                  </w:r>
                </w:p>
              </w:tc>
            </w:tr>
            <w:tr>
              <w:tc>
                <w:tcPr/>
                <w:p>
                  <w:pPr>
                    <w:pStyle w:val="Compact"/>
                    <w:jc w:val="left"/>
                    <w:jc w:val="center"/>
                  </w:pPr>
                  <w:r>
                    <w:t xml:space="preserve">(SCORE2-Diabetes input)</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A2:</w:t>
                  </w:r>
                </w:p>
              </w:tc>
              <w:tc>
                <w:tcPr/>
                <w:p>
                  <w:pPr>
                    <w:pStyle w:val="Compact"/>
                    <w:jc w:val="center"/>
                    <w:jc w:val="center"/>
                  </w:pPr>
                  <w:r>
                    <w:t xml:space="preserve">0.81 [0.77-0.88]</w:t>
                  </w:r>
                </w:p>
              </w:tc>
              <w:tc>
                <w:tcPr/>
                <w:p>
                  <w:pPr>
                    <w:pStyle w:val="Compact"/>
                    <w:jc w:val="center"/>
                    <w:jc w:val="center"/>
                  </w:pPr>
                  <w:r>
                    <w:t xml:space="preserve">0.86</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w:t>
                  </w:r>
                  <w:r>
                    <w:t xml:space="preserve"> </w:t>
                  </w:r>
                  <w:r>
                    <w:t xml:space="preserve">TIR and MAGE)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A3a:</w:t>
                  </w:r>
                </w:p>
              </w:tc>
              <w:tc>
                <w:tcPr/>
                <w:p>
                  <w:pPr>
                    <w:pStyle w:val="Compact"/>
                    <w:jc w:val="center"/>
                    <w:jc w:val="center"/>
                  </w:pPr>
                  <w:r>
                    <w:t xml:space="preserve">0.80 [0.75 - 0.87]</w:t>
                  </w:r>
                </w:p>
              </w:tc>
              <w:tc>
                <w:tcPr/>
                <w:p>
                  <w:pPr>
                    <w:pStyle w:val="Compact"/>
                    <w:jc w:val="center"/>
                    <w:jc w:val="center"/>
                  </w:pPr>
                  <w:r>
                    <w:t xml:space="preserve">0.84</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 UMAP (min))</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A3b:</w:t>
                  </w:r>
                </w:p>
              </w:tc>
              <w:tc>
                <w:tcPr/>
                <w:p>
                  <w:pPr>
                    <w:pStyle w:val="Compact"/>
                    <w:jc w:val="center"/>
                    <w:jc w:val="center"/>
                  </w:pPr>
                  <w:r>
                    <w:t xml:space="preserve">0.79 [0.75 - 0.87]</w:t>
                  </w:r>
                </w:p>
              </w:tc>
              <w:tc>
                <w:tcPr/>
                <w:p>
                  <w:pPr>
                    <w:pStyle w:val="Compact"/>
                    <w:jc w:val="center"/>
                    <w:jc w:val="center"/>
                  </w:pPr>
                  <w:r>
                    <w:t xml:space="preserve">0.84</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 UMAP (max))</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A3c:</w:t>
                  </w:r>
                </w:p>
              </w:tc>
              <w:tc>
                <w:tcPr/>
                <w:p>
                  <w:pPr>
                    <w:pStyle w:val="Compact"/>
                    <w:jc w:val="center"/>
                    <w:jc w:val="center"/>
                  </w:pPr>
                  <w:r>
                    <w:t xml:space="preserve">0.79 [0.75 - 0.87]</w:t>
                  </w:r>
                </w:p>
              </w:tc>
              <w:tc>
                <w:tcPr/>
                <w:p>
                  <w:pPr>
                    <w:pStyle w:val="Compact"/>
                    <w:jc w:val="center"/>
                    <w:jc w:val="center"/>
                  </w:pPr>
                  <w:r>
                    <w:t xml:space="preserve">0.84</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 UMAP (mean))</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B1:</w:t>
                  </w:r>
                </w:p>
              </w:tc>
              <w:tc>
                <w:tcPr/>
                <w:p>
                  <w:pPr>
                    <w:pStyle w:val="Compact"/>
                    <w:jc w:val="center"/>
                    <w:jc w:val="center"/>
                  </w:pPr>
                  <w:r>
                    <w:t xml:space="preserve">0.74 [0.65 - 0.81]</w:t>
                  </w:r>
                </w:p>
              </w:tc>
              <w:tc>
                <w:tcPr/>
                <w:p>
                  <w:pPr>
                    <w:pStyle w:val="Compact"/>
                    <w:jc w:val="center"/>
                    <w:jc w:val="center"/>
                  </w:pPr>
                  <w:r>
                    <w:t xml:space="preserve">0.73</w:t>
                  </w:r>
                </w:p>
              </w:tc>
              <w:tc>
                <w:tcPr/>
                <w:p>
                  <w:pPr>
                    <w:pStyle w:val="Compact"/>
                    <w:jc w:val="center"/>
                    <w:jc w:val="center"/>
                  </w:pPr>
                  <w:r>
                    <w:t xml:space="preserve">0.00</w:t>
                  </w:r>
                </w:p>
              </w:tc>
              <w:tc>
                <w:tcPr/>
                <w:p>
                  <w:pPr>
                    <w:pStyle w:val="Compact"/>
                    <w:jc w:val="center"/>
                    <w:jc w:val="center"/>
                  </w:pPr>
                  <w:r>
                    <w:t xml:space="preserve">1</w:t>
                  </w:r>
                </w:p>
              </w:tc>
            </w:tr>
            <w:tr>
              <w:tc>
                <w:tcPr/>
                <w:p>
                  <w:pPr>
                    <w:pStyle w:val="Compact"/>
                    <w:jc w:val="left"/>
                    <w:jc w:val="center"/>
                  </w:pPr>
                  <w:r>
                    <w:t xml:space="preserve">(SCORE2-Diabetes score)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B2:</w:t>
                  </w:r>
                </w:p>
              </w:tc>
              <w:tc>
                <w:tcPr/>
                <w:p>
                  <w:pPr>
                    <w:pStyle w:val="Compact"/>
                    <w:jc w:val="center"/>
                    <w:jc w:val="center"/>
                  </w:pPr>
                  <w:r>
                    <w:t xml:space="preserve">0.77 [0.70 - 0.85]</w:t>
                  </w:r>
                </w:p>
              </w:tc>
              <w:tc>
                <w:tcPr/>
                <w:p>
                  <w:pPr>
                    <w:pStyle w:val="Compact"/>
                    <w:jc w:val="center"/>
                    <w:jc w:val="center"/>
                  </w:pPr>
                  <w:r>
                    <w:t xml:space="preserve">0.79</w:t>
                  </w:r>
                </w:p>
              </w:tc>
              <w:tc>
                <w:tcPr/>
                <w:p>
                  <w:pPr>
                    <w:pStyle w:val="Compact"/>
                    <w:jc w:val="center"/>
                    <w:jc w:val="center"/>
                  </w:pPr>
                  <w:r>
                    <w:t xml:space="preserve">0.01</w:t>
                  </w:r>
                </w:p>
              </w:tc>
              <w:tc>
                <w:tcPr/>
                <w:p>
                  <w:pPr>
                    <w:pStyle w:val="Compact"/>
                    <w:jc w:val="center"/>
                    <w:jc w:val="center"/>
                  </w:pPr>
                  <w:r>
                    <w:t xml:space="preserve">3</w:t>
                  </w:r>
                </w:p>
              </w:tc>
            </w:tr>
            <w:tr>
              <w:tc>
                <w:tcPr/>
                <w:p>
                  <w:pPr>
                    <w:pStyle w:val="Compact"/>
                    <w:jc w:val="left"/>
                    <w:jc w:val="center"/>
                  </w:pPr>
                  <w:r>
                    <w:t xml:space="preserve">(Model B1 +</w:t>
                  </w:r>
                  <w:r>
                    <w:t xml:space="preserve"> </w:t>
                  </w:r>
                  <w:r>
                    <w:t xml:space="preserve">TIR and MAGE)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B3a:</w:t>
                  </w:r>
                </w:p>
              </w:tc>
              <w:tc>
                <w:tcPr/>
                <w:p>
                  <w:pPr>
                    <w:pStyle w:val="Compact"/>
                    <w:jc w:val="center"/>
                    <w:jc w:val="center"/>
                  </w:pPr>
                  <w:r>
                    <w:t xml:space="preserve">0.72 [0.65 - 0.80]</w:t>
                  </w:r>
                </w:p>
              </w:tc>
              <w:tc>
                <w:tcPr/>
                <w:p>
                  <w:pPr>
                    <w:pStyle w:val="Compact"/>
                    <w:jc w:val="center"/>
                    <w:jc w:val="center"/>
                  </w:pPr>
                  <w:r>
                    <w:t xml:space="preserve">0.74</w:t>
                  </w:r>
                </w:p>
              </w:tc>
              <w:tc>
                <w:tcPr/>
                <w:p>
                  <w:pPr>
                    <w:pStyle w:val="Compact"/>
                    <w:jc w:val="center"/>
                    <w:jc w:val="center"/>
                  </w:pPr>
                  <w:r>
                    <w:t xml:space="preserve">0.02</w:t>
                  </w:r>
                </w:p>
              </w:tc>
              <w:tc>
                <w:tcPr/>
                <w:p>
                  <w:pPr>
                    <w:pStyle w:val="Compact"/>
                    <w:jc w:val="center"/>
                    <w:jc w:val="center"/>
                  </w:pPr>
                  <w:r>
                    <w:t xml:space="preserve">3</w:t>
                  </w:r>
                </w:p>
              </w:tc>
            </w:tr>
            <w:tr>
              <w:tc>
                <w:tcPr/>
                <w:p>
                  <w:pPr>
                    <w:pStyle w:val="Compact"/>
                    <w:jc w:val="left"/>
                    <w:jc w:val="center"/>
                  </w:pPr>
                  <w:r>
                    <w:t xml:space="preserve">(Model B1 + UMAP (min))</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B3b:</w:t>
                  </w:r>
                </w:p>
              </w:tc>
              <w:tc>
                <w:tcPr/>
                <w:p>
                  <w:pPr>
                    <w:pStyle w:val="Compact"/>
                    <w:jc w:val="center"/>
                    <w:jc w:val="center"/>
                  </w:pPr>
                  <w:r>
                    <w:t xml:space="preserve">0.72 [0.65 - 0.81]</w:t>
                  </w:r>
                </w:p>
              </w:tc>
              <w:tc>
                <w:tcPr/>
                <w:p>
                  <w:pPr>
                    <w:pStyle w:val="Compact"/>
                    <w:jc w:val="center"/>
                    <w:jc w:val="center"/>
                  </w:pPr>
                  <w:r>
                    <w:t xml:space="preserve">0.74</w:t>
                  </w:r>
                </w:p>
              </w:tc>
              <w:tc>
                <w:tcPr/>
                <w:p>
                  <w:pPr>
                    <w:pStyle w:val="Compact"/>
                    <w:jc w:val="center"/>
                    <w:jc w:val="center"/>
                  </w:pPr>
                  <w:r>
                    <w:t xml:space="preserve">0.02</w:t>
                  </w:r>
                </w:p>
              </w:tc>
              <w:tc>
                <w:tcPr/>
                <w:p>
                  <w:pPr>
                    <w:pStyle w:val="Compact"/>
                    <w:jc w:val="center"/>
                    <w:jc w:val="center"/>
                  </w:pPr>
                  <w:r>
                    <w:t xml:space="preserve">3</w:t>
                  </w:r>
                </w:p>
              </w:tc>
            </w:tr>
            <w:tr>
              <w:tc>
                <w:tcPr/>
                <w:p>
                  <w:pPr>
                    <w:pStyle w:val="Compact"/>
                    <w:jc w:val="left"/>
                    <w:jc w:val="center"/>
                  </w:pPr>
                  <w:r>
                    <w:t xml:space="preserve">(Model B1 + UMAP (max))</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B3c:</w:t>
                  </w:r>
                </w:p>
              </w:tc>
              <w:tc>
                <w:tcPr/>
                <w:p>
                  <w:pPr>
                    <w:pStyle w:val="Compact"/>
                    <w:jc w:val="center"/>
                    <w:jc w:val="center"/>
                  </w:pPr>
                  <w:r>
                    <w:t xml:space="preserve">0.73 [0.65 - 0.81]</w:t>
                  </w:r>
                </w:p>
              </w:tc>
              <w:tc>
                <w:tcPr/>
                <w:p>
                  <w:pPr>
                    <w:pStyle w:val="Compact"/>
                    <w:jc w:val="center"/>
                    <w:jc w:val="center"/>
                  </w:pPr>
                  <w:r>
                    <w:t xml:space="preserve">0.75</w:t>
                  </w:r>
                </w:p>
              </w:tc>
              <w:tc>
                <w:tcPr/>
                <w:p>
                  <w:pPr>
                    <w:pStyle w:val="Compact"/>
                    <w:jc w:val="center"/>
                    <w:jc w:val="center"/>
                  </w:pPr>
                  <w:r>
                    <w:t xml:space="preserve">0.02</w:t>
                  </w:r>
                </w:p>
              </w:tc>
              <w:tc>
                <w:tcPr/>
                <w:p>
                  <w:pPr>
                    <w:pStyle w:val="Compact"/>
                    <w:jc w:val="center"/>
                    <w:jc w:val="center"/>
                  </w:pPr>
                  <w:r>
                    <w:t xml:space="preserve">3</w:t>
                  </w:r>
                </w:p>
              </w:tc>
            </w:tr>
            <w:tr>
              <w:tc>
                <w:tcPr/>
                <w:p>
                  <w:pPr>
                    <w:pStyle w:val="Compact"/>
                    <w:jc w:val="left"/>
                    <w:jc w:val="center"/>
                  </w:pPr>
                  <w:r>
                    <w:t xml:space="preserve">(Model B1 + UMAP (mean))</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C1:</w:t>
                  </w:r>
                  <w:r>
                    <w:t xml:space="preserve"> </w:t>
                  </w:r>
                  <w:r>
                    <w:t xml:space="preserve">(TIR and MAGE)</w:t>
                  </w:r>
                </w:p>
              </w:tc>
              <w:tc>
                <w:tcPr/>
                <w:p>
                  <w:pPr>
                    <w:pStyle w:val="Compact"/>
                    <w:jc w:val="center"/>
                    <w:jc w:val="center"/>
                  </w:pPr>
                  <w:r>
                    <w:t xml:space="preserve">0.69 [0.61 - 0.77]</w:t>
                  </w:r>
                </w:p>
              </w:tc>
              <w:tc>
                <w:tcPr/>
                <w:p>
                  <w:pPr>
                    <w:pStyle w:val="Compact"/>
                    <w:jc w:val="center"/>
                    <w:jc w:val="center"/>
                  </w:pPr>
                  <w:r>
                    <w:t xml:space="preserve">0.69</w:t>
                  </w:r>
                </w:p>
              </w:tc>
              <w:tc>
                <w:tcPr/>
                <w:p>
                  <w:pPr>
                    <w:pStyle w:val="Compact"/>
                    <w:jc w:val="center"/>
                    <w:jc w:val="center"/>
                  </w:pPr>
                  <w:r>
                    <w:t xml:space="preserve">0.01</w:t>
                  </w:r>
                </w:p>
              </w:tc>
              <w:tc>
                <w:tcPr/>
                <w:p>
                  <w:pPr>
                    <w:pStyle w:val="Compact"/>
                    <w:jc w:val="center"/>
                    <w:jc w:val="center"/>
                  </w:pPr>
                  <w:r>
                    <w:t xml:space="preserve">11</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D1a:</w:t>
                  </w:r>
                  <w:r>
                    <w:t xml:space="preserve"> </w:t>
                  </w:r>
                  <w:r>
                    <w:t xml:space="preserve">(UMAP, max*)</w:t>
                  </w:r>
                </w:p>
              </w:tc>
              <w:tc>
                <w:tcPr/>
                <w:p>
                  <w:pPr>
                    <w:pStyle w:val="Compact"/>
                    <w:jc w:val="center"/>
                    <w:jc w:val="center"/>
                  </w:pPr>
                  <w:r>
                    <w:t xml:space="preserve">0.55 [0.48 - 0.64]</w:t>
                  </w:r>
                </w:p>
              </w:tc>
              <w:tc>
                <w:tcPr/>
                <w:p>
                  <w:pPr>
                    <w:pStyle w:val="Compact"/>
                    <w:jc w:val="center"/>
                    <w:jc w:val="center"/>
                  </w:pPr>
                  <w:r>
                    <w:t xml:space="preserve">0.58</w:t>
                  </w:r>
                </w:p>
              </w:tc>
              <w:tc>
                <w:tcPr/>
                <w:p>
                  <w:pPr>
                    <w:pStyle w:val="Compact"/>
                    <w:jc w:val="center"/>
                    <w:jc w:val="center"/>
                  </w:pPr>
                  <w:r>
                    <w:t xml:space="preserve">0.03</w:t>
                  </w:r>
                </w:p>
              </w:tc>
              <w:tc>
                <w:tcPr/>
                <w:p>
                  <w:pPr>
                    <w:pStyle w:val="Compact"/>
                    <w:jc w:val="center"/>
                    <w:jc w:val="center"/>
                  </w:pPr>
                  <w:r>
                    <w:t xml:space="preserve">2</w:t>
                  </w:r>
                </w:p>
              </w:tc>
            </w:tr>
            <w:tr>
              <w:tc>
                <w:tcPr/>
                <w:p>
                  <w:pPr>
                    <w:pStyle w:val="Compact"/>
                    <w:jc w:val="left"/>
                    <w:jc w:val="center"/>
                  </w:pPr>
                  <w:r>
                    <w:rPr>
                      <w:b/>
                      <w:bCs/>
                    </w:rPr>
                    <w:t xml:space="preserve">Model D1b:</w:t>
                  </w:r>
                  <w:r>
                    <w:t xml:space="preserve"> </w:t>
                  </w:r>
                  <w:r>
                    <w:t xml:space="preserve">(UMAP, min*)</w:t>
                  </w:r>
                </w:p>
              </w:tc>
              <w:tc>
                <w:tcPr/>
                <w:p>
                  <w:pPr>
                    <w:pStyle w:val="Compact"/>
                    <w:jc w:val="center"/>
                    <w:jc w:val="center"/>
                  </w:pPr>
                  <w:r>
                    <w:t xml:space="preserve">0.53 [0.43 - 0.63]</w:t>
                  </w:r>
                </w:p>
              </w:tc>
              <w:tc>
                <w:tcPr/>
                <w:p>
                  <w:pPr>
                    <w:pStyle w:val="Compact"/>
                    <w:jc w:val="center"/>
                    <w:jc w:val="center"/>
                  </w:pPr>
                  <w:r>
                    <w:t xml:space="preserve">0.57</w:t>
                  </w:r>
                </w:p>
              </w:tc>
              <w:tc>
                <w:tcPr/>
                <w:p>
                  <w:pPr>
                    <w:pStyle w:val="Compact"/>
                    <w:jc w:val="center"/>
                    <w:jc w:val="center"/>
                  </w:pPr>
                  <w:r>
                    <w:t xml:space="preserve">0.04</w:t>
                  </w:r>
                </w:p>
              </w:tc>
              <w:tc>
                <w:tcPr/>
                <w:p>
                  <w:pPr>
                    <w:pStyle w:val="Compact"/>
                    <w:jc w:val="center"/>
                    <w:jc w:val="center"/>
                  </w:pPr>
                  <w:r>
                    <w:t xml:space="preserve">2</w:t>
                  </w:r>
                </w:p>
              </w:tc>
            </w:tr>
            <w:tr>
              <w:tc>
                <w:tcPr/>
                <w:p>
                  <w:pPr>
                    <w:pStyle w:val="Compact"/>
                    <w:jc w:val="left"/>
                    <w:jc w:val="center"/>
                  </w:pPr>
                  <w:r>
                    <w:rPr>
                      <w:b/>
                      <w:bCs/>
                    </w:rPr>
                    <w:t xml:space="preserve">Model D1c:</w:t>
                  </w:r>
                  <w:r>
                    <w:t xml:space="preserve"> </w:t>
                  </w:r>
                  <w:r>
                    <w:t xml:space="preserve">(UMAP, mean*)</w:t>
                  </w:r>
                </w:p>
              </w:tc>
              <w:tc>
                <w:tcPr/>
                <w:p>
                  <w:pPr>
                    <w:pStyle w:val="Compact"/>
                    <w:jc w:val="center"/>
                    <w:jc w:val="center"/>
                  </w:pPr>
                  <w:r>
                    <w:t xml:space="preserve">0.53 [0.43 - 0.64]</w:t>
                  </w:r>
                </w:p>
              </w:tc>
              <w:tc>
                <w:tcPr/>
                <w:p>
                  <w:pPr>
                    <w:pStyle w:val="Compact"/>
                    <w:jc w:val="center"/>
                    <w:jc w:val="center"/>
                  </w:pPr>
                  <w:r>
                    <w:t xml:space="preserve">0.56</w:t>
                  </w:r>
                </w:p>
              </w:tc>
              <w:tc>
                <w:tcPr/>
                <w:p>
                  <w:pPr>
                    <w:pStyle w:val="Compact"/>
                    <w:jc w:val="center"/>
                    <w:jc w:val="center"/>
                  </w:pPr>
                  <w:r>
                    <w:t xml:space="preserve">0.03</w:t>
                  </w:r>
                </w:p>
              </w:tc>
              <w:tc>
                <w:tcPr/>
                <w:p>
                  <w:pPr>
                    <w:pStyle w:val="Compact"/>
                    <w:jc w:val="center"/>
                    <w:jc w:val="center"/>
                  </w:pPr>
                  <w:r>
                    <w:t xml:space="preserve">2</w:t>
                  </w:r>
                </w:p>
              </w:tc>
            </w:tr>
          </w:tbl>
          <w:bookmarkEnd w:id="153"/>
          <w:p/>
        </w:tc>
      </w:tr>
    </w:tbl>
    <w:bookmarkEnd w:id="154"/>
    <w:bookmarkStart w:id="161" w:name="X040d53506ddcab770974762280367409745da67"/>
    <w:p>
      <w:pPr>
        <w:pStyle w:val="Heading2"/>
      </w:pPr>
      <w:r>
        <w:t xml:space="preserve">4.5 Study III: Results from an Algorithmic Fairness Study</w:t>
      </w:r>
    </w:p>
    <w:p>
      <w:pPr>
        <w:pStyle w:val="FirstParagraph"/>
      </w:pPr>
      <w:r>
        <w:t xml:space="preserve">Bias is an important spect to consider when working data drivenly.</w:t>
      </w:r>
      <w:r>
        <w:t xml:space="preserve"> </w:t>
      </w:r>
      <w:r>
        <w:t xml:space="preserve">In study III, we therefore evaluates bias in CGM trained machine learning models for forecasting in the T1DX cohort</w:t>
      </w:r>
    </w:p>
    <w:bookmarkStart w:id="159" w:name="bias-in-machine-learning-models"/>
    <w:p>
      <w:pPr>
        <w:pStyle w:val="Heading3"/>
      </w:pPr>
      <w:r>
        <w:t xml:space="preserve">Bias in Machine Learning Models</w:t>
      </w:r>
    </w:p>
    <w:p>
      <w:pPr>
        <w:pStyle w:val="FirstParagraph"/>
      </w:pPr>
      <w:r>
        <w:t xml:space="preserve">The RMSE of the models are shown in</w:t>
      </w:r>
      <w:r>
        <w:t xml:space="preserve"> </w:t>
      </w:r>
      <w:hyperlink w:anchor="tbl-study3-main-results1">
        <w:r>
          <w:rPr>
            <w:rStyle w:val="Hyperlink"/>
          </w:rPr>
          <w:t xml:space="preserve">Table 4.15</w:t>
        </w:r>
      </w:hyperlink>
      <w:r>
        <w:t xml:space="preserve"> </w:t>
      </w:r>
      <w:r>
        <w:t xml:space="preserve">and</w:t>
      </w:r>
      <w:r>
        <w:t xml:space="preserve"> </w:t>
      </w:r>
      <w:hyperlink w:anchor="tbl-study3-main-results2">
        <w:r>
          <w:rPr>
            <w:rStyle w:val="Hyperlink"/>
          </w:rPr>
          <w:t xml:space="preserve">Table 4.16</w:t>
        </w:r>
      </w:hyperlink>
      <w:r>
        <w:t xml:space="preserve">.</w:t>
      </w:r>
      <w:r>
        <w:t xml:space="preserve"> </w:t>
      </w:r>
      <w:r>
        <w:t xml:space="preserve">Base-Generalized and Transfer Learned models achieved models achieved lower prediction errors (RMSE: 2.00 to 2.06 mmol/L) than the naive last observation carried forward (LOCF)(RMSE: 2.41 and 2.45 mmol/L) and Base-Individual models (RMSE: 2.54 to 2.63 mmol/L) for both White and Black participants (</w:t>
      </w:r>
      <w:hyperlink w:anchor="tbl-study3-main-results1">
        <w:r>
          <w:rPr>
            <w:rStyle w:val="Hyperlink"/>
          </w:rPr>
          <w:t xml:space="preserve">Table 4.15</w:t>
        </w:r>
      </w:hyperlink>
      <w:r>
        <w:t xml:space="preserve"> </w:t>
      </w:r>
      <w:r>
        <w:t xml:space="preserve">and</w:t>
      </w:r>
      <w:r>
        <w:t xml:space="preserve"> </w:t>
      </w:r>
      <w:hyperlink w:anchor="tbl-study3-main-results2">
        <w:r>
          <w:rPr>
            <w:rStyle w:val="Hyperlink"/>
          </w:rPr>
          <w:t xml:space="preserve">Table 4.16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5" w:name="tbl-study3-main-results1"/>
          <w:p>
            <w:pPr>
              <w:jc w:val="center"/>
            </w:pPr>
            <w:pPr>
              <w:jc w:val="left"/>
              <w:spacing w:before="200"/>
              <w:pStyle w:val="ImageCaption"/>
            </w:pPr>
            <w:r>
              <w:t xml:space="preserve">Table 4.8: Root mean squared errors with 95% CIs for the different models evaluated on White participants.</w:t>
            </w:r>
          </w:p>
          <w:tbl>
            <w:tblPr>
              <w:tblStyle w:val="Table"/>
              <w:tblW w:type="pct" w:w="5000"/>
              <w:tblLayout w:type="fixed"/>
              <w:tblLook w:firstRow="1" w:lastRow="0" w:firstColumn="0" w:lastColumn="0" w:noHBand="0" w:noVBand="0" w:val="0020"/>
            </w:tblPr>
            <w:tblGrid>
              <w:gridCol w:w="950"/>
              <w:gridCol w:w="1742"/>
              <w:gridCol w:w="1742"/>
              <w:gridCol w:w="1742"/>
              <w:gridCol w:w="1742"/>
            </w:tblGrid>
            <w:tr>
              <w:trPr>
                <w:tblHeader w:val="on"/>
              </w:trPr>
              <w:tc>
                <w:tcPr/>
                <w:p>
                  <w:pPr>
                    <w:pStyle w:val="Compact"/>
                    <w:jc w:val="center"/>
                    <w:jc w:val="center"/>
                  </w:pPr>
                  <w:r>
                    <w:t xml:space="preserve">Ratio</w:t>
                  </w:r>
                </w:p>
              </w:tc>
              <w:tc>
                <w:tcPr/>
                <w:p>
                  <w:pPr>
                    <w:pStyle w:val="Compact"/>
                    <w:jc w:val="center"/>
                    <w:jc w:val="center"/>
                  </w:pPr>
                  <w:r>
                    <w:t xml:space="preserve">LOCF</w:t>
                  </w:r>
                </w:p>
              </w:tc>
              <w:tc>
                <w:tcPr/>
                <w:p>
                  <w:pPr>
                    <w:pStyle w:val="Compact"/>
                    <w:jc w:val="center"/>
                    <w:jc w:val="center"/>
                  </w:pPr>
                  <w:r>
                    <w:t xml:space="preserve">Base-Individual</w:t>
                  </w:r>
                </w:p>
              </w:tc>
              <w:tc>
                <w:tcPr/>
                <w:p>
                  <w:pPr>
                    <w:pStyle w:val="Compact"/>
                    <w:jc w:val="center"/>
                    <w:jc w:val="center"/>
                  </w:pPr>
                  <w:r>
                    <w:t xml:space="preserve">Base-Generalized</w:t>
                  </w:r>
                </w:p>
              </w:tc>
              <w:tc>
                <w:tcPr/>
                <w:p>
                  <w:pPr>
                    <w:pStyle w:val="Compact"/>
                    <w:jc w:val="center"/>
                    <w:jc w:val="center"/>
                  </w:pPr>
                  <w:r>
                    <w:t xml:space="preserve">Transfer Learned</w:t>
                  </w:r>
                </w:p>
              </w:tc>
            </w:tr>
            <w:tr>
              <w:tc>
                <w:tcPr/>
                <w:p>
                  <w:pPr>
                    <w:pStyle w:val="Compact"/>
                    <w:jc w:val="center"/>
                    <w:jc w:val="center"/>
                  </w:pPr>
                  <w:r>
                    <w:t xml:space="preserve">0</w:t>
                  </w:r>
                </w:p>
              </w:tc>
              <w:tc>
                <w:tcPr/>
                <w:p>
                  <w:pPr>
                    <w:pStyle w:val="Compact"/>
                  </w:pPr>
                </w:p>
              </w:tc>
              <w:tc>
                <w:tcPr/>
                <w:p>
                  <w:pPr>
                    <w:pStyle w:val="Compact"/>
                  </w:pPr>
                </w:p>
              </w:tc>
              <w:tc>
                <w:tcPr/>
                <w:p>
                  <w:pPr>
                    <w:pStyle w:val="Compact"/>
                    <w:jc w:val="center"/>
                    <w:jc w:val="center"/>
                  </w:pPr>
                  <w:r>
                    <w:t xml:space="preserve">2.04 [1.95, 2.13]</w:t>
                  </w:r>
                </w:p>
              </w:tc>
              <w:tc>
                <w:tcPr/>
                <w:p>
                  <w:pPr>
                    <w:pStyle w:val="Compact"/>
                    <w:jc w:val="center"/>
                    <w:jc w:val="center"/>
                  </w:pPr>
                  <w:r>
                    <w:t xml:space="preserve">2.02 [1.94, 2.11]</w:t>
                  </w:r>
                </w:p>
              </w:tc>
            </w:tr>
            <w:tr>
              <w:tc>
                <w:tcPr/>
                <w:p>
                  <w:pPr>
                    <w:pStyle w:val="Compact"/>
                    <w:jc w:val="center"/>
                    <w:jc w:val="center"/>
                  </w:pPr>
                  <w:r>
                    <w:t xml:space="preserve">10</w:t>
                  </w:r>
                </w:p>
              </w:tc>
              <w:tc>
                <w:tcPr/>
                <w:p>
                  <w:pPr>
                    <w:pStyle w:val="Compact"/>
                  </w:pPr>
                </w:p>
              </w:tc>
              <w:tc>
                <w:tcPr/>
                <w:p>
                  <w:pPr>
                    <w:pStyle w:val="Compact"/>
                  </w:pPr>
                </w:p>
              </w:tc>
              <w:tc>
                <w:tcPr/>
                <w:p>
                  <w:pPr>
                    <w:pStyle w:val="Compact"/>
                    <w:jc w:val="center"/>
                    <w:jc w:val="center"/>
                  </w:pPr>
                  <w:r>
                    <w:t xml:space="preserve">2.04 [1.95, 2.13]</w:t>
                  </w:r>
                </w:p>
              </w:tc>
              <w:tc>
                <w:tcPr/>
                <w:p>
                  <w:pPr>
                    <w:pStyle w:val="Compact"/>
                    <w:jc w:val="center"/>
                    <w:jc w:val="center"/>
                  </w:pPr>
                  <w:r>
                    <w:t xml:space="preserve">2.02 [1.94, 2.11]</w:t>
                  </w:r>
                </w:p>
              </w:tc>
            </w:tr>
            <w:tr>
              <w:tc>
                <w:tcPr/>
                <w:p>
                  <w:pPr>
                    <w:pStyle w:val="Compact"/>
                    <w:jc w:val="center"/>
                    <w:jc w:val="center"/>
                  </w:pPr>
                  <w:r>
                    <w:t xml:space="preserve">20</w:t>
                  </w:r>
                </w:p>
              </w:tc>
              <w:tc>
                <w:tcPr/>
                <w:p>
                  <w:pPr>
                    <w:pStyle w:val="Compact"/>
                  </w:pPr>
                </w:p>
              </w:tc>
              <w:tc>
                <w:tcPr/>
                <w:p>
                  <w:pPr>
                    <w:pStyle w:val="Compact"/>
                  </w:pPr>
                </w:p>
              </w:tc>
              <w:tc>
                <w:tcPr/>
                <w:p>
                  <w:pPr>
                    <w:pStyle w:val="Compact"/>
                    <w:jc w:val="center"/>
                    <w:jc w:val="center"/>
                  </w:pPr>
                  <w:r>
                    <w:t xml:space="preserve">2.04 [1.95, 2.12]</w:t>
                  </w:r>
                </w:p>
              </w:tc>
              <w:tc>
                <w:tcPr/>
                <w:p>
                  <w:pPr>
                    <w:pStyle w:val="Compact"/>
                    <w:jc w:val="center"/>
                    <w:jc w:val="center"/>
                  </w:pPr>
                  <w:r>
                    <w:t xml:space="preserve">2.02 [1.94, 2.10]</w:t>
                  </w:r>
                </w:p>
              </w:tc>
            </w:tr>
            <w:tr>
              <w:tc>
                <w:tcPr/>
                <w:p>
                  <w:pPr>
                    <w:pStyle w:val="Compact"/>
                    <w:jc w:val="center"/>
                    <w:jc w:val="center"/>
                  </w:pPr>
                  <w:r>
                    <w:t xml:space="preserve">30</w:t>
                  </w:r>
                </w:p>
              </w:tc>
              <w:tc>
                <w:tcPr/>
                <w:p>
                  <w:pPr>
                    <w:pStyle w:val="Compact"/>
                  </w:pPr>
                </w:p>
              </w:tc>
              <w:tc>
                <w:tcPr/>
                <w:p>
                  <w:pPr>
                    <w:pStyle w:val="Compact"/>
                  </w:pPr>
                </w:p>
              </w:tc>
              <w:tc>
                <w:tcPr/>
                <w:p>
                  <w:pPr>
                    <w:pStyle w:val="Compact"/>
                    <w:jc w:val="center"/>
                    <w:jc w:val="center"/>
                  </w:pPr>
                  <w:r>
                    <w:t xml:space="preserve">2.03 [1.94, 2.12]</w:t>
                  </w:r>
                </w:p>
              </w:tc>
              <w:tc>
                <w:tcPr/>
                <w:p>
                  <w:pPr>
                    <w:pStyle w:val="Compact"/>
                    <w:jc w:val="center"/>
                    <w:jc w:val="center"/>
                  </w:pPr>
                  <w:r>
                    <w:t xml:space="preserve">2.02 [1.94, 2.10]</w:t>
                  </w:r>
                </w:p>
              </w:tc>
            </w:tr>
            <w:tr>
              <w:tc>
                <w:tcPr/>
                <w:p>
                  <w:pPr>
                    <w:pStyle w:val="Compact"/>
                    <w:jc w:val="center"/>
                    <w:jc w:val="center"/>
                  </w:pPr>
                  <w:r>
                    <w:t xml:space="preserve">40</w:t>
                  </w:r>
                </w:p>
              </w:tc>
              <w:tc>
                <w:tcPr/>
                <w:p>
                  <w:pPr>
                    <w:pStyle w:val="Compact"/>
                    <w:jc w:val="center"/>
                    <w:jc w:val="center"/>
                  </w:pPr>
                  <w:r>
                    <w:t xml:space="preserve">2.45 [2.32, 2.57]</w:t>
                  </w:r>
                </w:p>
              </w:tc>
              <w:tc>
                <w:tcPr/>
                <w:p>
                  <w:pPr>
                    <w:pStyle w:val="Compact"/>
                    <w:jc w:val="center"/>
                    <w:jc w:val="center"/>
                  </w:pPr>
                  <w:r>
                    <w:t xml:space="preserve">2.54 [2.38, 2.70]</w:t>
                  </w:r>
                </w:p>
              </w:tc>
              <w:tc>
                <w:tcPr/>
                <w:p>
                  <w:pPr>
                    <w:pStyle w:val="Compact"/>
                    <w:jc w:val="center"/>
                    <w:jc w:val="center"/>
                  </w:pPr>
                  <w:r>
                    <w:t xml:space="preserve">2.03 [1.94, 2.12]</w:t>
                  </w:r>
                </w:p>
              </w:tc>
              <w:tc>
                <w:tcPr/>
                <w:p>
                  <w:pPr>
                    <w:pStyle w:val="Compact"/>
                    <w:jc w:val="center"/>
                    <w:jc w:val="center"/>
                  </w:pPr>
                  <w:r>
                    <w:t xml:space="preserve">2.02 [1.94, 2.10]</w:t>
                  </w:r>
                </w:p>
              </w:tc>
            </w:tr>
            <w:tr>
              <w:tc>
                <w:tcPr/>
                <w:p>
                  <w:pPr>
                    <w:pStyle w:val="Compact"/>
                    <w:jc w:val="center"/>
                    <w:jc w:val="center"/>
                  </w:pPr>
                  <w:r>
                    <w:t xml:space="preserve">50</w:t>
                  </w:r>
                </w:p>
              </w:tc>
              <w:tc>
                <w:tcPr/>
                <w:p>
                  <w:pPr>
                    <w:pStyle w:val="Compact"/>
                    <w:jc w:val="center"/>
                    <w:jc w:val="center"/>
                  </w:pPr>
                  <w:r>
                    <w:t xml:space="preserve">(independent</w:t>
                  </w:r>
                </w:p>
              </w:tc>
              <w:tc>
                <w:tcPr/>
                <w:p>
                  <w:pPr>
                    <w:pStyle w:val="Compact"/>
                    <w:jc w:val="center"/>
                    <w:jc w:val="center"/>
                  </w:pPr>
                  <w:r>
                    <w:t xml:space="preserve">(independent</w:t>
                  </w:r>
                </w:p>
              </w:tc>
              <w:tc>
                <w:tcPr/>
                <w:p>
                  <w:pPr>
                    <w:pStyle w:val="Compact"/>
                    <w:jc w:val="center"/>
                    <w:jc w:val="center"/>
                  </w:pPr>
                  <w:r>
                    <w:t xml:space="preserve">2.03 [1.94, 2.11]</w:t>
                  </w:r>
                </w:p>
              </w:tc>
              <w:tc>
                <w:tcPr/>
                <w:p>
                  <w:pPr>
                    <w:pStyle w:val="Compact"/>
                    <w:jc w:val="center"/>
                    <w:jc w:val="center"/>
                  </w:pPr>
                  <w:r>
                    <w:t xml:space="preserve">2.02 [1.93, 2.10]</w:t>
                  </w:r>
                </w:p>
              </w:tc>
            </w:tr>
            <w:tr>
              <w:tc>
                <w:tcPr/>
                <w:p>
                  <w:pPr>
                    <w:pStyle w:val="Compact"/>
                    <w:jc w:val="center"/>
                    <w:jc w:val="center"/>
                  </w:pPr>
                  <w:r>
                    <w:t xml:space="preserve">60</w:t>
                  </w:r>
                </w:p>
              </w:tc>
              <w:tc>
                <w:tcPr/>
                <w:p>
                  <w:pPr>
                    <w:pStyle w:val="Compact"/>
                    <w:jc w:val="center"/>
                    <w:jc w:val="center"/>
                  </w:pPr>
                  <w:r>
                    <w:t xml:space="preserve">of ratio)</w:t>
                  </w:r>
                </w:p>
              </w:tc>
              <w:tc>
                <w:tcPr/>
                <w:p>
                  <w:pPr>
                    <w:pStyle w:val="Compact"/>
                    <w:jc w:val="center"/>
                    <w:jc w:val="center"/>
                  </w:pPr>
                  <w:r>
                    <w:t xml:space="preserve">of ratio)</w:t>
                  </w:r>
                </w:p>
              </w:tc>
              <w:tc>
                <w:tcPr/>
                <w:p>
                  <w:pPr>
                    <w:pStyle w:val="Compact"/>
                    <w:jc w:val="center"/>
                    <w:jc w:val="center"/>
                  </w:pPr>
                  <w:r>
                    <w:t xml:space="preserve">2.02 [1.94, 2.11]</w:t>
                  </w:r>
                </w:p>
              </w:tc>
              <w:tc>
                <w:tcPr/>
                <w:p>
                  <w:pPr>
                    <w:pStyle w:val="Compact"/>
                    <w:jc w:val="center"/>
                    <w:jc w:val="center"/>
                  </w:pPr>
                  <w:r>
                    <w:t xml:space="preserve">2.02 [1.93, 2.10]</w:t>
                  </w:r>
                </w:p>
              </w:tc>
            </w:tr>
            <w:tr>
              <w:tc>
                <w:tcPr/>
                <w:p>
                  <w:pPr>
                    <w:pStyle w:val="Compact"/>
                    <w:jc w:val="center"/>
                    <w:jc w:val="center"/>
                  </w:pPr>
                  <w:r>
                    <w:t xml:space="preserve">70</w:t>
                  </w:r>
                </w:p>
              </w:tc>
              <w:tc>
                <w:tcPr/>
                <w:p>
                  <w:pPr>
                    <w:pStyle w:val="Compact"/>
                  </w:pPr>
                </w:p>
              </w:tc>
              <w:tc>
                <w:tcPr/>
                <w:p>
                  <w:pPr>
                    <w:pStyle w:val="Compact"/>
                  </w:pPr>
                </w:p>
              </w:tc>
              <w:tc>
                <w:tcPr/>
                <w:p>
                  <w:pPr>
                    <w:pStyle w:val="Compact"/>
                    <w:jc w:val="center"/>
                    <w:jc w:val="center"/>
                  </w:pPr>
                  <w:r>
                    <w:t xml:space="preserve">2.02 [1.93, 2.11]</w:t>
                  </w:r>
                </w:p>
              </w:tc>
              <w:tc>
                <w:tcPr/>
                <w:p>
                  <w:pPr>
                    <w:pStyle w:val="Compact"/>
                    <w:jc w:val="center"/>
                    <w:jc w:val="center"/>
                  </w:pPr>
                  <w:r>
                    <w:t xml:space="preserve">2.01 [1.93, 2.10]</w:t>
                  </w:r>
                </w:p>
              </w:tc>
            </w:tr>
            <w:tr>
              <w:tc>
                <w:tcPr/>
                <w:p>
                  <w:pPr>
                    <w:pStyle w:val="Compact"/>
                    <w:jc w:val="center"/>
                    <w:jc w:val="center"/>
                  </w:pPr>
                  <w:r>
                    <w:t xml:space="preserve">80</w:t>
                  </w:r>
                </w:p>
              </w:tc>
              <w:tc>
                <w:tcPr/>
                <w:p>
                  <w:pPr>
                    <w:pStyle w:val="Compact"/>
                  </w:pPr>
                </w:p>
              </w:tc>
              <w:tc>
                <w:tcPr/>
                <w:p>
                  <w:pPr>
                    <w:pStyle w:val="Compact"/>
                  </w:pPr>
                </w:p>
              </w:tc>
              <w:tc>
                <w:tcPr/>
                <w:p>
                  <w:pPr>
                    <w:pStyle w:val="Compact"/>
                    <w:jc w:val="center"/>
                    <w:jc w:val="center"/>
                  </w:pPr>
                  <w:r>
                    <w:t xml:space="preserve">2.02 [1.93, 2.11]</w:t>
                  </w:r>
                </w:p>
              </w:tc>
              <w:tc>
                <w:tcPr/>
                <w:p>
                  <w:pPr>
                    <w:pStyle w:val="Compact"/>
                    <w:jc w:val="center"/>
                    <w:jc w:val="center"/>
                  </w:pPr>
                  <w:r>
                    <w:t xml:space="preserve">2.01 [1.93, 2.10]</w:t>
                  </w:r>
                </w:p>
              </w:tc>
            </w:tr>
            <w:tr>
              <w:tc>
                <w:tcPr/>
                <w:p>
                  <w:pPr>
                    <w:pStyle w:val="Compact"/>
                    <w:jc w:val="center"/>
                    <w:jc w:val="center"/>
                  </w:pPr>
                  <w:r>
                    <w:t xml:space="preserve">90</w:t>
                  </w:r>
                </w:p>
              </w:tc>
              <w:tc>
                <w:tcPr/>
                <w:p>
                  <w:pPr>
                    <w:pStyle w:val="Compact"/>
                  </w:pPr>
                </w:p>
              </w:tc>
              <w:tc>
                <w:tcPr/>
                <w:p>
                  <w:pPr>
                    <w:pStyle w:val="Compact"/>
                  </w:pPr>
                </w:p>
              </w:tc>
              <w:tc>
                <w:tcPr/>
                <w:p>
                  <w:pPr>
                    <w:pStyle w:val="Compact"/>
                    <w:jc w:val="center"/>
                    <w:jc w:val="center"/>
                  </w:pPr>
                  <w:r>
                    <w:t xml:space="preserve">2.01 [1.92, 2.10]</w:t>
                  </w:r>
                </w:p>
              </w:tc>
              <w:tc>
                <w:tcPr/>
                <w:p>
                  <w:pPr>
                    <w:pStyle w:val="Compact"/>
                    <w:jc w:val="center"/>
                    <w:jc w:val="center"/>
                  </w:pPr>
                  <w:r>
                    <w:t xml:space="preserve">2.01 [1.93, 2.10]</w:t>
                  </w:r>
                </w:p>
              </w:tc>
            </w:tr>
            <w:tr>
              <w:tc>
                <w:tcPr/>
                <w:p>
                  <w:pPr>
                    <w:pStyle w:val="Compact"/>
                    <w:jc w:val="center"/>
                    <w:jc w:val="center"/>
                  </w:pPr>
                  <w:r>
                    <w:t xml:space="preserve">100</w:t>
                  </w:r>
                </w:p>
              </w:tc>
              <w:tc>
                <w:tcPr/>
                <w:p>
                  <w:pPr>
                    <w:pStyle w:val="Compact"/>
                  </w:pPr>
                </w:p>
              </w:tc>
              <w:tc>
                <w:tcPr/>
                <w:p>
                  <w:pPr>
                    <w:pStyle w:val="Compact"/>
                  </w:pPr>
                </w:p>
              </w:tc>
              <w:tc>
                <w:tcPr/>
                <w:p>
                  <w:pPr>
                    <w:pStyle w:val="Compact"/>
                    <w:jc w:val="center"/>
                    <w:jc w:val="center"/>
                  </w:pPr>
                  <w:r>
                    <w:t xml:space="preserve">2.01 [1.92, 2.10]</w:t>
                  </w:r>
                </w:p>
              </w:tc>
              <w:tc>
                <w:tcPr/>
                <w:p>
                  <w:pPr>
                    <w:pStyle w:val="Compact"/>
                    <w:jc w:val="center"/>
                    <w:jc w:val="center"/>
                  </w:pPr>
                  <w:r>
                    <w:t xml:space="preserve">2.01 [1.92, 2.10]</w:t>
                  </w:r>
                </w:p>
              </w:tc>
            </w:tr>
          </w:tbl>
          <w:bookmarkEnd w:id="1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6" w:name="tbl-study3-main-results2"/>
          <w:p>
            <w:pPr>
              <w:jc w:val="center"/>
            </w:pPr>
            <w:pPr>
              <w:jc w:val="left"/>
              <w:spacing w:before="200"/>
              <w:pStyle w:val="ImageCaption"/>
            </w:pPr>
            <w:r>
              <w:t xml:space="preserve">Table 4.9: Root mean squared errors with 95% CIs for the different models evaluated on Black participants.</w:t>
            </w:r>
          </w:p>
          <w:tbl>
            <w:tblPr>
              <w:tblStyle w:val="Table"/>
              <w:tblW w:type="pct" w:w="5000"/>
              <w:tblLayout w:type="fixed"/>
              <w:tblLook w:firstRow="1" w:lastRow="0" w:firstColumn="0" w:lastColumn="0" w:noHBand="0" w:noVBand="0" w:val="0020"/>
            </w:tblPr>
            <w:tblGrid>
              <w:gridCol w:w="950"/>
              <w:gridCol w:w="1742"/>
              <w:gridCol w:w="1742"/>
              <w:gridCol w:w="1742"/>
              <w:gridCol w:w="1742"/>
            </w:tblGrid>
            <w:tr>
              <w:trPr>
                <w:tblHeader w:val="on"/>
              </w:trPr>
              <w:tc>
                <w:tcPr/>
                <w:p>
                  <w:pPr>
                    <w:pStyle w:val="Compact"/>
                    <w:jc w:val="center"/>
                    <w:jc w:val="center"/>
                  </w:pPr>
                  <w:r>
                    <w:t xml:space="preserve">Ratio</w:t>
                  </w:r>
                </w:p>
              </w:tc>
              <w:tc>
                <w:tcPr/>
                <w:p>
                  <w:pPr>
                    <w:pStyle w:val="Compact"/>
                    <w:jc w:val="center"/>
                    <w:jc w:val="center"/>
                  </w:pPr>
                  <w:r>
                    <w:t xml:space="preserve">LOCF</w:t>
                  </w:r>
                </w:p>
              </w:tc>
              <w:tc>
                <w:tcPr/>
                <w:p>
                  <w:pPr>
                    <w:pStyle w:val="Compact"/>
                    <w:jc w:val="center"/>
                    <w:jc w:val="center"/>
                  </w:pPr>
                  <w:r>
                    <w:t xml:space="preserve">Base-Individual</w:t>
                  </w:r>
                </w:p>
              </w:tc>
              <w:tc>
                <w:tcPr/>
                <w:p>
                  <w:pPr>
                    <w:pStyle w:val="Compact"/>
                    <w:jc w:val="center"/>
                    <w:jc w:val="center"/>
                  </w:pPr>
                  <w:r>
                    <w:t xml:space="preserve">Base-Generalized</w:t>
                  </w:r>
                </w:p>
              </w:tc>
              <w:tc>
                <w:tcPr/>
                <w:p>
                  <w:pPr>
                    <w:pStyle w:val="Compact"/>
                    <w:jc w:val="center"/>
                    <w:jc w:val="center"/>
                  </w:pPr>
                  <w:r>
                    <w:t xml:space="preserve">Transfer Learned</w:t>
                  </w:r>
                </w:p>
              </w:tc>
            </w:tr>
            <w:tr>
              <w:tc>
                <w:tcPr/>
                <w:p>
                  <w:pPr>
                    <w:pStyle w:val="Compact"/>
                    <w:jc w:val="center"/>
                    <w:jc w:val="center"/>
                  </w:pPr>
                  <w:r>
                    <w:t xml:space="preserve">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[1.91, 2.08]</w:t>
                  </w:r>
                </w:p>
              </w:tc>
            </w:tr>
            <w:tr>
              <w:tc>
                <w:tcPr/>
                <w:p>
                  <w:pPr>
                    <w:pStyle w:val="Compact"/>
                    <w:jc w:val="center"/>
                    <w:jc w:val="center"/>
                  </w:pPr>
                  <w:r>
                    <w:t xml:space="preserve">10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[1.91, 2.08]</w:t>
                  </w:r>
                </w:p>
              </w:tc>
            </w:tr>
            <w:tr>
              <w:tc>
                <w:tcPr/>
                <w:p>
                  <w:pPr>
                    <w:pStyle w:val="Compact"/>
                    <w:jc w:val="center"/>
                    <w:jc w:val="center"/>
                  </w:pPr>
                  <w:r>
                    <w:t xml:space="preserve">20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[1.92, 2.08]</w:t>
                  </w:r>
                </w:p>
              </w:tc>
            </w:tr>
            <w:tr>
              <w:tc>
                <w:tcPr/>
                <w:p>
                  <w:pPr>
                    <w:pStyle w:val="Compact"/>
                    <w:jc w:val="center"/>
                    <w:jc w:val="center"/>
                  </w:pPr>
                  <w:r>
                    <w:t xml:space="preserve">30</w:t>
                  </w:r>
                </w:p>
              </w:tc>
              <w:tc>
                <w:tcPr/>
                <w:p>
                  <w:pPr>
                    <w:pStyle w:val="Compact"/>
                  </w:pPr>
                </w:p>
              </w:tc>
              <w:tc>
                <w:tcPr/>
                <w:p>
                  <w:pPr>
                    <w:pStyle w:val="Compact"/>
                  </w:pP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40</w:t>
                  </w:r>
                </w:p>
              </w:tc>
              <w:tc>
                <w:tcPr/>
                <w:p>
                  <w:pPr>
                    <w:pStyle w:val="Compact"/>
                    <w:jc w:val="center"/>
                    <w:jc w:val="center"/>
                  </w:pPr>
                  <w:r>
                    <w:t xml:space="preserve">2.41 [2.28, 2.53]</w:t>
                  </w:r>
                </w:p>
              </w:tc>
              <w:tc>
                <w:tcPr/>
                <w:p>
                  <w:pPr>
                    <w:pStyle w:val="Compact"/>
                    <w:jc w:val="center"/>
                    <w:jc w:val="center"/>
                  </w:pPr>
                  <w:r>
                    <w:t xml:space="preserve">2.63 [2.47, 2.79]</w:t>
                  </w: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50</w:t>
                  </w:r>
                </w:p>
              </w:tc>
              <w:tc>
                <w:tcPr/>
                <w:p>
                  <w:pPr>
                    <w:pStyle w:val="Compact"/>
                    <w:jc w:val="center"/>
                    <w:jc w:val="center"/>
                  </w:pPr>
                  <w:r>
                    <w:t xml:space="preserve">(independent</w:t>
                  </w:r>
                </w:p>
              </w:tc>
              <w:tc>
                <w:tcPr/>
                <w:p>
                  <w:pPr>
                    <w:pStyle w:val="Compact"/>
                    <w:jc w:val="center"/>
                    <w:jc w:val="center"/>
                  </w:pPr>
                  <w:r>
                    <w:t xml:space="preserve">(independent</w:t>
                  </w: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60</w:t>
                  </w:r>
                </w:p>
              </w:tc>
              <w:tc>
                <w:tcPr/>
                <w:p>
                  <w:pPr>
                    <w:pStyle w:val="Compact"/>
                    <w:jc w:val="center"/>
                    <w:jc w:val="center"/>
                  </w:pPr>
                  <w:r>
                    <w:t xml:space="preserve">of ratio)</w:t>
                  </w:r>
                </w:p>
              </w:tc>
              <w:tc>
                <w:tcPr/>
                <w:p>
                  <w:pPr>
                    <w:pStyle w:val="Compact"/>
                    <w:jc w:val="center"/>
                    <w:jc w:val="center"/>
                  </w:pPr>
                  <w:r>
                    <w:t xml:space="preserve">of ratio)</w:t>
                  </w:r>
                </w:p>
              </w:tc>
              <w:tc>
                <w:tcPr/>
                <w:p>
                  <w:pPr>
                    <w:pStyle w:val="Compact"/>
                    <w:jc w:val="center"/>
                    <w:jc w:val="center"/>
                  </w:pPr>
                  <w:r>
                    <w:t xml:space="preserve">2.06 [1.97, 2.14]</w:t>
                  </w:r>
                </w:p>
              </w:tc>
              <w:tc>
                <w:tcPr/>
                <w:p>
                  <w:pPr>
                    <w:pStyle w:val="Compact"/>
                    <w:jc w:val="center"/>
                    <w:jc w:val="center"/>
                  </w:pPr>
                  <w:r>
                    <w:t xml:space="preserve">2.00 [1.92, 2.08]</w:t>
                  </w:r>
                </w:p>
              </w:tc>
            </w:tr>
            <w:tr>
              <w:tc>
                <w:tcPr/>
                <w:p>
                  <w:pPr>
                    <w:pStyle w:val="Compact"/>
                    <w:jc w:val="center"/>
                    <w:jc w:val="center"/>
                  </w:pPr>
                  <w:r>
                    <w:t xml:space="preserve">70</w:t>
                  </w:r>
                </w:p>
              </w:tc>
              <w:tc>
                <w:tcPr/>
                <w:p>
                  <w:pPr>
                    <w:pStyle w:val="Compact"/>
                  </w:pPr>
                </w:p>
              </w:tc>
              <w:tc>
                <w:tcPr/>
                <w:p>
                  <w:pPr>
                    <w:pStyle w:val="Compact"/>
                  </w:pPr>
                </w:p>
              </w:tc>
              <w:tc>
                <w:tcPr/>
                <w:p>
                  <w:pPr>
                    <w:pStyle w:val="Compact"/>
                    <w:jc w:val="center"/>
                    <w:jc w:val="center"/>
                  </w:pPr>
                  <w:r>
                    <w:t xml:space="preserve">2.06 [1.97, 2.14]</w:t>
                  </w:r>
                </w:p>
              </w:tc>
              <w:tc>
                <w:tcPr/>
                <w:p>
                  <w:pPr>
                    <w:pStyle w:val="Compact"/>
                    <w:jc w:val="center"/>
                    <w:jc w:val="center"/>
                  </w:pPr>
                  <w:r>
                    <w:t xml:space="preserve">2.00 [1.92, 2.08]</w:t>
                  </w:r>
                </w:p>
              </w:tc>
            </w:tr>
            <w:tr>
              <w:tc>
                <w:tcPr/>
                <w:p>
                  <w:pPr>
                    <w:pStyle w:val="Compact"/>
                    <w:jc w:val="center"/>
                    <w:jc w:val="center"/>
                  </w:pPr>
                  <w:r>
                    <w:t xml:space="preserve">80</w:t>
                  </w:r>
                </w:p>
              </w:tc>
              <w:tc>
                <w:tcPr/>
                <w:p>
                  <w:pPr>
                    <w:pStyle w:val="Compact"/>
                  </w:pPr>
                </w:p>
              </w:tc>
              <w:tc>
                <w:tcPr/>
                <w:p>
                  <w:pPr>
                    <w:pStyle w:val="Compact"/>
                  </w:pPr>
                </w:p>
              </w:tc>
              <w:tc>
                <w:tcPr/>
                <w:p>
                  <w:pPr>
                    <w:pStyle w:val="Compact"/>
                    <w:jc w:val="center"/>
                    <w:jc w:val="center"/>
                  </w:pPr>
                  <w:r>
                    <w:t xml:space="preserve">2.06 [1.97, 2.14]</w:t>
                  </w:r>
                </w:p>
              </w:tc>
              <w:tc>
                <w:tcPr/>
                <w:p>
                  <w:pPr>
                    <w:pStyle w:val="Compact"/>
                    <w:jc w:val="center"/>
                    <w:jc w:val="center"/>
                  </w:pPr>
                  <w:r>
                    <w:t xml:space="preserve">2.00 [1.92, 2.09]</w:t>
                  </w:r>
                </w:p>
              </w:tc>
            </w:tr>
            <w:tr>
              <w:tc>
                <w:tcPr/>
                <w:p>
                  <w:pPr>
                    <w:pStyle w:val="Compact"/>
                    <w:jc w:val="center"/>
                    <w:jc w:val="center"/>
                  </w:pPr>
                  <w:r>
                    <w:t xml:space="preserve">90</w:t>
                  </w:r>
                </w:p>
              </w:tc>
              <w:tc>
                <w:tcPr/>
                <w:p>
                  <w:pPr>
                    <w:pStyle w:val="Compact"/>
                  </w:pPr>
                </w:p>
              </w:tc>
              <w:tc>
                <w:tcPr/>
                <w:p>
                  <w:pPr>
                    <w:pStyle w:val="Compact"/>
                  </w:pPr>
                </w:p>
              </w:tc>
              <w:tc>
                <w:tcPr/>
                <w:p>
                  <w:pPr>
                    <w:pStyle w:val="Compact"/>
                    <w:jc w:val="center"/>
                    <w:jc w:val="center"/>
                  </w:pPr>
                  <w:r>
                    <w:t xml:space="preserve">2.06 [1.97, 2.15]</w:t>
                  </w:r>
                </w:p>
              </w:tc>
              <w:tc>
                <w:tcPr/>
                <w:p>
                  <w:pPr>
                    <w:pStyle w:val="Compact"/>
                    <w:jc w:val="center"/>
                    <w:jc w:val="center"/>
                  </w:pPr>
                  <w:r>
                    <w:t xml:space="preserve">2.00 [1.92, 2.09]</w:t>
                  </w:r>
                </w:p>
              </w:tc>
            </w:tr>
            <w:tr>
              <w:tc>
                <w:tcPr/>
                <w:p>
                  <w:pPr>
                    <w:pStyle w:val="Compact"/>
                    <w:jc w:val="center"/>
                    <w:jc w:val="center"/>
                  </w:pPr>
                  <w:r>
                    <w:t xml:space="preserve">100</w:t>
                  </w:r>
                </w:p>
              </w:tc>
              <w:tc>
                <w:tcPr/>
                <w:p>
                  <w:pPr>
                    <w:pStyle w:val="Compact"/>
                  </w:pPr>
                </w:p>
              </w:tc>
              <w:tc>
                <w:tcPr/>
                <w:p>
                  <w:pPr>
                    <w:pStyle w:val="Compact"/>
                  </w:pPr>
                </w:p>
              </w:tc>
              <w:tc>
                <w:tcPr/>
                <w:p>
                  <w:pPr>
                    <w:pStyle w:val="Compact"/>
                    <w:jc w:val="center"/>
                    <w:jc w:val="center"/>
                  </w:pPr>
                  <w:r>
                    <w:t xml:space="preserve">2.06 [1.97, 2.15]</w:t>
                  </w:r>
                </w:p>
              </w:tc>
              <w:tc>
                <w:tcPr/>
                <w:p>
                  <w:pPr>
                    <w:pStyle w:val="Compact"/>
                    <w:jc w:val="center"/>
                    <w:jc w:val="center"/>
                  </w:pPr>
                  <w:r>
                    <w:t xml:space="preserve">2.00 [1.92, 2.09]</w:t>
                  </w:r>
                </w:p>
              </w:tc>
            </w:tr>
          </w:tbl>
          <w:bookmarkEnd w:id="156"/>
          <w:p/>
        </w:tc>
      </w:tr>
    </w:tbl>
    <w:p>
      <w:pPr>
        <w:pStyle w:val="BodyText"/>
      </w:pPr>
      <w:r>
        <w:t xml:space="preserve">For the Base-Generalized models, prediction performance gradually diverged between White and Black participants as the proportion of White participants in the training data increased (</w:t>
      </w:r>
      <w:hyperlink w:anchor="fig-lmem-results">
        <w:r>
          <w:rPr>
            <w:rStyle w:val="Hyperlink"/>
          </w:rPr>
          <w:t xml:space="preserve">Figure 4.4</w:t>
        </w:r>
      </w:hyperlink>
      <w:r>
        <w:t xml:space="preserve">). For example, when the training data changed from 0% to 100% White participants, the difference in RMSE between the racial groups increased by 0.04 mmol/L [95% CI: 0.001 to 0.008],</w:t>
      </w:r>
      <m:oMath>
        <m:r>
          <m:t>p</m:t>
        </m:r>
      </m:oMath>
      <w:r>
        <w:t xml:space="preserve">=0.02, indicating that training data composition affected the two groups differently(</w:t>
      </w:r>
      <w:hyperlink w:anchor="tbl-general-model-coefficients">
        <w:r>
          <w:rPr>
            <w:rStyle w:val="Hyperlink"/>
          </w:rPr>
          <w:t xml:space="preserve">Table 4.17</w:t>
        </w:r>
      </w:hyperlink>
      <w:r>
        <w:t xml:space="preserve">). This divergence was not observed after transfer learning (0.002 mmol/L[95% CI: -0.001 to 0.005],</w:t>
      </w:r>
      <w:r>
        <w:t xml:space="preserve"> </w:t>
      </w:r>
      <m:oMath>
        <m:r>
          <m:t>p</m:t>
        </m:r>
      </m:oMath>
      <w:r>
        <w:t xml:space="preserve">=0.20) (</w:t>
      </w:r>
      <w:hyperlink w:anchor="tbl-transferlearned-coefficients">
        <w:r>
          <w:rPr>
            <w:rStyle w:val="Hyperlink"/>
          </w:rPr>
          <w:t xml:space="preserve">Table 4.18</w:t>
        </w:r>
      </w:hyperlink>
      <w:r>
        <w:t xml:space="preserve">).</w:t>
      </w:r>
      <w:r>
        <w:t xml:space="preserve"> </w:t>
      </w:r>
      <w:r>
        <w:t xml:space="preserve">A statistically significant differences were however found in both the Base-Generalized and the Transfer Learned models for age groups (0.482 [0.355 to 0.610], p &lt; 0.001,</w:t>
      </w:r>
      <w:r>
        <w:t xml:space="preserve"> </w:t>
      </w:r>
      <w:hyperlink w:anchor="tbl-general-model-coefficients">
        <w:r>
          <w:rPr>
            <w:rStyle w:val="Hyperlink"/>
          </w:rPr>
          <w:t xml:space="preserve">Table 4.17</w:t>
        </w:r>
      </w:hyperlink>
      <w:r>
        <w:t xml:space="preserve"> </w:t>
      </w:r>
      <w:r>
        <w:t xml:space="preserve">and 0.411 [0.290 to 0.533], p &lt; 0.001,</w:t>
      </w:r>
      <w:r>
        <w:t xml:space="preserve"> </w:t>
      </w:r>
      <w:hyperlink w:anchor="tbl-transferlearned-coefficients">
        <w:r>
          <w:rPr>
            <w:rStyle w:val="Hyperlink"/>
          </w:rPr>
          <w:t xml:space="preserve">Table 4.18</w:t>
        </w:r>
      </w:hyperlink>
      <w:r>
        <w:t xml:space="preserve"> </w:t>
      </w:r>
      <w:r>
        <w:t xml:space="preserve">respectivly). The differences in age groups showed a lower error when forecasting blood glucose values for adults compared to children.</w:t>
      </w:r>
      <w:r>
        <w:t xml:space="preserve"> </w:t>
      </w:r>
      <w:r>
        <w:t xml:space="preserve">Larger sample sizes available for transfer learning were associated with lower prediction error (</w:t>
      </w:r>
      <m:oMath>
        <m:r>
          <m:t>β</m:t>
        </m:r>
      </m:oMath>
      <w:r>
        <w:t xml:space="preserve"> </w:t>
      </w:r>
      <w:r>
        <w:t xml:space="preserve">= -0.111 mmol/L [-0.161 to -0.061] mmol/L,</w:t>
      </w:r>
      <w:r>
        <w:t xml:space="preserve"> </w:t>
      </w:r>
      <m:oMath>
        <m:r>
          <m:t>p</m:t>
        </m:r>
      </m:oMath>
      <w:r>
        <w:t xml:space="preserve"> &lt; 0.001) for every additional 1,000 samples used for fine-tuning (</w:t>
      </w:r>
      <w:hyperlink w:anchor="tbl-transferlearned-coefficients">
        <w:r>
          <w:rPr>
            <w:rStyle w:val="Hyperlink"/>
          </w:rPr>
          <w:t xml:space="preserve">Table 4.18</w:t>
        </w:r>
      </w:hyperlink>
      <w:r>
        <w:t xml:space="preserve">).</w:t>
      </w:r>
      <w:r>
        <w:t xml:space="preserve"> </w:t>
      </w:r>
      <w:r>
        <w:t xml:space="preserve">In contrast, the size of the dataset used to train the Base-Generalized model was not associated with prediction error.</w:t>
      </w:r>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7" w:name="tbl-general-model-coefficients"/>
          <w:p>
            <w:pPr>
              <w:jc w:val="center"/>
            </w:pPr>
            <w:pPr>
              <w:jc w:val="left"/>
              <w:spacing w:before="200"/>
              <w:pStyle w:val="ImageCaption"/>
            </w:pPr>
            <w:r>
              <w:t xml:space="preserve">Table 4.10: Model coefficients from linear mixed effects models for root mean squared errors of the Base-Generalized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Predictor</w:t>
                  </w:r>
                </w:p>
              </w:tc>
              <w:tc>
                <w:tcPr/>
                <w:p>
                  <w:pPr>
                    <w:pStyle w:val="Compact"/>
                    <w:jc w:val="left"/>
                    <w:jc w:val="center"/>
                  </w:pPr>
                  <w:r>
                    <w:t xml:space="preserve">Coefficient</w:t>
                  </w:r>
                </w:p>
              </w:tc>
              <w:tc>
                <w:tcPr/>
                <w:p>
                  <w:pPr>
                    <w:pStyle w:val="Compact"/>
                    <w:jc w:val="left"/>
                    <w:jc w:val="center"/>
                  </w:pPr>
                  <w:r>
                    <w:t xml:space="preserve">95% CI</w:t>
                  </w:r>
                </w:p>
              </w:tc>
              <w:tc>
                <w:tcPr/>
                <w:p>
                  <w:pPr>
                    <w:pStyle w:val="Compact"/>
                    <w:jc w:val="left"/>
                    <w:jc w:val="center"/>
                  </w:pPr>
                  <w:r>
                    <w:t xml:space="preserve">P-value</w:t>
                  </w:r>
                </w:p>
              </w:tc>
            </w:tr>
            <w:tr>
              <w:tc>
                <w:tcPr/>
                <w:p>
                  <w:pPr>
                    <w:pStyle w:val="Compact"/>
                    <w:jc w:val="left"/>
                    <w:jc w:val="center"/>
                  </w:pPr>
                  <w:r>
                    <w:t xml:space="preserve">Intercept</w:t>
                  </w:r>
                </w:p>
              </w:tc>
              <w:tc>
                <w:tcPr/>
                <w:p>
                  <w:pPr>
                    <w:pStyle w:val="Compact"/>
                    <w:jc w:val="left"/>
                    <w:jc w:val="center"/>
                  </w:pPr>
                  <w:r>
                    <w:t xml:space="preserve">1.893</w:t>
                  </w:r>
                </w:p>
              </w:tc>
              <w:tc>
                <w:tcPr/>
                <w:p>
                  <w:pPr>
                    <w:pStyle w:val="Compact"/>
                    <w:jc w:val="left"/>
                    <w:jc w:val="center"/>
                  </w:pPr>
                  <w:r>
                    <w:t xml:space="preserve">[ 1.762, 2.024]</w:t>
                  </w:r>
                </w:p>
              </w:tc>
              <w:tc>
                <w:tcPr/>
                <w:p>
                  <w:pPr>
                    <w:pStyle w:val="Compact"/>
                    <w:jc w:val="left"/>
                    <w:jc w:val="center"/>
                  </w:pPr>
                  <w:r>
                    <w:t xml:space="preserve">&lt;0.001</w:t>
                  </w:r>
                </w:p>
              </w:tc>
            </w:tr>
            <w:tr>
              <w:tc>
                <w:tcPr/>
                <w:p>
                  <w:pPr>
                    <w:pStyle w:val="Compact"/>
                    <w:jc w:val="left"/>
                    <w:jc w:val="center"/>
                  </w:pPr>
                  <w:r>
                    <w:rPr>
                      <w:b/>
                      <w:bCs/>
                    </w:rPr>
                    <w:t xml:space="preserve">Race</w:t>
                  </w:r>
                </w:p>
              </w:tc>
              <w:tc>
                <w:tcPr/>
                <w:p>
                  <w:pPr>
                    <w:pStyle w:val="Compact"/>
                  </w:pPr>
                </w:p>
              </w:tc>
              <w:tc>
                <w:tcPr/>
                <w:p>
                  <w:pPr>
                    <w:pStyle w:val="Compact"/>
                  </w:pPr>
                </w:p>
              </w:tc>
              <w:tc>
                <w:tcPr/>
                <w:p>
                  <w:pPr>
                    <w:pStyle w:val="Compact"/>
                  </w:pPr>
                </w:p>
              </w:tc>
            </w:tr>
            <w:tr>
              <w:tc>
                <w:tcPr/>
                <w:p>
                  <w:pPr>
                    <w:pStyle w:val="Compact"/>
                    <w:jc w:val="left"/>
                    <w:jc w:val="center"/>
                  </w:pPr>
                  <w:r>
                    <w:t xml:space="preserve">     White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Black</w:t>
                  </w:r>
                </w:p>
              </w:tc>
              <w:tc>
                <w:tcPr/>
                <w:p>
                  <w:pPr>
                    <w:pStyle w:val="Compact"/>
                    <w:jc w:val="left"/>
                    <w:jc w:val="center"/>
                  </w:pPr>
                  <w:r>
                    <w:t xml:space="preserve">0.007</w:t>
                  </w:r>
                </w:p>
              </w:tc>
              <w:tc>
                <w:tcPr/>
                <w:p>
                  <w:pPr>
                    <w:pStyle w:val="Compact"/>
                    <w:jc w:val="left"/>
                    <w:jc w:val="center"/>
                  </w:pPr>
                  <w:r>
                    <w:t xml:space="preserve">[-0.118, 0.132]</w:t>
                  </w:r>
                </w:p>
              </w:tc>
              <w:tc>
                <w:tcPr/>
                <w:p>
                  <w:pPr>
                    <w:pStyle w:val="Compact"/>
                    <w:jc w:val="left"/>
                    <w:jc w:val="center"/>
                  </w:pPr>
                  <w:r>
                    <w:t xml:space="preserve">0.91</w:t>
                  </w: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r>
            <w:tr>
              <w:tc>
                <w:tcPr/>
                <w:p>
                  <w:pPr>
                    <w:pStyle w:val="Compact"/>
                    <w:jc w:val="left"/>
                    <w:jc w:val="center"/>
                  </w:pPr>
                  <w:r>
                    <w:t xml:space="preserve">     Adult</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Child</w:t>
                  </w:r>
                </w:p>
              </w:tc>
              <w:tc>
                <w:tcPr/>
                <w:p>
                  <w:pPr>
                    <w:pStyle w:val="Compact"/>
                    <w:jc w:val="left"/>
                    <w:jc w:val="center"/>
                  </w:pPr>
                  <w:r>
                    <w:t xml:space="preserve">0.482</w:t>
                  </w:r>
                </w:p>
              </w:tc>
              <w:tc>
                <w:tcPr/>
                <w:p>
                  <w:pPr>
                    <w:pStyle w:val="Compact"/>
                    <w:jc w:val="left"/>
                    <w:jc w:val="center"/>
                  </w:pPr>
                  <w:r>
                    <w:t xml:space="preserve">[ 0.355, 0.610]</w:t>
                  </w:r>
                </w:p>
              </w:tc>
              <w:tc>
                <w:tcPr/>
                <w:p>
                  <w:pPr>
                    <w:pStyle w:val="Compact"/>
                    <w:jc w:val="left"/>
                    <w:jc w:val="center"/>
                  </w:pPr>
                  <w:r>
                    <w:t xml:space="preserve">&lt;0.001</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Male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Female</w:t>
                  </w:r>
                </w:p>
              </w:tc>
              <w:tc>
                <w:tcPr/>
                <w:p>
                  <w:pPr>
                    <w:pStyle w:val="Compact"/>
                    <w:jc w:val="left"/>
                    <w:jc w:val="center"/>
                  </w:pPr>
                  <w:r>
                    <w:t xml:space="preserve">-0.076</w:t>
                  </w:r>
                </w:p>
              </w:tc>
              <w:tc>
                <w:tcPr/>
                <w:p>
                  <w:pPr>
                    <w:pStyle w:val="Compact"/>
                    <w:jc w:val="left"/>
                    <w:jc w:val="center"/>
                  </w:pPr>
                  <w:r>
                    <w:t xml:space="preserve">[-0.201, 0.048]</w:t>
                  </w:r>
                </w:p>
              </w:tc>
              <w:tc>
                <w:tcPr/>
                <w:p>
                  <w:pPr>
                    <w:pStyle w:val="Compact"/>
                    <w:jc w:val="left"/>
                    <w:jc w:val="center"/>
                  </w:pPr>
                  <w:r>
                    <w:t xml:space="preserve">0.23</w:t>
                  </w:r>
                </w:p>
              </w:tc>
            </w:tr>
            <w:tr>
              <w:tc>
                <w:tcPr/>
                <w:p>
                  <w:pPr>
                    <w:pStyle w:val="Compact"/>
                    <w:jc w:val="left"/>
                    <w:jc w:val="center"/>
                  </w:pPr>
                  <w:r>
                    <w:t xml:space="preserve">Training size Base-Generalized*</w:t>
                  </w:r>
                </w:p>
              </w:tc>
              <w:tc>
                <w:tcPr/>
                <w:p>
                  <w:pPr>
                    <w:pStyle w:val="Compact"/>
                    <w:jc w:val="left"/>
                    <w:jc w:val="center"/>
                  </w:pPr>
                  <w:r>
                    <w:t xml:space="preserve">0.019</w:t>
                  </w:r>
                </w:p>
              </w:tc>
              <w:tc>
                <w:tcPr/>
                <w:p>
                  <w:pPr>
                    <w:pStyle w:val="Compact"/>
                    <w:jc w:val="left"/>
                    <w:jc w:val="center"/>
                  </w:pPr>
                  <w:r>
                    <w:t xml:space="preserve">[-0.055, 0.093]</w:t>
                  </w:r>
                </w:p>
              </w:tc>
              <w:tc>
                <w:tcPr/>
                <w:p>
                  <w:pPr>
                    <w:pStyle w:val="Compact"/>
                    <w:jc w:val="left"/>
                    <w:jc w:val="center"/>
                  </w:pPr>
                  <w:r>
                    <w:t xml:space="preserve">0.62</w:t>
                  </w:r>
                </w:p>
              </w:tc>
            </w:tr>
            <w:tr>
              <w:tc>
                <w:tcPr/>
                <w:p>
                  <w:pPr>
                    <w:pStyle w:val="Compact"/>
                    <w:jc w:val="left"/>
                    <w:jc w:val="center"/>
                  </w:pPr>
                  <w:r>
                    <w:t xml:space="preserve">Ratio (per 10%)</w:t>
                  </w:r>
                </w:p>
              </w:tc>
              <w:tc>
                <w:tcPr/>
                <w:p>
                  <w:pPr>
                    <w:pStyle w:val="Compact"/>
                    <w:jc w:val="left"/>
                    <w:jc w:val="center"/>
                  </w:pPr>
                  <w:r>
                    <w:t xml:space="preserve">-0.003</w:t>
                  </w:r>
                </w:p>
              </w:tc>
              <w:tc>
                <w:tcPr/>
                <w:p>
                  <w:pPr>
                    <w:pStyle w:val="Compact"/>
                    <w:jc w:val="left"/>
                    <w:jc w:val="center"/>
                  </w:pPr>
                  <w:r>
                    <w:t xml:space="preserve">[-0.007, 0.001]</w:t>
                  </w:r>
                </w:p>
              </w:tc>
              <w:tc>
                <w:tcPr/>
                <w:p>
                  <w:pPr>
                    <w:pStyle w:val="Compact"/>
                    <w:jc w:val="left"/>
                    <w:jc w:val="center"/>
                  </w:pPr>
                  <w:r>
                    <w:t xml:space="preserve">0.12</w:t>
                  </w:r>
                </w:p>
              </w:tc>
            </w:tr>
            <w:tr>
              <w:tc>
                <w:tcPr/>
                <w:p>
                  <w:pPr>
                    <w:pStyle w:val="Compact"/>
                    <w:jc w:val="left"/>
                    <w:jc w:val="center"/>
                  </w:pPr>
                  <w:r>
                    <w:t xml:space="preserve">Ratio · Race</w:t>
                  </w:r>
                </w:p>
              </w:tc>
              <w:tc>
                <w:tcPr/>
                <w:p>
                  <w:pPr>
                    <w:pStyle w:val="Compact"/>
                    <w:jc w:val="left"/>
                    <w:jc w:val="center"/>
                  </w:pPr>
                  <w:r>
                    <w:t xml:space="preserve">0.004</w:t>
                  </w:r>
                </w:p>
              </w:tc>
              <w:tc>
                <w:tcPr/>
                <w:p>
                  <w:pPr>
                    <w:pStyle w:val="Compact"/>
                    <w:jc w:val="left"/>
                    <w:jc w:val="center"/>
                  </w:pPr>
                  <w:r>
                    <w:t xml:space="preserve">[0.001, 0.008]</w:t>
                  </w:r>
                </w:p>
              </w:tc>
              <w:tc>
                <w:tcPr/>
                <w:p>
                  <w:pPr>
                    <w:pStyle w:val="Compact"/>
                    <w:jc w:val="left"/>
                    <w:jc w:val="center"/>
                  </w:pPr>
                  <w:r>
                    <w:t xml:space="preserve">0.02</w:t>
                  </w:r>
                </w:p>
              </w:tc>
            </w:tr>
          </w:tbl>
          <w:bookmarkEnd w:id="15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8" w:name="tbl-transferlearned-coefficients"/>
          <w:p>
            <w:pPr>
              <w:jc w:val="center"/>
            </w:pPr>
            <w:pPr>
              <w:jc w:val="left"/>
              <w:spacing w:before="200"/>
              <w:pStyle w:val="ImageCaption"/>
            </w:pPr>
            <w:r>
              <w:t xml:space="preserve">Table 4.11: Model coefficients from linear mixed effects models for root mean squared errors of the Transfer Learned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Predictor</w:t>
                  </w:r>
                </w:p>
              </w:tc>
              <w:tc>
                <w:tcPr/>
                <w:p>
                  <w:pPr>
                    <w:pStyle w:val="Compact"/>
                    <w:jc w:val="left"/>
                    <w:jc w:val="center"/>
                  </w:pPr>
                  <w:r>
                    <w:t xml:space="preserve">Coefficient</w:t>
                  </w:r>
                </w:p>
              </w:tc>
              <w:tc>
                <w:tcPr/>
                <w:p>
                  <w:pPr>
                    <w:pStyle w:val="Compact"/>
                    <w:jc w:val="left"/>
                    <w:jc w:val="center"/>
                  </w:pPr>
                  <w:r>
                    <w:t xml:space="preserve">95% CI</w:t>
                  </w:r>
                </w:p>
              </w:tc>
              <w:tc>
                <w:tcPr/>
                <w:p>
                  <w:pPr>
                    <w:pStyle w:val="Compact"/>
                    <w:jc w:val="left"/>
                    <w:jc w:val="center"/>
                  </w:pPr>
                  <w:r>
                    <w:t xml:space="preserve">P-value</w:t>
                  </w:r>
                </w:p>
              </w:tc>
            </w:tr>
            <w:tr>
              <w:tc>
                <w:tcPr/>
                <w:p>
                  <w:pPr>
                    <w:pStyle w:val="Compact"/>
                    <w:jc w:val="left"/>
                    <w:jc w:val="center"/>
                  </w:pPr>
                  <w:r>
                    <w:t xml:space="preserve">Intercept</w:t>
                  </w:r>
                </w:p>
              </w:tc>
              <w:tc>
                <w:tcPr/>
                <w:p>
                  <w:pPr>
                    <w:pStyle w:val="Compact"/>
                    <w:jc w:val="left"/>
                    <w:jc w:val="center"/>
                  </w:pPr>
                  <w:r>
                    <w:t xml:space="preserve">1.890</w:t>
                  </w:r>
                </w:p>
              </w:tc>
              <w:tc>
                <w:tcPr/>
                <w:p>
                  <w:pPr>
                    <w:pStyle w:val="Compact"/>
                    <w:jc w:val="left"/>
                    <w:jc w:val="center"/>
                  </w:pPr>
                  <w:r>
                    <w:t xml:space="preserve">[ 1.768, 2.015]</w:t>
                  </w:r>
                </w:p>
              </w:tc>
              <w:tc>
                <w:tcPr/>
                <w:p>
                  <w:pPr>
                    <w:pStyle w:val="Compact"/>
                    <w:jc w:val="left"/>
                    <w:jc w:val="center"/>
                  </w:pPr>
                  <w:r>
                    <w:t xml:space="preserve">&lt;0.001</w:t>
                  </w:r>
                </w:p>
              </w:tc>
            </w:tr>
            <w:tr>
              <w:tc>
                <w:tcPr/>
                <w:p>
                  <w:pPr>
                    <w:pStyle w:val="Compact"/>
                    <w:jc w:val="left"/>
                    <w:jc w:val="center"/>
                  </w:pPr>
                  <w:r>
                    <w:rPr>
                      <w:b/>
                      <w:bCs/>
                    </w:rPr>
                    <w:t xml:space="preserve">Race</w:t>
                  </w:r>
                </w:p>
              </w:tc>
              <w:tc>
                <w:tcPr/>
                <w:p>
                  <w:pPr>
                    <w:pStyle w:val="Compact"/>
                  </w:pPr>
                </w:p>
              </w:tc>
              <w:tc>
                <w:tcPr/>
                <w:p>
                  <w:pPr>
                    <w:pStyle w:val="Compact"/>
                  </w:pPr>
                </w:p>
              </w:tc>
              <w:tc>
                <w:tcPr/>
                <w:p>
                  <w:pPr>
                    <w:pStyle w:val="Compact"/>
                  </w:pPr>
                </w:p>
              </w:tc>
            </w:tr>
            <w:tr>
              <w:tc>
                <w:tcPr/>
                <w:p>
                  <w:pPr>
                    <w:pStyle w:val="Compact"/>
                    <w:jc w:val="left"/>
                    <w:jc w:val="center"/>
                  </w:pPr>
                  <w:r>
                    <w:t xml:space="preserve">     White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Black</w:t>
                  </w:r>
                </w:p>
              </w:tc>
              <w:tc>
                <w:tcPr/>
                <w:p>
                  <w:pPr>
                    <w:pStyle w:val="Compact"/>
                    <w:jc w:val="left"/>
                    <w:jc w:val="center"/>
                  </w:pPr>
                  <w:r>
                    <w:t xml:space="preserve">-0.028</w:t>
                  </w:r>
                </w:p>
              </w:tc>
              <w:tc>
                <w:tcPr/>
                <w:p>
                  <w:pPr>
                    <w:pStyle w:val="Compact"/>
                    <w:jc w:val="left"/>
                    <w:jc w:val="center"/>
                  </w:pPr>
                  <w:r>
                    <w:t xml:space="preserve">[-0.147, 0.092]</w:t>
                  </w:r>
                </w:p>
              </w:tc>
              <w:tc>
                <w:tcPr/>
                <w:p>
                  <w:pPr>
                    <w:pStyle w:val="Compact"/>
                    <w:jc w:val="left"/>
                    <w:jc w:val="center"/>
                  </w:pPr>
                  <w:r>
                    <w:t xml:space="preserve">0.65</w:t>
                  </w: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r>
            <w:tr>
              <w:tc>
                <w:tcPr/>
                <w:p>
                  <w:pPr>
                    <w:pStyle w:val="Compact"/>
                    <w:jc w:val="left"/>
                    <w:jc w:val="center"/>
                  </w:pPr>
                  <w:r>
                    <w:t xml:space="preserve">     Adult</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Child</w:t>
                  </w:r>
                </w:p>
              </w:tc>
              <w:tc>
                <w:tcPr/>
                <w:p>
                  <w:pPr>
                    <w:pStyle w:val="Compact"/>
                    <w:jc w:val="left"/>
                    <w:jc w:val="center"/>
                  </w:pPr>
                  <w:r>
                    <w:t xml:space="preserve">0.411</w:t>
                  </w:r>
                </w:p>
              </w:tc>
              <w:tc>
                <w:tcPr/>
                <w:p>
                  <w:pPr>
                    <w:pStyle w:val="Compact"/>
                    <w:jc w:val="left"/>
                    <w:jc w:val="center"/>
                  </w:pPr>
                  <w:r>
                    <w:t xml:space="preserve">[ 0.290, 0.533]</w:t>
                  </w:r>
                </w:p>
              </w:tc>
              <w:tc>
                <w:tcPr/>
                <w:p>
                  <w:pPr>
                    <w:pStyle w:val="Compact"/>
                    <w:jc w:val="left"/>
                    <w:jc w:val="center"/>
                  </w:pPr>
                  <w:r>
                    <w:t xml:space="preserve">&lt;0.001</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Male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Female</w:t>
                  </w:r>
                </w:p>
              </w:tc>
              <w:tc>
                <w:tcPr/>
                <w:p>
                  <w:pPr>
                    <w:pStyle w:val="Compact"/>
                    <w:jc w:val="left"/>
                    <w:jc w:val="center"/>
                  </w:pPr>
                  <w:r>
                    <w:t xml:space="preserve">-0.057</w:t>
                  </w:r>
                </w:p>
              </w:tc>
              <w:tc>
                <w:tcPr/>
                <w:p>
                  <w:pPr>
                    <w:pStyle w:val="Compact"/>
                    <w:jc w:val="left"/>
                    <w:jc w:val="center"/>
                  </w:pPr>
                  <w:r>
                    <w:t xml:space="preserve">[-0.173, 0.060]</w:t>
                  </w:r>
                </w:p>
              </w:tc>
              <w:tc>
                <w:tcPr/>
                <w:p>
                  <w:pPr>
                    <w:pStyle w:val="Compact"/>
                    <w:jc w:val="left"/>
                    <w:jc w:val="center"/>
                  </w:pPr>
                  <w:r>
                    <w:t xml:space="preserve">0.34</w:t>
                  </w:r>
                </w:p>
              </w:tc>
            </w:tr>
            <w:tr>
              <w:tc>
                <w:tcPr/>
                <w:p>
                  <w:pPr>
                    <w:pStyle w:val="Compact"/>
                    <w:jc w:val="left"/>
                    <w:jc w:val="center"/>
                  </w:pPr>
                  <w:r>
                    <w:t xml:space="preserve">Training size Base-Generalized*</w:t>
                  </w:r>
                </w:p>
              </w:tc>
              <w:tc>
                <w:tcPr/>
                <w:p>
                  <w:pPr>
                    <w:pStyle w:val="Compact"/>
                    <w:jc w:val="left"/>
                    <w:jc w:val="center"/>
                  </w:pPr>
                  <w:r>
                    <w:t xml:space="preserve">0.011</w:t>
                  </w:r>
                </w:p>
              </w:tc>
              <w:tc>
                <w:tcPr/>
                <w:p>
                  <w:pPr>
                    <w:pStyle w:val="Compact"/>
                    <w:jc w:val="left"/>
                    <w:jc w:val="center"/>
                  </w:pPr>
                  <w:r>
                    <w:t xml:space="preserve">[-0.060, 0.081]</w:t>
                  </w:r>
                </w:p>
              </w:tc>
              <w:tc>
                <w:tcPr/>
                <w:p>
                  <w:pPr>
                    <w:pStyle w:val="Compact"/>
                    <w:jc w:val="left"/>
                    <w:jc w:val="center"/>
                  </w:pPr>
                  <w:r>
                    <w:t xml:space="preserve">0.77</w:t>
                  </w:r>
                </w:p>
              </w:tc>
            </w:tr>
            <w:tr>
              <w:tc>
                <w:tcPr/>
                <w:p>
                  <w:pPr>
                    <w:pStyle w:val="Compact"/>
                    <w:jc w:val="left"/>
                    <w:jc w:val="center"/>
                  </w:pPr>
                  <w:r>
                    <w:t xml:space="preserve">Training size tl**</w:t>
                  </w:r>
                </w:p>
              </w:tc>
              <w:tc>
                <w:tcPr/>
                <w:p>
                  <w:pPr>
                    <w:pStyle w:val="Compact"/>
                    <w:jc w:val="left"/>
                    <w:jc w:val="center"/>
                  </w:pPr>
                  <w:r>
                    <w:t xml:space="preserve">-0.111</w:t>
                  </w:r>
                </w:p>
              </w:tc>
              <w:tc>
                <w:tcPr/>
                <w:p>
                  <w:pPr>
                    <w:pStyle w:val="Compact"/>
                    <w:jc w:val="left"/>
                    <w:jc w:val="center"/>
                  </w:pPr>
                  <w:r>
                    <w:t xml:space="preserve">[-0.161, -0.061]</w:t>
                  </w:r>
                </w:p>
              </w:tc>
              <w:tc>
                <w:tcPr/>
                <w:p>
                  <w:pPr>
                    <w:pStyle w:val="Compact"/>
                    <w:jc w:val="left"/>
                    <w:jc w:val="center"/>
                  </w:pPr>
                  <w:r>
                    <w:t xml:space="preserve">&lt;0.001</w:t>
                  </w:r>
                </w:p>
              </w:tc>
            </w:tr>
            <w:tr>
              <w:tc>
                <w:tcPr/>
                <w:p>
                  <w:pPr>
                    <w:pStyle w:val="Compact"/>
                    <w:jc w:val="left"/>
                    <w:jc w:val="center"/>
                  </w:pPr>
                  <w:r>
                    <w:t xml:space="preserve">Ratio (per 10 units)</w:t>
                  </w:r>
                </w:p>
              </w:tc>
              <w:tc>
                <w:tcPr/>
                <w:p>
                  <w:pPr>
                    <w:pStyle w:val="Compact"/>
                    <w:jc w:val="left"/>
                    <w:jc w:val="center"/>
                  </w:pPr>
                  <w:r>
                    <w:t xml:space="preserve">-0.001</w:t>
                  </w:r>
                </w:p>
              </w:tc>
              <w:tc>
                <w:tcPr/>
                <w:p>
                  <w:pPr>
                    <w:pStyle w:val="Compact"/>
                    <w:jc w:val="left"/>
                    <w:jc w:val="center"/>
                  </w:pPr>
                  <w:r>
                    <w:t xml:space="preserve">[-0.003, 0.001]</w:t>
                  </w:r>
                </w:p>
              </w:tc>
              <w:tc>
                <w:tcPr/>
                <w:p>
                  <w:pPr>
                    <w:pStyle w:val="Compact"/>
                    <w:jc w:val="left"/>
                    <w:jc w:val="center"/>
                  </w:pPr>
                  <w:r>
                    <w:t xml:space="preserve">0.46</w:t>
                  </w:r>
                </w:p>
              </w:tc>
            </w:tr>
            <w:tr>
              <w:tc>
                <w:tcPr/>
                <w:p>
                  <w:pPr>
                    <w:pStyle w:val="Compact"/>
                    <w:jc w:val="left"/>
                    <w:jc w:val="center"/>
                  </w:pPr>
                  <w:r>
                    <w:t xml:space="preserve">Ratio · Race</w:t>
                  </w:r>
                </w:p>
              </w:tc>
              <w:tc>
                <w:tcPr/>
                <w:p>
                  <w:pPr>
                    <w:pStyle w:val="Compact"/>
                    <w:jc w:val="left"/>
                    <w:jc w:val="center"/>
                  </w:pPr>
                  <w:r>
                    <w:t xml:space="preserve">0.002</w:t>
                  </w:r>
                </w:p>
              </w:tc>
              <w:tc>
                <w:tcPr/>
                <w:p>
                  <w:pPr>
                    <w:pStyle w:val="Compact"/>
                    <w:jc w:val="left"/>
                    <w:jc w:val="center"/>
                  </w:pPr>
                  <w:r>
                    <w:t xml:space="preserve">[-0.001, 0.005]</w:t>
                  </w:r>
                </w:p>
              </w:tc>
              <w:tc>
                <w:tcPr/>
                <w:p>
                  <w:pPr>
                    <w:pStyle w:val="Compact"/>
                    <w:jc w:val="left"/>
                    <w:jc w:val="center"/>
                  </w:pPr>
                  <w:r>
                    <w:t xml:space="preserve">0.20</w:t>
                  </w:r>
                </w:p>
              </w:tc>
            </w:tr>
          </w:tbl>
          <w:bookmarkEnd w:id="158"/>
          <w:p/>
        </w:tc>
      </w:tr>
    </w:tbl>
    <w:bookmarkEnd w:id="159"/>
    <w:bookmarkStart w:id="160" w:name="the-surveillance-error-grid"/>
    <w:p>
      <w:pPr>
        <w:pStyle w:val="Heading3"/>
      </w:pPr>
      <w:r>
        <w:t xml:space="preserve">The Surveillance Error Grid</w:t>
      </w:r>
    </w:p>
    <w:p>
      <w:pPr>
        <w:pStyle w:val="FirstParagraph"/>
      </w:pPr>
      <w:r>
        <w:t xml:space="preserve">Surveillance Error Grid analysis showed minimal differences between models and training data compositions. Across all models, racial groups, and training data ratios, almost all predictions fell within the</w:t>
      </w:r>
      <w:r>
        <w:t xml:space="preserve"> </w:t>
      </w:r>
      <w:r>
        <w:t xml:space="preserve">“None”</w:t>
      </w:r>
      <w:r>
        <w:t xml:space="preserve"> </w:t>
      </w:r>
      <w:r>
        <w:t xml:space="preserve">or</w:t>
      </w:r>
      <w:r>
        <w:t xml:space="preserve"> </w:t>
      </w:r>
      <w:r>
        <w:t xml:space="preserve">“Slight”</w:t>
      </w:r>
      <w:r>
        <w:t xml:space="preserve"> </w:t>
      </w:r>
      <w:r>
        <w:t xml:space="preserve">risk zones, while approximately 3–6% were classified as</w:t>
      </w:r>
      <w:r>
        <w:t xml:space="preserve"> </w:t>
      </w:r>
      <w:r>
        <w:t xml:space="preserve">“Moderate”</w:t>
      </w:r>
      <w:r>
        <w:t xml:space="preserve"> </w:t>
      </w:r>
      <w:r>
        <w:t xml:space="preserve">risk and no predictions were classified as</w:t>
      </w:r>
      <w:r>
        <w:t xml:space="preserve"> </w:t>
      </w:r>
      <w:r>
        <w:t xml:space="preserve">“High”</w:t>
      </w:r>
      <w:r>
        <w:t xml:space="preserve"> </w:t>
      </w:r>
      <w:r>
        <w:t xml:space="preserve">or</w:t>
      </w:r>
      <w:r>
        <w:t xml:space="preserve"> </w:t>
      </w:r>
      <w:r>
        <w:t xml:space="preserve">“Extreme”</w:t>
      </w:r>
      <w:r>
        <w:t xml:space="preserve"> </w:t>
      </w:r>
      <w:r>
        <w:t xml:space="preserve">risk (</w:t>
      </w:r>
      <w:hyperlink w:anchor="sec-suppl-seg-results">
        <w:r>
          <w:rPr>
            <w:rStyle w:val="Hyperlink"/>
          </w:rPr>
          <w:t xml:space="preserve">Appendix F</w:t>
        </w:r>
      </w:hyperlink>
      <w:r>
        <w:t xml:space="preserve">). These findings indicate that the small differences in RMSE observed between models were unlikely to be clinically meaningful.</w:t>
      </w:r>
    </w:p>
    <w:bookmarkEnd w:id="160"/>
    <w:bookmarkEnd w:id="161"/>
    <w:bookmarkStart w:id="164" w:name="X8e41f60b7c2cc8630c1e665ba9e3c735b0e6081"/>
    <w:p>
      <w:pPr>
        <w:pStyle w:val="Heading2"/>
      </w:pPr>
      <w:r>
        <w:t xml:space="preserve">4.6 Baseline Characteristics Tables of the Datasets</w:t>
      </w:r>
    </w:p>
    <w:p>
      <w:pPr>
        <w:pStyle w:val="FirstParagraph"/>
      </w:pPr>
      <w:r>
        <w:t xml:space="preserve">The CANCAN dataset presented below was used in Study II (</w:t>
      </w:r>
      <w:hyperlink w:anchor="tbl-baseline-cancan">
        <w:r>
          <w:rPr>
            <w:rStyle w:val="Hyperlink"/>
          </w:rPr>
          <w:t xml:space="preserve">Table 4.12</w:t>
        </w:r>
      </w:hyperlink>
      <w:r>
        <w:t xml:space="preserve">).</w:t>
      </w:r>
      <w:r>
        <w:t xml:space="preserve"> </w:t>
      </w:r>
      <w:r>
        <w:t xml:space="preserve">The total number of included participants were 159 and 67 (42%) had elevated NT-proBNP values.</w:t>
      </w:r>
      <w:r>
        <w:t xml:space="preserve"> </w:t>
      </w:r>
      <w:r>
        <w:t xml:space="preserve">Participants with elevated NT-proBNP tended to be older, have a longer duration of diabetes, and more frequently have cardiovascular disease. They also tended to have lower BMI and lower LDL and total cholesterol concentrations, while exhibiting modestly better overall glycaemic control but slightly higher glycaemic variability.</w:t>
      </w:r>
    </w:p>
    <w:tbl>
      <w:tblPr>
        <w:tblStyle w:val="Table"/>
        <w:tblW w:type="pct" w:w="5000"/>
        <w:tblLayout w:type="fixed"/>
        <w:tblLook w:firstRow="0" w:lastRow="0" w:firstColumn="0" w:lastColumn="0" w:noHBand="0" w:noVBand="0" w:val="0000"/>
      </w:tblPr>
      <w:tblGrid>
        <w:gridCol w:w="7920"/>
      </w:tblGrid>
      <w:tr>
        <w:tc>
          <w:tcPr/>
          <w:bookmarkStart w:id="162" w:name="tbl-baseline-cancan"/>
          <w:p>
            <w:pPr>
              <w:jc w:val="center"/>
            </w:pPr>
            <w:pPr>
              <w:jc w:val="left"/>
              <w:spacing w:before="200"/>
              <w:pStyle w:val="ImageCaption"/>
            </w:pPr>
            <w:r>
              <w:t xml:space="preserve">Table 4.12: Baseline table for CANCAN data.</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Variable</w:t>
                  </w:r>
                </w:p>
              </w:tc>
              <w:tc>
                <w:tcPr/>
                <w:p>
                  <w:pPr>
                    <w:pStyle w:val="Compact"/>
                    <w:jc w:val="right"/>
                    <w:jc w:val="center"/>
                  </w:pPr>
                  <w:r>
                    <w:t xml:space="preserve">Total</w:t>
                  </w:r>
                </w:p>
              </w:tc>
              <w:tc>
                <w:tcPr/>
                <w:p>
                  <w:pPr>
                    <w:pStyle w:val="Compact"/>
                    <w:jc w:val="right"/>
                    <w:jc w:val="center"/>
                  </w:pPr>
                  <w:r>
                    <w:t xml:space="preserve">NT-proBNP $≤$125 pg/mL</w:t>
                  </w:r>
                </w:p>
              </w:tc>
              <w:tc>
                <w:tcPr/>
                <w:p>
                  <w:pPr>
                    <w:pStyle w:val="Compact"/>
                    <w:jc w:val="right"/>
                    <w:jc w:val="center"/>
                  </w:pPr>
                  <w:r>
                    <w:t xml:space="preserve">NT-proBNP &gt;125 pg/mL</w:t>
                  </w:r>
                </w:p>
              </w:tc>
            </w:tr>
            <w:tr>
              <w:tc>
                <w:tcPr/>
                <w:p>
                  <w:pPr>
                    <w:pStyle w:val="Compact"/>
                    <w:jc w:val="left"/>
                    <w:jc w:val="center"/>
                  </w:pPr>
                  <w:r>
                    <w:t xml:space="preserve">N</w:t>
                  </w:r>
                </w:p>
              </w:tc>
              <w:tc>
                <w:tcPr/>
                <w:p>
                  <w:pPr>
                    <w:pStyle w:val="Compact"/>
                    <w:jc w:val="right"/>
                    <w:jc w:val="center"/>
                  </w:pPr>
                  <w:r>
                    <w:t xml:space="preserve">159</w:t>
                  </w:r>
                </w:p>
              </w:tc>
              <w:tc>
                <w:tcPr/>
                <w:p>
                  <w:pPr>
                    <w:pStyle w:val="Compact"/>
                    <w:jc w:val="right"/>
                    <w:jc w:val="center"/>
                  </w:pPr>
                  <w:r>
                    <w:t xml:space="preserve">92</w:t>
                  </w:r>
                </w:p>
              </w:tc>
              <w:tc>
                <w:tcPr/>
                <w:p>
                  <w:pPr>
                    <w:pStyle w:val="Compact"/>
                    <w:jc w:val="right"/>
                    <w:jc w:val="center"/>
                  </w:pPr>
                  <w:r>
                    <w:t xml:space="preserve">67</w:t>
                  </w:r>
                </w:p>
              </w:tc>
            </w:tr>
            <w:tr>
              <w:tc>
                <w:tcPr/>
                <w:p>
                  <w:pPr>
                    <w:pStyle w:val="Compact"/>
                    <w:jc w:val="left"/>
                    <w:jc w:val="center"/>
                  </w:pPr>
                  <w:r>
                    <w:t xml:space="preserve">Age (years)</w:t>
                  </w:r>
                </w:p>
              </w:tc>
              <w:tc>
                <w:tcPr/>
                <w:p>
                  <w:pPr>
                    <w:pStyle w:val="Compact"/>
                    <w:jc w:val="right"/>
                    <w:jc w:val="center"/>
                  </w:pPr>
                  <w:r>
                    <w:t xml:space="preserve">65 [56, 71]</w:t>
                  </w:r>
                </w:p>
              </w:tc>
              <w:tc>
                <w:tcPr/>
                <w:p>
                  <w:pPr>
                    <w:pStyle w:val="Compact"/>
                    <w:jc w:val="right"/>
                    <w:jc w:val="center"/>
                  </w:pPr>
                  <w:r>
                    <w:t xml:space="preserve">60 [53, 68]</w:t>
                  </w:r>
                </w:p>
              </w:tc>
              <w:tc>
                <w:tcPr/>
                <w:p>
                  <w:pPr>
                    <w:pStyle w:val="Compact"/>
                    <w:jc w:val="right"/>
                    <w:jc w:val="center"/>
                  </w:pPr>
                  <w:r>
                    <w:t xml:space="preserve">68 [64, 76]</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 Male</w:t>
                  </w:r>
                </w:p>
              </w:tc>
              <w:tc>
                <w:tcPr/>
                <w:p>
                  <w:pPr>
                    <w:pStyle w:val="Compact"/>
                    <w:jc w:val="right"/>
                    <w:jc w:val="center"/>
                  </w:pPr>
                  <w:r>
                    <w:t xml:space="preserve">99 (62%)</w:t>
                  </w:r>
                </w:p>
              </w:tc>
              <w:tc>
                <w:tcPr/>
                <w:p>
                  <w:pPr>
                    <w:pStyle w:val="Compact"/>
                    <w:jc w:val="right"/>
                    <w:jc w:val="center"/>
                  </w:pPr>
                  <w:r>
                    <w:t xml:space="preserve">55 (60%)</w:t>
                  </w:r>
                </w:p>
              </w:tc>
              <w:tc>
                <w:tcPr/>
                <w:p>
                  <w:pPr>
                    <w:pStyle w:val="Compact"/>
                    <w:jc w:val="right"/>
                    <w:jc w:val="center"/>
                  </w:pPr>
                  <w:r>
                    <w:t xml:space="preserve">44 (66%)</w:t>
                  </w:r>
                </w:p>
              </w:tc>
            </w:tr>
            <w:tr>
              <w:tc>
                <w:tcPr/>
                <w:p>
                  <w:pPr>
                    <w:pStyle w:val="Compact"/>
                    <w:jc w:val="left"/>
                    <w:jc w:val="center"/>
                  </w:pPr>
                  <w:r>
                    <w:t xml:space="preserve">    – Female</w:t>
                  </w:r>
                </w:p>
              </w:tc>
              <w:tc>
                <w:tcPr/>
                <w:p>
                  <w:pPr>
                    <w:pStyle w:val="Compact"/>
                    <w:jc w:val="right"/>
                    <w:jc w:val="center"/>
                  </w:pPr>
                  <w:r>
                    <w:t xml:space="preserve">60 (38%)</w:t>
                  </w:r>
                </w:p>
              </w:tc>
              <w:tc>
                <w:tcPr/>
                <w:p>
                  <w:pPr>
                    <w:pStyle w:val="Compact"/>
                    <w:jc w:val="right"/>
                    <w:jc w:val="center"/>
                  </w:pPr>
                  <w:r>
                    <w:t xml:space="preserve">37 (40%)</w:t>
                  </w:r>
                </w:p>
              </w:tc>
              <w:tc>
                <w:tcPr/>
                <w:p>
                  <w:pPr>
                    <w:pStyle w:val="Compact"/>
                    <w:jc w:val="right"/>
                    <w:jc w:val="center"/>
                  </w:pPr>
                  <w:r>
                    <w:t xml:space="preserve">23 (34%)</w:t>
                  </w:r>
                </w:p>
              </w:tc>
            </w:tr>
            <w:tr>
              <w:tc>
                <w:tcPr/>
                <w:p>
                  <w:pPr>
                    <w:pStyle w:val="Compact"/>
                    <w:jc w:val="left"/>
                    <w:jc w:val="center"/>
                  </w:pPr>
                  <w:r>
                    <w:rPr>
                      <w:b/>
                      <w:bCs/>
                    </w:rPr>
                    <w:t xml:space="preserve">Smoking status</w:t>
                  </w:r>
                </w:p>
              </w:tc>
              <w:tc>
                <w:tcPr/>
                <w:p>
                  <w:pPr>
                    <w:pStyle w:val="Compact"/>
                  </w:pPr>
                </w:p>
              </w:tc>
              <w:tc>
                <w:tcPr/>
                <w:p>
                  <w:pPr>
                    <w:pStyle w:val="Compact"/>
                  </w:pPr>
                </w:p>
              </w:tc>
              <w:tc>
                <w:tcPr/>
                <w:p>
                  <w:pPr>
                    <w:pStyle w:val="Compact"/>
                  </w:pPr>
                </w:p>
              </w:tc>
            </w:tr>
            <w:tr>
              <w:tc>
                <w:tcPr/>
                <w:p>
                  <w:pPr>
                    <w:pStyle w:val="Compact"/>
                    <w:jc w:val="left"/>
                    <w:jc w:val="center"/>
                  </w:pPr>
                  <w:r>
                    <w:t xml:space="preserve">    – Never or former</w:t>
                  </w:r>
                </w:p>
              </w:tc>
              <w:tc>
                <w:tcPr/>
                <w:p>
                  <w:pPr>
                    <w:pStyle w:val="Compact"/>
                    <w:jc w:val="right"/>
                    <w:jc w:val="center"/>
                  </w:pPr>
                  <w:r>
                    <w:t xml:space="preserve">135 (85%)</w:t>
                  </w:r>
                </w:p>
              </w:tc>
              <w:tc>
                <w:tcPr/>
                <w:p>
                  <w:pPr>
                    <w:pStyle w:val="Compact"/>
                    <w:jc w:val="right"/>
                    <w:jc w:val="center"/>
                  </w:pPr>
                  <w:r>
                    <w:t xml:space="preserve">77 (84%)</w:t>
                  </w:r>
                </w:p>
              </w:tc>
              <w:tc>
                <w:tcPr/>
                <w:p>
                  <w:pPr>
                    <w:pStyle w:val="Compact"/>
                    <w:jc w:val="right"/>
                    <w:jc w:val="center"/>
                  </w:pPr>
                  <w:r>
                    <w:t xml:space="preserve">58 (87%)</w:t>
                  </w:r>
                </w:p>
              </w:tc>
            </w:tr>
            <w:tr>
              <w:tc>
                <w:tcPr/>
                <w:p>
                  <w:pPr>
                    <w:pStyle w:val="Compact"/>
                    <w:jc w:val="left"/>
                    <w:jc w:val="center"/>
                  </w:pPr>
                  <w:r>
                    <w:t xml:space="preserve">    – Current</w:t>
                  </w:r>
                </w:p>
              </w:tc>
              <w:tc>
                <w:tcPr/>
                <w:p>
                  <w:pPr>
                    <w:pStyle w:val="Compact"/>
                    <w:jc w:val="right"/>
                    <w:jc w:val="center"/>
                  </w:pPr>
                  <w:r>
                    <w:t xml:space="preserve">24 (15%)</w:t>
                  </w:r>
                </w:p>
              </w:tc>
              <w:tc>
                <w:tcPr/>
                <w:p>
                  <w:pPr>
                    <w:pStyle w:val="Compact"/>
                    <w:jc w:val="right"/>
                    <w:jc w:val="center"/>
                  </w:pPr>
                  <w:r>
                    <w:t xml:space="preserve">15 (16%)</w:t>
                  </w:r>
                </w:p>
              </w:tc>
              <w:tc>
                <w:tcPr/>
                <w:p>
                  <w:pPr>
                    <w:pStyle w:val="Compact"/>
                    <w:jc w:val="right"/>
                    <w:jc w:val="center"/>
                  </w:pPr>
                  <w:r>
                    <w:t xml:space="preserve">9 (13%)</w:t>
                  </w:r>
                </w:p>
              </w:tc>
            </w:tr>
            <w:tr>
              <w:tc>
                <w:tcPr/>
                <w:p>
                  <w:pPr>
                    <w:pStyle w:val="Compact"/>
                    <w:jc w:val="left"/>
                    <w:jc w:val="center"/>
                  </w:pPr>
                  <w:r>
                    <w:t xml:space="preserve">Diabetes duration (years)</w:t>
                  </w:r>
                </w:p>
              </w:tc>
              <w:tc>
                <w:tcPr/>
                <w:p>
                  <w:pPr>
                    <w:pStyle w:val="Compact"/>
                    <w:jc w:val="right"/>
                    <w:jc w:val="center"/>
                  </w:pPr>
                  <w:r>
                    <w:t xml:space="preserve">16 [11, 24]</w:t>
                  </w:r>
                </w:p>
              </w:tc>
              <w:tc>
                <w:tcPr/>
                <w:p>
                  <w:pPr>
                    <w:pStyle w:val="Compact"/>
                    <w:jc w:val="right"/>
                    <w:jc w:val="center"/>
                  </w:pPr>
                  <w:r>
                    <w:t xml:space="preserve">14 [9, 22]</w:t>
                  </w:r>
                </w:p>
              </w:tc>
              <w:tc>
                <w:tcPr/>
                <w:p>
                  <w:pPr>
                    <w:pStyle w:val="Compact"/>
                    <w:jc w:val="right"/>
                    <w:jc w:val="center"/>
                  </w:pPr>
                  <w:r>
                    <w:t xml:space="preserve">19 [14, 25]</w:t>
                  </w:r>
                </w:p>
              </w:tc>
            </w:tr>
            <w:tr>
              <w:tc>
                <w:tcPr/>
                <w:p>
                  <w:pPr>
                    <w:pStyle w:val="Compact"/>
                    <w:jc w:val="left"/>
                    <w:jc w:val="center"/>
                  </w:pPr>
                  <w:r>
                    <w:t xml:space="preserve">SCORE2-Diabetes (%)</w:t>
                  </w:r>
                </w:p>
              </w:tc>
              <w:tc>
                <w:tcPr/>
                <w:p>
                  <w:pPr>
                    <w:pStyle w:val="Compact"/>
                    <w:jc w:val="right"/>
                    <w:jc w:val="center"/>
                  </w:pPr>
                  <w:r>
                    <w:t xml:space="preserve">14.8 [9.1, 20.9]</w:t>
                  </w:r>
                </w:p>
              </w:tc>
              <w:tc>
                <w:tcPr/>
                <w:p>
                  <w:pPr>
                    <w:pStyle w:val="Compact"/>
                    <w:jc w:val="right"/>
                    <w:jc w:val="center"/>
                  </w:pPr>
                  <w:r>
                    <w:t xml:space="preserve">11.9 [7.8, 17.2]</w:t>
                  </w:r>
                </w:p>
              </w:tc>
              <w:tc>
                <w:tcPr/>
                <w:p>
                  <w:pPr>
                    <w:pStyle w:val="Compact"/>
                    <w:jc w:val="right"/>
                    <w:jc w:val="center"/>
                  </w:pPr>
                  <w:r>
                    <w:t xml:space="preserve">19.0 [13.4, 25.4]</w:t>
                  </w:r>
                </w:p>
              </w:tc>
            </w:tr>
            <w:tr>
              <w:tc>
                <w:tcPr/>
                <w:p>
                  <w:pPr>
                    <w:pStyle w:val="Compact"/>
                    <w:jc w:val="left"/>
                    <w:jc w:val="center"/>
                  </w:pPr>
                  <w:r>
                    <w:t xml:space="preserve">HbA1c (mmol/mol)</w:t>
                  </w:r>
                </w:p>
              </w:tc>
              <w:tc>
                <w:tcPr/>
                <w:p>
                  <w:pPr>
                    <w:pStyle w:val="Compact"/>
                    <w:jc w:val="right"/>
                    <w:jc w:val="center"/>
                  </w:pPr>
                  <w:r>
                    <w:t xml:space="preserve">64 [55, 80]</w:t>
                  </w:r>
                </w:p>
              </w:tc>
              <w:tc>
                <w:tcPr/>
                <w:p>
                  <w:pPr>
                    <w:pStyle w:val="Compact"/>
                    <w:jc w:val="right"/>
                    <w:jc w:val="center"/>
                  </w:pPr>
                  <w:r>
                    <w:t xml:space="preserve">66 [56, 86]</w:t>
                  </w:r>
                </w:p>
              </w:tc>
              <w:tc>
                <w:tcPr/>
                <w:p>
                  <w:pPr>
                    <w:pStyle w:val="Compact"/>
                    <w:jc w:val="right"/>
                    <w:jc w:val="center"/>
                  </w:pPr>
                  <w:r>
                    <w:t xml:space="preserve">60 [54, 72]</w:t>
                  </w:r>
                </w:p>
              </w:tc>
            </w:tr>
            <w:tr>
              <w:tc>
                <w:tcPr/>
                <w:p>
                  <w:pPr>
                    <w:pStyle w:val="Compact"/>
                    <w:jc w:val="left"/>
                    <w:jc w:val="center"/>
                  </w:pPr>
                  <w:r>
                    <w:t xml:space="preserve">Systolic blood pressure (mmHg)</w:t>
                  </w:r>
                </w:p>
              </w:tc>
              <w:tc>
                <w:tcPr/>
                <w:p>
                  <w:pPr>
                    <w:pStyle w:val="Compact"/>
                    <w:jc w:val="right"/>
                    <w:jc w:val="center"/>
                  </w:pPr>
                  <w:r>
                    <w:t xml:space="preserve">132 [123, 143]</w:t>
                  </w:r>
                </w:p>
              </w:tc>
              <w:tc>
                <w:tcPr/>
                <w:p>
                  <w:pPr>
                    <w:pStyle w:val="Compact"/>
                    <w:jc w:val="right"/>
                    <w:jc w:val="center"/>
                  </w:pPr>
                  <w:r>
                    <w:t xml:space="preserve">132 [123, 143]</w:t>
                  </w:r>
                </w:p>
              </w:tc>
              <w:tc>
                <w:tcPr/>
                <w:p>
                  <w:pPr>
                    <w:pStyle w:val="Compact"/>
                    <w:jc w:val="right"/>
                    <w:jc w:val="center"/>
                  </w:pPr>
                  <w:r>
                    <w:t xml:space="preserve">131 [122, 142]</w:t>
                  </w:r>
                </w:p>
              </w:tc>
            </w:tr>
            <w:tr>
              <w:tc>
                <w:tcPr/>
                <w:p>
                  <w:pPr>
                    <w:pStyle w:val="Compact"/>
                    <w:jc w:val="left"/>
                    <w:jc w:val="center"/>
                  </w:pPr>
                  <w:r>
                    <w:t xml:space="preserve">HDL (mmol/L)</w:t>
                  </w:r>
                </w:p>
              </w:tc>
              <w:tc>
                <w:tcPr/>
                <w:p>
                  <w:pPr>
                    <w:pStyle w:val="Compact"/>
                    <w:jc w:val="right"/>
                    <w:jc w:val="center"/>
                  </w:pPr>
                  <w:r>
                    <w:t xml:space="preserve">1.0 [0.9, 1.2]</w:t>
                  </w:r>
                </w:p>
              </w:tc>
              <w:tc>
                <w:tcPr/>
                <w:p>
                  <w:pPr>
                    <w:pStyle w:val="Compact"/>
                    <w:jc w:val="right"/>
                    <w:jc w:val="center"/>
                  </w:pPr>
                  <w:r>
                    <w:t xml:space="preserve">1.0 [0.9, 1.2]</w:t>
                  </w:r>
                </w:p>
              </w:tc>
              <w:tc>
                <w:tcPr/>
                <w:p>
                  <w:pPr>
                    <w:pStyle w:val="Compact"/>
                    <w:jc w:val="right"/>
                    <w:jc w:val="center"/>
                  </w:pPr>
                  <w:r>
                    <w:t xml:space="preserve">1.0 [0.9, 1.3]</w:t>
                  </w:r>
                </w:p>
              </w:tc>
            </w:tr>
            <w:tr>
              <w:tc>
                <w:tcPr/>
                <w:p>
                  <w:pPr>
                    <w:pStyle w:val="Compact"/>
                    <w:jc w:val="left"/>
                    <w:jc w:val="center"/>
                  </w:pPr>
                  <w:r>
                    <w:t xml:space="preserve">Total cholesterol (mmol/L)</w:t>
                  </w:r>
                </w:p>
              </w:tc>
              <w:tc>
                <w:tcPr/>
                <w:p>
                  <w:pPr>
                    <w:pStyle w:val="Compact"/>
                    <w:jc w:val="right"/>
                    <w:jc w:val="center"/>
                  </w:pPr>
                  <w:r>
                    <w:t xml:space="preserve">3.9 [3.2, 4.8]</w:t>
                  </w:r>
                </w:p>
              </w:tc>
              <w:tc>
                <w:tcPr/>
                <w:p>
                  <w:pPr>
                    <w:pStyle w:val="Compact"/>
                    <w:jc w:val="right"/>
                    <w:jc w:val="center"/>
                  </w:pPr>
                  <w:r>
                    <w:t xml:space="preserve">4.1 [3.5, 4.9]</w:t>
                  </w:r>
                </w:p>
              </w:tc>
              <w:tc>
                <w:tcPr/>
                <w:p>
                  <w:pPr>
                    <w:pStyle w:val="Compact"/>
                    <w:jc w:val="right"/>
                    <w:jc w:val="center"/>
                  </w:pPr>
                  <w:r>
                    <w:t xml:space="preserve">3.6 [3.0, 4.2]</w:t>
                  </w:r>
                </w:p>
              </w:tc>
            </w:tr>
            <w:tr>
              <w:tc>
                <w:tcPr/>
                <w:p>
                  <w:pPr>
                    <w:pStyle w:val="Compact"/>
                    <w:jc w:val="left"/>
                    <w:jc w:val="center"/>
                  </w:pPr>
                  <w:r>
                    <w:t xml:space="preserve">eGFR (mL/min/1.73 m²)</w:t>
                  </w:r>
                </w:p>
              </w:tc>
              <w:tc>
                <w:tcPr/>
                <w:p>
                  <w:pPr>
                    <w:pStyle w:val="Compact"/>
                    <w:jc w:val="right"/>
                    <w:jc w:val="center"/>
                  </w:pPr>
                  <w:r>
                    <w:t xml:space="preserve">57 [39, 74]</w:t>
                  </w:r>
                </w:p>
              </w:tc>
              <w:tc>
                <w:tcPr/>
                <w:p>
                  <w:pPr>
                    <w:pStyle w:val="Compact"/>
                    <w:jc w:val="right"/>
                    <w:jc w:val="center"/>
                  </w:pPr>
                  <w:r>
                    <w:t xml:space="preserve">68 [52, 82]</w:t>
                  </w:r>
                </w:p>
              </w:tc>
              <w:tc>
                <w:tcPr/>
                <w:p>
                  <w:pPr>
                    <w:pStyle w:val="Compact"/>
                    <w:jc w:val="right"/>
                    <w:jc w:val="center"/>
                  </w:pPr>
                  <w:r>
                    <w:t xml:space="preserve">48 [27, 63]</w:t>
                  </w:r>
                </w:p>
              </w:tc>
            </w:tr>
            <w:tr>
              <w:tc>
                <w:tcPr/>
                <w:p>
                  <w:pPr>
                    <w:pStyle w:val="Compact"/>
                    <w:jc w:val="left"/>
                    <w:jc w:val="center"/>
                  </w:pPr>
                  <w:r>
                    <w:rPr>
                      <w:b/>
                      <w:bCs/>
                    </w:rP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13 [10, 13]</w:t>
                  </w:r>
                </w:p>
              </w:tc>
              <w:tc>
                <w:tcPr/>
                <w:p>
                  <w:pPr>
                    <w:pStyle w:val="Compact"/>
                    <w:jc w:val="right"/>
                    <w:jc w:val="center"/>
                  </w:pPr>
                  <w:r>
                    <w:t xml:space="preserve">13 [9, 13]</w:t>
                  </w:r>
                </w:p>
              </w:tc>
              <w:tc>
                <w:tcPr/>
                <w:p>
                  <w:pPr>
                    <w:pStyle w:val="Compact"/>
                    <w:jc w:val="right"/>
                    <w:jc w:val="center"/>
                  </w:pPr>
                  <w:r>
                    <w:t xml:space="preserve">13 [10, 13]</w:t>
                  </w:r>
                </w:p>
              </w:tc>
            </w:tr>
            <w:tr>
              <w:tc>
                <w:tcPr/>
                <w:p>
                  <w:pPr>
                    <w:pStyle w:val="Compact"/>
                    <w:jc w:val="left"/>
                    <w:jc w:val="center"/>
                  </w:pPr>
                  <w:r>
                    <w:t xml:space="preserve">    – Glucose management</w:t>
                  </w:r>
                </w:p>
              </w:tc>
              <w:tc>
                <w:tcPr/>
                <w:p>
                  <w:pPr>
                    <w:pStyle w:val="Compact"/>
                    <w:jc w:val="right"/>
                    <w:jc w:val="center"/>
                  </w:pPr>
                  <w:r>
                    <w:t xml:space="preserve">7.3 [6.8, 8.4]</w:t>
                  </w:r>
                </w:p>
              </w:tc>
              <w:tc>
                <w:tcPr/>
                <w:p>
                  <w:pPr>
                    <w:pStyle w:val="Compact"/>
                    <w:jc w:val="right"/>
                    <w:jc w:val="center"/>
                  </w:pPr>
                  <w:r>
                    <w:t xml:space="preserve">7.5 [6.8, 8.6]</w:t>
                  </w:r>
                </w:p>
              </w:tc>
              <w:tc>
                <w:tcPr/>
                <w:p>
                  <w:pPr>
                    <w:pStyle w:val="Compact"/>
                    <w:jc w:val="right"/>
                    <w:jc w:val="center"/>
                  </w:pPr>
                  <w:r>
                    <w:t xml:space="preserve">7.2 [6.7, 8.0]</w:t>
                  </w:r>
                </w:p>
              </w:tc>
            </w:tr>
            <w:tr>
              <w:tc>
                <w:tcPr/>
                <w:p>
                  <w:pPr>
                    <w:pStyle w:val="Compact"/>
                    <w:jc w:val="left"/>
                    <w:jc w:val="center"/>
                  </w:pPr>
                  <w:r>
                    <w:t xml:space="preserve">       indicator (%)</w:t>
                  </w:r>
                </w:p>
              </w:tc>
              <w:tc>
                <w:tcPr/>
                <w:p>
                  <w:pPr>
                    <w:pStyle w:val="Compact"/>
                  </w:pPr>
                </w:p>
              </w:tc>
              <w:tc>
                <w:tcPr/>
                <w:p>
                  <w:pPr>
                    <w:pStyle w:val="Compact"/>
                  </w:pPr>
                </w:p>
              </w:tc>
              <w:tc>
                <w:tcPr/>
                <w:p>
                  <w:pPr>
                    <w:pStyle w:val="Compact"/>
                  </w:pPr>
                </w:p>
              </w:tc>
            </w:tr>
            <w:tr>
              <w:tc>
                <w:tcPr/>
                <w:p>
                  <w:pPr>
                    <w:pStyle w:val="Compact"/>
                    <w:jc w:val="left"/>
                    <w:jc w:val="center"/>
                  </w:pPr>
                  <w:r>
                    <w:t xml:space="preserve">    – Time in range (%)</w:t>
                  </w:r>
                </w:p>
              </w:tc>
              <w:tc>
                <w:tcPr/>
                <w:p>
                  <w:pPr>
                    <w:pStyle w:val="Compact"/>
                    <w:jc w:val="right"/>
                    <w:jc w:val="center"/>
                  </w:pPr>
                  <w:r>
                    <w:t xml:space="preserve">59.6 [31.9, 78.9]</w:t>
                  </w:r>
                </w:p>
              </w:tc>
              <w:tc>
                <w:tcPr/>
                <w:p>
                  <w:pPr>
                    <w:pStyle w:val="Compact"/>
                    <w:jc w:val="right"/>
                    <w:jc w:val="center"/>
                  </w:pPr>
                  <w:r>
                    <w:t xml:space="preserve">58.2 [20.2, 78.6]</w:t>
                  </w:r>
                </w:p>
              </w:tc>
              <w:tc>
                <w:tcPr/>
                <w:p>
                  <w:pPr>
                    <w:pStyle w:val="Compact"/>
                    <w:jc w:val="right"/>
                    <w:jc w:val="center"/>
                  </w:pPr>
                  <w:r>
                    <w:t xml:space="preserve">62.1 [40.8, 81.0]</w:t>
                  </w:r>
                </w:p>
              </w:tc>
            </w:tr>
            <w:tr>
              <w:tc>
                <w:tcPr/>
                <w:p>
                  <w:pPr>
                    <w:pStyle w:val="Compact"/>
                    <w:jc w:val="left"/>
                    <w:jc w:val="center"/>
                  </w:pPr>
                  <w:r>
                    <w:t xml:space="preserve">    – Time below range (%)</w:t>
                  </w:r>
                </w:p>
              </w:tc>
              <w:tc>
                <w:tcPr/>
                <w:p>
                  <w:pPr>
                    <w:pStyle w:val="Compact"/>
                    <w:jc w:val="right"/>
                    <w:jc w:val="center"/>
                  </w:pPr>
                  <w:r>
                    <w:t xml:space="preserve">0.0 [0.0, 1.5]</w:t>
                  </w:r>
                </w:p>
              </w:tc>
              <w:tc>
                <w:tcPr/>
                <w:p>
                  <w:pPr>
                    <w:pStyle w:val="Compact"/>
                    <w:jc w:val="right"/>
                    <w:jc w:val="center"/>
                  </w:pPr>
                  <w:r>
                    <w:t xml:space="preserve">0.0 [0.0, 0.8]</w:t>
                  </w:r>
                </w:p>
              </w:tc>
              <w:tc>
                <w:tcPr/>
                <w:p>
                  <w:pPr>
                    <w:pStyle w:val="Compact"/>
                    <w:jc w:val="right"/>
                    <w:jc w:val="center"/>
                  </w:pPr>
                  <w:r>
                    <w:t xml:space="preserve">0.2 [0.0, 2.0]</w:t>
                  </w:r>
                </w:p>
              </w:tc>
            </w:tr>
            <w:tr>
              <w:tc>
                <w:tcPr/>
                <w:p>
                  <w:pPr>
                    <w:pStyle w:val="Compact"/>
                    <w:jc w:val="left"/>
                    <w:jc w:val="center"/>
                  </w:pPr>
                  <w:r>
                    <w:t xml:space="preserve">    – Time above range (%)</w:t>
                  </w:r>
                </w:p>
              </w:tc>
              <w:tc>
                <w:tcPr/>
                <w:p>
                  <w:pPr>
                    <w:pStyle w:val="Compact"/>
                    <w:jc w:val="right"/>
                    <w:jc w:val="center"/>
                  </w:pPr>
                  <w:r>
                    <w:t xml:space="preserve">36.6 [17.6, 68.1]</w:t>
                  </w:r>
                </w:p>
              </w:tc>
              <w:tc>
                <w:tcPr/>
                <w:p>
                  <w:pPr>
                    <w:pStyle w:val="Compact"/>
                    <w:jc w:val="right"/>
                    <w:jc w:val="center"/>
                  </w:pPr>
                  <w:r>
                    <w:t xml:space="preserve">41.8 [19.8, 79.5]</w:t>
                  </w:r>
                </w:p>
              </w:tc>
              <w:tc>
                <w:tcPr/>
                <w:p>
                  <w:pPr>
                    <w:pStyle w:val="Compact"/>
                    <w:jc w:val="right"/>
                    <w:jc w:val="center"/>
                  </w:pPr>
                  <w:r>
                    <w:t xml:space="preserve">33.1 [14.1, 58.2]</w:t>
                  </w:r>
                </w:p>
              </w:tc>
            </w:tr>
            <w:tr>
              <w:tc>
                <w:tcPr/>
                <w:p>
                  <w:pPr>
                    <w:pStyle w:val="Compact"/>
                    <w:jc w:val="left"/>
                    <w:jc w:val="center"/>
                  </w:pPr>
                  <w:r>
                    <w:t xml:space="preserve">    – Coefficient of variation (%)</w:t>
                  </w:r>
                </w:p>
              </w:tc>
              <w:tc>
                <w:tcPr/>
                <w:p>
                  <w:pPr>
                    <w:pStyle w:val="Compact"/>
                    <w:jc w:val="right"/>
                    <w:jc w:val="center"/>
                  </w:pPr>
                  <w:r>
                    <w:t xml:space="preserve">27.3 [22.5, 31.9]</w:t>
                  </w:r>
                </w:p>
              </w:tc>
              <w:tc>
                <w:tcPr/>
                <w:p>
                  <w:pPr>
                    <w:pStyle w:val="Compact"/>
                    <w:jc w:val="right"/>
                    <w:jc w:val="center"/>
                  </w:pPr>
                  <w:r>
                    <w:t xml:space="preserve">25.3 [21.2, 30.3]</w:t>
                  </w:r>
                </w:p>
              </w:tc>
              <w:tc>
                <w:tcPr/>
                <w:p>
                  <w:pPr>
                    <w:pStyle w:val="Compact"/>
                    <w:jc w:val="right"/>
                    <w:jc w:val="center"/>
                  </w:pPr>
                  <w:r>
                    <w:t xml:space="preserve">28.3[24.8, 34.2]</w:t>
                  </w:r>
                </w:p>
              </w:tc>
            </w:tr>
            <w:tr>
              <w:tc>
                <w:tcPr/>
                <w:p>
                  <w:pPr>
                    <w:pStyle w:val="Compact"/>
                    <w:jc w:val="left"/>
                    <w:jc w:val="center"/>
                  </w:pPr>
                  <w:r>
                    <w:t xml:space="preserve">    – Mean amplitude of</w:t>
                  </w:r>
                </w:p>
              </w:tc>
              <w:tc>
                <w:tcPr/>
                <w:p>
                  <w:pPr>
                    <w:pStyle w:val="Compact"/>
                    <w:jc w:val="right"/>
                    <w:jc w:val="center"/>
                  </w:pPr>
                  <w:r>
                    <w:t xml:space="preserve">6.3 [5.0, 7.9]</w:t>
                  </w:r>
                </w:p>
              </w:tc>
              <w:tc>
                <w:tcPr/>
                <w:p>
                  <w:pPr>
                    <w:pStyle w:val="Compact"/>
                    <w:jc w:val="right"/>
                    <w:jc w:val="center"/>
                  </w:pPr>
                  <w:r>
                    <w:t xml:space="preserve">6.0 [4.9, 7.7]</w:t>
                  </w:r>
                </w:p>
              </w:tc>
              <w:tc>
                <w:tcPr/>
                <w:p>
                  <w:pPr>
                    <w:pStyle w:val="Compact"/>
                    <w:jc w:val="right"/>
                    <w:jc w:val="center"/>
                  </w:pPr>
                  <w:r>
                    <w:t xml:space="preserve">6.7 [5.1, 8.5]</w:t>
                  </w:r>
                </w:p>
              </w:tc>
            </w:tr>
            <w:tr>
              <w:tc>
                <w:tcPr/>
                <w:p>
                  <w:pPr>
                    <w:pStyle w:val="Compact"/>
                    <w:jc w:val="left"/>
                    <w:jc w:val="center"/>
                  </w:pPr>
                  <w:r>
                    <w:t xml:space="preserve">      glycemic excursions (mmol/L)</w:t>
                  </w:r>
                </w:p>
              </w:tc>
              <w:tc>
                <w:tcPr/>
                <w:p>
                  <w:pPr>
                    <w:pStyle w:val="Compact"/>
                  </w:pPr>
                </w:p>
              </w:tc>
              <w:tc>
                <w:tcPr/>
                <w:p>
                  <w:pPr>
                    <w:pStyle w:val="Compact"/>
                  </w:pPr>
                </w:p>
              </w:tc>
              <w:tc>
                <w:tcPr/>
                <w:p>
                  <w:pPr>
                    <w:pStyle w:val="Compact"/>
                  </w:pPr>
                </w:p>
              </w:tc>
            </w:tr>
          </w:tbl>
          <w:bookmarkEnd w:id="162"/>
          <w:p/>
        </w:tc>
      </w:tr>
    </w:tbl>
    <w:p>
      <w:pPr>
        <w:pStyle w:val="BodyText"/>
      </w:pPr>
      <w:r>
        <w:t xml:space="preserve">The T1DX dataset presented below was used in Study II and Study III (</w:t>
      </w:r>
      <w:hyperlink w:anchor="tbl-baseline-t1dx">
        <w:r>
          <w:rPr>
            <w:rStyle w:val="Hyperlink"/>
          </w:rPr>
          <w:t xml:space="preserve">Table 4.13</w:t>
        </w:r>
      </w:hyperlink>
      <w:r>
        <w:t xml:space="preserve">).</w:t>
      </w:r>
      <w:r>
        <w:t xml:space="preserve"> </w:t>
      </w:r>
      <w:r>
        <w:t xml:space="preserve">A total of 205 participants were included, of whom 101 (49%) were White. Compared with Black participants, White participants tended to have lower HbA1c levels (63 mmol/mol vs. 72 mmol/mol ) and a higher proportion of children (49% vs. 32%). Females constituted the majority of both racial groups (46% and 40%).</w:t>
      </w:r>
    </w:p>
    <w:tbl>
      <w:tblPr>
        <w:tblStyle w:val="Table"/>
        <w:tblW w:type="pct" w:w="5000"/>
        <w:tblLayout w:type="fixed"/>
        <w:tblLook w:firstRow="0" w:lastRow="0" w:firstColumn="0" w:lastColumn="0" w:noHBand="0" w:noVBand="0" w:val="0000"/>
      </w:tblPr>
      <w:tblGrid>
        <w:gridCol w:w="7920"/>
      </w:tblGrid>
      <w:tr>
        <w:tc>
          <w:tcPr/>
          <w:bookmarkStart w:id="163" w:name="tbl-baseline-t1dx"/>
          <w:p>
            <w:pPr>
              <w:jc w:val="center"/>
            </w:pPr>
            <w:pPr>
              <w:jc w:val="left"/>
              <w:spacing w:before="200"/>
              <w:pStyle w:val="ImageCaption"/>
            </w:pPr>
            <w:r>
              <w:t xml:space="preserve">Table 4.13: Baseline table for T1DX data.</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Characteristics</w:t>
                  </w:r>
                </w:p>
              </w:tc>
              <w:tc>
                <w:tcPr/>
                <w:p>
                  <w:pPr>
                    <w:pStyle w:val="Compact"/>
                    <w:jc w:val="right"/>
                    <w:jc w:val="center"/>
                  </w:pPr>
                  <w:r>
                    <w:t xml:space="preserve">Total</w:t>
                  </w:r>
                </w:p>
              </w:tc>
              <w:tc>
                <w:tcPr/>
                <w:p>
                  <w:pPr>
                    <w:pStyle w:val="Compact"/>
                    <w:jc w:val="right"/>
                    <w:jc w:val="center"/>
                  </w:pPr>
                  <w:r>
                    <w:t xml:space="preserve">Race: White</w:t>
                  </w:r>
                </w:p>
              </w:tc>
              <w:tc>
                <w:tcPr/>
                <w:p>
                  <w:pPr>
                    <w:pStyle w:val="Compact"/>
                    <w:jc w:val="right"/>
                    <w:jc w:val="center"/>
                  </w:pPr>
                  <w:r>
                    <w:t xml:space="preserve">Race: Black</w:t>
                  </w:r>
                </w:p>
              </w:tc>
            </w:tr>
            <w:tr>
              <w:tc>
                <w:tcPr/>
                <w:p>
                  <w:pPr>
                    <w:pStyle w:val="Compact"/>
                    <w:jc w:val="left"/>
                    <w:jc w:val="center"/>
                  </w:pPr>
                  <w:r>
                    <w:t xml:space="preserve">N</w:t>
                  </w:r>
                </w:p>
              </w:tc>
              <w:tc>
                <w:tcPr/>
                <w:p>
                  <w:pPr>
                    <w:pStyle w:val="Compact"/>
                    <w:jc w:val="right"/>
                    <w:jc w:val="center"/>
                  </w:pPr>
                  <w:r>
                    <w:t xml:space="preserve">205</w:t>
                  </w:r>
                </w:p>
              </w:tc>
              <w:tc>
                <w:tcPr/>
                <w:p>
                  <w:pPr>
                    <w:pStyle w:val="Compact"/>
                    <w:jc w:val="right"/>
                    <w:jc w:val="center"/>
                  </w:pPr>
                  <w:r>
                    <w:t xml:space="preserve">101</w:t>
                  </w:r>
                </w:p>
              </w:tc>
              <w:tc>
                <w:tcPr/>
                <w:p>
                  <w:pPr>
                    <w:pStyle w:val="Compact"/>
                    <w:jc w:val="right"/>
                    <w:jc w:val="center"/>
                  </w:pPr>
                  <w:r>
                    <w:t xml:space="preserve">104</w:t>
                  </w:r>
                </w:p>
              </w:tc>
            </w:tr>
            <w:tr>
              <w:tc>
                <w:tcPr/>
                <w:p>
                  <w:pPr>
                    <w:pStyle w:val="Compact"/>
                    <w:jc w:val="left"/>
                    <w:jc w:val="center"/>
                  </w:pPr>
                  <w:r>
                    <w:t xml:space="preserve">Race (White)</w:t>
                  </w:r>
                </w:p>
              </w:tc>
              <w:tc>
                <w:tcPr/>
                <w:p>
                  <w:pPr>
                    <w:pStyle w:val="Compact"/>
                    <w:jc w:val="right"/>
                    <w:jc w:val="center"/>
                  </w:pPr>
                  <w:r>
                    <w:t xml:space="preserve">101 (49%)</w:t>
                  </w:r>
                </w:p>
              </w:tc>
              <w:tc>
                <w:tcPr/>
                <w:p>
                  <w:pPr>
                    <w:pStyle w:val="Compact"/>
                    <w:jc w:val="right"/>
                    <w:jc w:val="center"/>
                  </w:pPr>
                  <w:r>
                    <w:t xml:space="preserve">101 (100%)</w:t>
                  </w:r>
                </w:p>
              </w:tc>
              <w:tc>
                <w:tcPr/>
                <w:p>
                  <w:pPr>
                    <w:pStyle w:val="Compact"/>
                    <w:jc w:val="right"/>
                    <w:jc w:val="center"/>
                  </w:pPr>
                  <w:r>
                    <w:t xml:space="preserve">0 (0%)</w:t>
                  </w:r>
                </w:p>
              </w:tc>
            </w:tr>
            <w:tr>
              <w:tc>
                <w:tcPr/>
                <w:p>
                  <w:pPr>
                    <w:pStyle w:val="Compact"/>
                    <w:jc w:val="left"/>
                    <w:jc w:val="center"/>
                  </w:pPr>
                  <w:r>
                    <w:t xml:space="preserve">Sex (male)</w:t>
                  </w:r>
                </w:p>
              </w:tc>
              <w:tc>
                <w:tcPr/>
                <w:p>
                  <w:pPr>
                    <w:pStyle w:val="Compact"/>
                    <w:jc w:val="right"/>
                    <w:jc w:val="center"/>
                  </w:pPr>
                  <w:r>
                    <w:t xml:space="preserve">88 (43%)</w:t>
                  </w:r>
                </w:p>
              </w:tc>
              <w:tc>
                <w:tcPr/>
                <w:p>
                  <w:pPr>
                    <w:pStyle w:val="Compact"/>
                    <w:jc w:val="right"/>
                    <w:jc w:val="center"/>
                  </w:pPr>
                  <w:r>
                    <w:t xml:space="preserve">46 (46%)</w:t>
                  </w:r>
                </w:p>
              </w:tc>
              <w:tc>
                <w:tcPr/>
                <w:p>
                  <w:pPr>
                    <w:pStyle w:val="Compact"/>
                    <w:jc w:val="right"/>
                    <w:jc w:val="center"/>
                  </w:pPr>
                  <w:r>
                    <w:t xml:space="preserve">42 (40%)</w:t>
                  </w:r>
                </w:p>
              </w:tc>
            </w:tr>
            <w:tr>
              <w:tc>
                <w:tcPr/>
                <w:p>
                  <w:pPr>
                    <w:pStyle w:val="Compact"/>
                    <w:jc w:val="left"/>
                    <w:jc w:val="center"/>
                  </w:pPr>
                  <w:r>
                    <w:t xml:space="preserve">Age (years)</w:t>
                  </w:r>
                </w:p>
              </w:tc>
              <w:tc>
                <w:tcPr/>
                <w:p>
                  <w:pPr>
                    <w:pStyle w:val="Compact"/>
                    <w:jc w:val="right"/>
                    <w:jc w:val="center"/>
                  </w:pPr>
                  <w:r>
                    <w:t xml:space="preserve">28 [15, 47]</w:t>
                  </w:r>
                </w:p>
              </w:tc>
              <w:tc>
                <w:tcPr/>
                <w:p>
                  <w:pPr>
                    <w:pStyle w:val="Compact"/>
                    <w:jc w:val="right"/>
                    <w:jc w:val="center"/>
                  </w:pPr>
                  <w:r>
                    <w:t xml:space="preserve">22 [13, 46]</w:t>
                  </w:r>
                </w:p>
              </w:tc>
              <w:tc>
                <w:tcPr/>
                <w:p>
                  <w:pPr>
                    <w:pStyle w:val="Compact"/>
                    <w:jc w:val="right"/>
                    <w:jc w:val="center"/>
                  </w:pPr>
                  <w:r>
                    <w:t xml:space="preserve">32 [16, 47]</w:t>
                  </w:r>
                </w:p>
              </w:tc>
            </w:tr>
            <w:tr>
              <w:tc>
                <w:tcPr/>
                <w:p>
                  <w:pPr>
                    <w:pStyle w:val="Compact"/>
                    <w:jc w:val="left"/>
                    <w:jc w:val="center"/>
                  </w:pPr>
                  <w:r>
                    <w:t xml:space="preserve">Age group (child, &lt; 18 yrs)</w:t>
                  </w:r>
                </w:p>
              </w:tc>
              <w:tc>
                <w:tcPr/>
                <w:p>
                  <w:pPr>
                    <w:pStyle w:val="Compact"/>
                    <w:jc w:val="right"/>
                    <w:jc w:val="center"/>
                  </w:pPr>
                  <w:r>
                    <w:t xml:space="preserve">82 (40%)</w:t>
                  </w:r>
                </w:p>
              </w:tc>
              <w:tc>
                <w:tcPr/>
                <w:p>
                  <w:pPr>
                    <w:pStyle w:val="Compact"/>
                    <w:jc w:val="right"/>
                    <w:jc w:val="center"/>
                  </w:pPr>
                  <w:r>
                    <w:t xml:space="preserve">49 (49%)</w:t>
                  </w:r>
                </w:p>
              </w:tc>
              <w:tc>
                <w:tcPr/>
                <w:p>
                  <w:pPr>
                    <w:pStyle w:val="Compact"/>
                    <w:jc w:val="right"/>
                    <w:jc w:val="center"/>
                  </w:pPr>
                  <w:r>
                    <w:t xml:space="preserve">33 (32%)</w:t>
                  </w:r>
                </w:p>
              </w:tc>
            </w:tr>
            <w:tr>
              <w:tc>
                <w:tcPr/>
                <w:p>
                  <w:pPr>
                    <w:pStyle w:val="Compact"/>
                    <w:jc w:val="left"/>
                    <w:jc w:val="center"/>
                  </w:pPr>
                  <w:r>
                    <w:t xml:space="preserve">Age at T1D diagnosis (years)</w:t>
                  </w:r>
                </w:p>
              </w:tc>
              <w:tc>
                <w:tcPr/>
                <w:p>
                  <w:pPr>
                    <w:pStyle w:val="Compact"/>
                    <w:jc w:val="right"/>
                    <w:jc w:val="center"/>
                  </w:pPr>
                  <w:r>
                    <w:t xml:space="preserve">11 [7, 22]</w:t>
                  </w:r>
                </w:p>
              </w:tc>
              <w:tc>
                <w:tcPr/>
                <w:p>
                  <w:pPr>
                    <w:pStyle w:val="Compact"/>
                    <w:jc w:val="right"/>
                    <w:jc w:val="center"/>
                  </w:pPr>
                  <w:r>
                    <w:t xml:space="preserve">9 [6, 16]</w:t>
                  </w:r>
                </w:p>
              </w:tc>
              <w:tc>
                <w:tcPr/>
                <w:p>
                  <w:pPr>
                    <w:pStyle w:val="Compact"/>
                    <w:jc w:val="right"/>
                    <w:jc w:val="center"/>
                  </w:pPr>
                  <w:r>
                    <w:t xml:space="preserve">14 [8, 25]</w:t>
                  </w:r>
                </w:p>
              </w:tc>
            </w:tr>
            <w:tr>
              <w:tc>
                <w:tcPr/>
                <w:p>
                  <w:pPr>
                    <w:pStyle w:val="Compact"/>
                    <w:jc w:val="left"/>
                    <w:jc w:val="center"/>
                  </w:pPr>
                  <w:r>
                    <w:t xml:space="preserve">BMI (</w:t>
                  </w:r>
                  <m:oMath>
                    <m:sSup>
                      <m:e>
                        <m:r>
                          <m:rPr>
                            <m:nor/>
                            <m:sty m:val="p"/>
                          </m:rPr>
                          <m:t>kg/m</m:t>
                        </m:r>
                      </m:e>
                      <m:sup>
                        <m:r>
                          <m:t>2</m:t>
                        </m:r>
                      </m:sup>
                    </m:sSup>
                  </m:oMath>
                  <w:r>
                    <w:t xml:space="preserve">)</w:t>
                  </w:r>
                </w:p>
              </w:tc>
              <w:tc>
                <w:tcPr/>
                <w:p>
                  <w:pPr>
                    <w:pStyle w:val="Compact"/>
                    <w:jc w:val="right"/>
                    <w:jc w:val="center"/>
                  </w:pPr>
                  <w:r>
                    <w:t xml:space="preserve">25.1 [21.7, 29.2]</w:t>
                  </w:r>
                </w:p>
              </w:tc>
              <w:tc>
                <w:tcPr/>
                <w:p>
                  <w:pPr>
                    <w:pStyle w:val="Compact"/>
                    <w:jc w:val="right"/>
                    <w:jc w:val="center"/>
                  </w:pPr>
                  <w:r>
                    <w:t xml:space="preserve">24.0 [20.7, 28.6]</w:t>
                  </w:r>
                </w:p>
              </w:tc>
              <w:tc>
                <w:tcPr/>
                <w:p>
                  <w:pPr>
                    <w:pStyle w:val="Compact"/>
                    <w:jc w:val="right"/>
                    <w:jc w:val="center"/>
                  </w:pPr>
                  <w:r>
                    <w:t xml:space="preserve">26.7 [22.3, 30.0]</w:t>
                  </w:r>
                </w:p>
              </w:tc>
            </w:tr>
            <w:tr>
              <w:tc>
                <w:tcPr/>
                <w:p>
                  <w:pPr>
                    <w:pStyle w:val="Compact"/>
                    <w:jc w:val="left"/>
                    <w:jc w:val="center"/>
                  </w:pPr>
                  <w:r>
                    <w:t xml:space="preserve">HbA1c (mmol/mol)</w:t>
                  </w:r>
                </w:p>
              </w:tc>
              <w:tc>
                <w:tcPr/>
                <w:p>
                  <w:pPr>
                    <w:pStyle w:val="Compact"/>
                    <w:jc w:val="right"/>
                    <w:jc w:val="center"/>
                  </w:pPr>
                  <w:r>
                    <w:t xml:space="preserve">67 [57, 78]</w:t>
                  </w:r>
                </w:p>
              </w:tc>
              <w:tc>
                <w:tcPr/>
                <w:p>
                  <w:pPr>
                    <w:pStyle w:val="Compact"/>
                    <w:jc w:val="right"/>
                    <w:jc w:val="center"/>
                  </w:pPr>
                  <w:r>
                    <w:t xml:space="preserve">63 [55, 73]</w:t>
                  </w:r>
                </w:p>
              </w:tc>
              <w:tc>
                <w:tcPr/>
                <w:p>
                  <w:pPr>
                    <w:pStyle w:val="Compact"/>
                    <w:jc w:val="right"/>
                    <w:jc w:val="center"/>
                  </w:pPr>
                  <w:r>
                    <w:t xml:space="preserve">72 [60, 85]</w:t>
                  </w:r>
                </w:p>
              </w:tc>
            </w:tr>
            <w:tr>
              <w:tc>
                <w:tcPr/>
                <w:p>
                  <w:pPr>
                    <w:pStyle w:val="Compact"/>
                    <w:jc w:val="left"/>
                    <w:jc w:val="center"/>
                  </w:pPr>
                  <w:r>
                    <w:rPr>
                      <w:b/>
                      <w:bCs/>
                    </w:rP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58 [46, 69]</w:t>
                  </w:r>
                </w:p>
              </w:tc>
              <w:tc>
                <w:tcPr/>
                <w:p>
                  <w:pPr>
                    <w:pStyle w:val="Compact"/>
                    <w:jc w:val="right"/>
                    <w:jc w:val="center"/>
                  </w:pPr>
                  <w:r>
                    <w:t xml:space="preserve">63 [47, 71]</w:t>
                  </w:r>
                </w:p>
              </w:tc>
              <w:tc>
                <w:tcPr/>
                <w:p>
                  <w:pPr>
                    <w:pStyle w:val="Compact"/>
                    <w:jc w:val="right"/>
                    <w:jc w:val="center"/>
                  </w:pPr>
                  <w:r>
                    <w:t xml:space="preserve">56 [45, 66]</w:t>
                  </w:r>
                </w:p>
              </w:tc>
            </w:tr>
            <w:tr>
              <w:tc>
                <w:tcPr/>
                <w:p>
                  <w:pPr>
                    <w:pStyle w:val="Compact"/>
                    <w:jc w:val="left"/>
                    <w:jc w:val="center"/>
                  </w:pPr>
                  <w:r>
                    <w:t xml:space="preserve">    – Glucose management</w:t>
                  </w:r>
                </w:p>
              </w:tc>
              <w:tc>
                <w:tcPr/>
                <w:p>
                  <w:pPr>
                    <w:pStyle w:val="Compact"/>
                    <w:jc w:val="right"/>
                    <w:jc w:val="center"/>
                  </w:pPr>
                  <w:r>
                    <w:t xml:space="preserve">7.5 [7.0, 8.2]</w:t>
                  </w:r>
                </w:p>
              </w:tc>
              <w:tc>
                <w:tcPr/>
                <w:p>
                  <w:pPr>
                    <w:pStyle w:val="Compact"/>
                    <w:jc w:val="right"/>
                    <w:jc w:val="center"/>
                  </w:pPr>
                  <w:r>
                    <w:t xml:space="preserve">7.4 [6.9, 7.9]</w:t>
                  </w:r>
                </w:p>
              </w:tc>
              <w:tc>
                <w:tcPr/>
                <w:p>
                  <w:pPr>
                    <w:pStyle w:val="Compact"/>
                    <w:jc w:val="right"/>
                    <w:jc w:val="center"/>
                  </w:pPr>
                  <w:r>
                    <w:t xml:space="preserve">7.7 [7.0, 8.5]</w:t>
                  </w:r>
                </w:p>
              </w:tc>
            </w:tr>
            <w:tr>
              <w:tc>
                <w:tcPr/>
                <w:p>
                  <w:pPr>
                    <w:pStyle w:val="Compact"/>
                    <w:jc w:val="left"/>
                    <w:jc w:val="center"/>
                  </w:pPr>
                  <w:r>
                    <w:t xml:space="preserve">       indicator (%)</w:t>
                  </w:r>
                </w:p>
              </w:tc>
              <w:tc>
                <w:tcPr/>
                <w:p>
                  <w:pPr>
                    <w:pStyle w:val="Compact"/>
                  </w:pPr>
                </w:p>
              </w:tc>
              <w:tc>
                <w:tcPr/>
                <w:p>
                  <w:pPr>
                    <w:pStyle w:val="Compact"/>
                  </w:pPr>
                </w:p>
              </w:tc>
              <w:tc>
                <w:tcPr/>
                <w:p>
                  <w:pPr>
                    <w:pStyle w:val="Compact"/>
                  </w:pPr>
                </w:p>
              </w:tc>
            </w:tr>
            <w:tr>
              <w:tc>
                <w:tcPr/>
                <w:p>
                  <w:pPr>
                    <w:pStyle w:val="Compact"/>
                    <w:jc w:val="left"/>
                    <w:jc w:val="center"/>
                  </w:pPr>
                  <w:r>
                    <w:t xml:space="preserve">    – Time in range (%)</w:t>
                  </w:r>
                </w:p>
              </w:tc>
              <w:tc>
                <w:tcPr/>
                <w:p>
                  <w:pPr>
                    <w:pStyle w:val="Compact"/>
                    <w:jc w:val="right"/>
                    <w:jc w:val="center"/>
                  </w:pPr>
                  <w:r>
                    <w:t xml:space="preserve">47 [35, 57]</w:t>
                  </w:r>
                </w:p>
              </w:tc>
              <w:tc>
                <w:tcPr/>
                <w:p>
                  <w:pPr>
                    <w:pStyle w:val="Compact"/>
                    <w:jc w:val="right"/>
                    <w:jc w:val="center"/>
                  </w:pPr>
                  <w:r>
                    <w:t xml:space="preserve">49 [39, 60]</w:t>
                  </w:r>
                </w:p>
              </w:tc>
              <w:tc>
                <w:tcPr/>
                <w:p>
                  <w:pPr>
                    <w:pStyle w:val="Compact"/>
                    <w:jc w:val="right"/>
                    <w:jc w:val="center"/>
                  </w:pPr>
                  <w:r>
                    <w:t xml:space="preserve">42 [31, 54]</w:t>
                  </w:r>
                </w:p>
              </w:tc>
            </w:tr>
            <w:tr>
              <w:tc>
                <w:tcPr/>
                <w:p>
                  <w:pPr>
                    <w:pStyle w:val="Compact"/>
                    <w:jc w:val="left"/>
                    <w:jc w:val="center"/>
                  </w:pPr>
                  <w:r>
                    <w:t xml:space="preserve">    – Time above range (%)</w:t>
                  </w:r>
                </w:p>
              </w:tc>
              <w:tc>
                <w:tcPr/>
                <w:p>
                  <w:pPr>
                    <w:pStyle w:val="Compact"/>
                    <w:jc w:val="right"/>
                    <w:jc w:val="center"/>
                  </w:pPr>
                  <w:r>
                    <w:t xml:space="preserve">45 [30, 56]</w:t>
                  </w:r>
                </w:p>
              </w:tc>
              <w:tc>
                <w:tcPr/>
                <w:p>
                  <w:pPr>
                    <w:pStyle w:val="Compact"/>
                    <w:jc w:val="right"/>
                    <w:jc w:val="center"/>
                  </w:pPr>
                  <w:r>
                    <w:t xml:space="preserve">42 [28, 53]</w:t>
                  </w:r>
                </w:p>
              </w:tc>
              <w:tc>
                <w:tcPr/>
                <w:p>
                  <w:pPr>
                    <w:pStyle w:val="Compact"/>
                    <w:jc w:val="right"/>
                    <w:jc w:val="center"/>
                  </w:pPr>
                  <w:r>
                    <w:t xml:space="preserve">48 [32, 60]</w:t>
                  </w:r>
                </w:p>
              </w:tc>
            </w:tr>
            <w:tr>
              <w:tc>
                <w:tcPr/>
                <w:p>
                  <w:pPr>
                    <w:pStyle w:val="Compact"/>
                    <w:jc w:val="left"/>
                    <w:jc w:val="center"/>
                  </w:pPr>
                  <w:r>
                    <w:t xml:space="preserve">    – Time below range (%)</w:t>
                  </w:r>
                </w:p>
              </w:tc>
              <w:tc>
                <w:tcPr/>
                <w:p>
                  <w:pPr>
                    <w:pStyle w:val="Compact"/>
                    <w:jc w:val="right"/>
                    <w:jc w:val="center"/>
                  </w:pPr>
                  <w:r>
                    <w:t xml:space="preserve">8 [4, 14]</w:t>
                  </w:r>
                </w:p>
              </w:tc>
              <w:tc>
                <w:tcPr/>
                <w:p>
                  <w:pPr>
                    <w:pStyle w:val="Compact"/>
                    <w:jc w:val="right"/>
                    <w:jc w:val="center"/>
                  </w:pPr>
                  <w:r>
                    <w:t xml:space="preserve">6 [4, 10]</w:t>
                  </w:r>
                </w:p>
              </w:tc>
              <w:tc>
                <w:tcPr/>
                <w:p>
                  <w:pPr>
                    <w:pStyle w:val="Compact"/>
                    <w:jc w:val="right"/>
                    <w:jc w:val="center"/>
                  </w:pPr>
                  <w:r>
                    <w:t xml:space="preserve">11 [5, 15]</w:t>
                  </w:r>
                </w:p>
              </w:tc>
            </w:tr>
            <w:tr>
              <w:tc>
                <w:tcPr/>
                <w:p>
                  <w:pPr>
                    <w:pStyle w:val="Compact"/>
                    <w:jc w:val="left"/>
                    <w:jc w:val="center"/>
                  </w:pPr>
                  <w:r>
                    <w:t xml:space="preserve">    – Coefficient of variation (%)</w:t>
                  </w:r>
                </w:p>
              </w:tc>
              <w:tc>
                <w:tcPr/>
                <w:p>
                  <w:pPr>
                    <w:pStyle w:val="Compact"/>
                    <w:jc w:val="right"/>
                    <w:jc w:val="center"/>
                  </w:pPr>
                  <w:r>
                    <w:t xml:space="preserve">43.3 [39.6, 48.6]</w:t>
                  </w:r>
                </w:p>
              </w:tc>
              <w:tc>
                <w:tcPr/>
                <w:p>
                  <w:pPr>
                    <w:pStyle w:val="Compact"/>
                    <w:jc w:val="right"/>
                    <w:jc w:val="center"/>
                  </w:pPr>
                  <w:r>
                    <w:t xml:space="preserve">42.2 [38.6, 46.5]</w:t>
                  </w:r>
                </w:p>
              </w:tc>
              <w:tc>
                <w:tcPr/>
                <w:p>
                  <w:pPr>
                    <w:pStyle w:val="Compact"/>
                    <w:jc w:val="right"/>
                    <w:jc w:val="center"/>
                  </w:pPr>
                  <w:r>
                    <w:t xml:space="preserve">46.7 [40.4, 51.9]</w:t>
                  </w:r>
                </w:p>
              </w:tc>
            </w:tr>
            <w:tr>
              <w:tc>
                <w:tcPr/>
                <w:p>
                  <w:pPr>
                    <w:pStyle w:val="Compact"/>
                    <w:jc w:val="left"/>
                    <w:jc w:val="center"/>
                  </w:pPr>
                  <w:r>
                    <w:t xml:space="preserve">    – Mean amplitude of</w:t>
                  </w:r>
                </w:p>
              </w:tc>
              <w:tc>
                <w:tcPr/>
                <w:p>
                  <w:pPr>
                    <w:pStyle w:val="Compact"/>
                    <w:jc w:val="right"/>
                    <w:jc w:val="center"/>
                  </w:pPr>
                  <w:r>
                    <w:t xml:space="preserve">9.9 [8.2, 12.1]</w:t>
                  </w:r>
                </w:p>
              </w:tc>
              <w:tc>
                <w:tcPr/>
                <w:p>
                  <w:pPr>
                    <w:pStyle w:val="Compact"/>
                    <w:jc w:val="right"/>
                    <w:jc w:val="center"/>
                  </w:pPr>
                  <w:r>
                    <w:t xml:space="preserve">9.6 [8.1, 11.2]</w:t>
                  </w:r>
                </w:p>
              </w:tc>
              <w:tc>
                <w:tcPr/>
                <w:p>
                  <w:pPr>
                    <w:pStyle w:val="Compact"/>
                    <w:jc w:val="right"/>
                    <w:jc w:val="center"/>
                  </w:pPr>
                  <w:r>
                    <w:t xml:space="preserve">10.6 [8.5, 13.0]</w:t>
                  </w:r>
                </w:p>
              </w:tc>
            </w:tr>
            <w:tr>
              <w:tc>
                <w:tcPr/>
                <w:p>
                  <w:pPr>
                    <w:pStyle w:val="Compact"/>
                    <w:jc w:val="left"/>
                    <w:jc w:val="center"/>
                  </w:pPr>
                  <w:r>
                    <w:t xml:space="preserve">      glycemic excursions (mmol/L)</w:t>
                  </w:r>
                </w:p>
              </w:tc>
              <w:tc>
                <w:tcPr/>
                <w:p>
                  <w:pPr>
                    <w:pStyle w:val="Compact"/>
                  </w:pPr>
                </w:p>
              </w:tc>
              <w:tc>
                <w:tcPr/>
                <w:p>
                  <w:pPr>
                    <w:pStyle w:val="Compact"/>
                  </w:pPr>
                </w:p>
              </w:tc>
              <w:tc>
                <w:tcPr/>
                <w:p>
                  <w:pPr>
                    <w:pStyle w:val="Compact"/>
                  </w:pPr>
                </w:p>
              </w:tc>
            </w:tr>
          </w:tbl>
          <w:bookmarkEnd w:id="163"/>
          <w:p/>
        </w:tc>
      </w:tr>
    </w:tbl>
    <w:bookmarkEnd w:id="164"/>
    <w:bookmarkStart w:id="165" w:name="Xde7f743f172798d66d42a1db4352d3359663c5b"/>
    <w:p>
      <w:pPr>
        <w:pStyle w:val="Heading2"/>
      </w:pPr>
      <w:r>
        <w:t xml:space="preserve">4.7 Study II: Results from a Foundation Model Embedding Analysis</w:t>
      </w:r>
    </w:p>
    <w:bookmarkEnd w:id="165"/>
    <w:bookmarkStart w:id="167" w:name="study-ii-prediction-of-nt-probnp-1"/>
    <w:p>
      <w:pPr>
        <w:pStyle w:val="Heading2"/>
      </w:pPr>
      <w:r>
        <w:t xml:space="preserve">4.8 Study II: Prediction of NT-proBNP</w:t>
      </w:r>
    </w:p>
    <w:p>
      <w:pPr>
        <w:pStyle w:val="FirstParagraph"/>
      </w:pPr>
      <w:r>
        <w:t xml:space="preserve">Results from the prediction analysis are shown in</w:t>
      </w:r>
      <w:r>
        <w:t xml:space="preserve"> </w:t>
      </w:r>
      <w:hyperlink w:anchor="tbl-model-performance_main">
        <w:r>
          <w:rPr>
            <w:rStyle w:val="Hyperlink"/>
          </w:rPr>
          <w:t xml:space="preserve">Table 4.14</w:t>
        </w:r>
      </w:hyperlink>
      <w:r>
        <w:t xml:space="preserve">.</w:t>
      </w:r>
      <w:r>
        <w:t xml:space="preserve"> </w:t>
      </w:r>
      <w:r>
        <w:t xml:space="preserve">The highest optimism-corrected AUROC was achieved by Model A2 which included both all nine clinical variables from the SCORE2-Diabetes input and the CGM-derived metrics TIR and MAGE (AUROC: 0.81 [0.77–0.88]).</w:t>
      </w:r>
      <w:r>
        <w:t xml:space="preserve"> </w:t>
      </w:r>
      <w:r>
        <w:t xml:space="preserve">Optimism-corrected AUROCs for the models with fewer predictors had modest performance (AUROC: 0.72 to 77 ), however the optimism-correction was smaller and the prediction stability was more stable the fewer predictors were included in the models (Models: B1, B2, and B3) (@#sec-suppl-pred-stability).</w:t>
      </w:r>
      <w:r>
        <w:t xml:space="preserve"> </w:t>
      </w:r>
      <w:r>
        <w:t xml:space="preserve">The models including only CGM-data either as derived metrics (Model C1) or as UMAP dimensions (Model D1a, D1b, D1c) performed the worst (AUROC: 0.53 to 0.69). Age seemed a better predictor for elevated NT-proBNP (AUROC: 0.73 [0.65 - 0.80])</w:t>
      </w:r>
    </w:p>
    <w:tbl>
      <w:tblPr>
        <w:tblStyle w:val="Table"/>
        <w:tblW w:type="pct" w:w="5000"/>
        <w:tblLayout w:type="fixed"/>
        <w:tblLook w:firstRow="0" w:lastRow="0" w:firstColumn="0" w:lastColumn="0" w:noHBand="0" w:noVBand="0" w:val="0000"/>
      </w:tblPr>
      <w:tblGrid>
        <w:gridCol w:w="7920"/>
      </w:tblGrid>
      <w:tr>
        <w:tc>
          <w:tcPr/>
          <w:bookmarkStart w:id="166" w:name="tbl-model-performance_main"/>
          <w:p>
            <w:pPr>
              <w:jc w:val="center"/>
            </w:pPr>
            <w:pPr>
              <w:jc w:val="left"/>
              <w:spacing w:before="200"/>
              <w:pStyle w:val="ImageCaption"/>
            </w:pPr>
            <w:r>
              <w:t xml:space="preserve">Table 4.14: Area under the receiver operating characteristic curve for the included models.</w:t>
            </w:r>
          </w:p>
          <w:tbl>
            <w:tblPr>
              <w:tblStyle w:val="Table"/>
              <w:tblW w:type="pct" w:w="4900"/>
              <w:tblLayout w:type="fixed"/>
              <w:tblLook w:firstRow="1" w:lastRow="0" w:firstColumn="0" w:lastColumn="0" w:noHBand="0" w:noVBand="0" w:val="0020"/>
            </w:tblPr>
            <w:tblGrid>
              <w:gridCol w:w="2851"/>
              <w:gridCol w:w="1900"/>
              <w:gridCol w:w="871"/>
              <w:gridCol w:w="950"/>
              <w:gridCol w:w="1188"/>
            </w:tblGrid>
            <w:tr>
              <w:trPr>
                <w:tblHeader w:val="on"/>
              </w:trPr>
              <w:tc>
                <w:tcPr/>
                <w:p>
                  <w:pPr>
                    <w:pStyle w:val="Compact"/>
                    <w:jc w:val="left"/>
                    <w:jc w:val="center"/>
                  </w:pPr>
                  <w:r>
                    <w:t xml:space="preserve">Models</w:t>
                  </w:r>
                </w:p>
              </w:tc>
              <w:tc>
                <w:tcPr/>
                <w:p>
                  <w:pPr>
                    <w:pStyle w:val="Compact"/>
                    <w:jc w:val="center"/>
                    <w:jc w:val="center"/>
                  </w:pPr>
                  <w:r>
                    <w:t xml:space="preserve">Corrected [95% CI]</w:t>
                  </w:r>
                </w:p>
              </w:tc>
              <w:tc>
                <w:tcPr/>
                <w:p>
                  <w:pPr>
                    <w:pStyle w:val="Compact"/>
                    <w:jc w:val="center"/>
                    <w:jc w:val="center"/>
                  </w:pPr>
                  <w:r>
                    <w:t xml:space="preserve">Apparent</w:t>
                  </w:r>
                </w:p>
              </w:tc>
              <w:tc>
                <w:tcPr/>
                <w:p>
                  <w:pPr>
                    <w:pStyle w:val="Compact"/>
                    <w:jc w:val="center"/>
                    <w:jc w:val="center"/>
                  </w:pPr>
                  <w:r>
                    <w:t xml:space="preserve">Optimism</w:t>
                  </w:r>
                </w:p>
              </w:tc>
              <w:tc>
                <w:tcPr/>
                <w:p>
                  <w:pPr>
                    <w:pStyle w:val="Compact"/>
                    <w:jc w:val="center"/>
                    <w:jc w:val="center"/>
                  </w:pPr>
                  <w:r>
                    <w:t xml:space="preserve">Number of predictors</w:t>
                  </w:r>
                </w:p>
              </w:tc>
            </w:tr>
            <w:tr>
              <w:tc>
                <w:tcPr/>
                <w:p>
                  <w:pPr>
                    <w:pStyle w:val="Compact"/>
                    <w:jc w:val="left"/>
                    <w:jc w:val="center"/>
                  </w:pPr>
                  <w:r>
                    <w:rPr>
                      <w:b/>
                      <w:bCs/>
                    </w:rPr>
                    <w:t xml:space="preserve">Model A0:</w:t>
                  </w:r>
                  <w:r>
                    <w:t xml:space="preserve"> </w:t>
                  </w:r>
                  <w:r>
                    <w:t xml:space="preserve">(Age)</w:t>
                  </w:r>
                </w:p>
              </w:tc>
              <w:tc>
                <w:tcPr/>
                <w:p>
                  <w:pPr>
                    <w:pStyle w:val="Compact"/>
                    <w:jc w:val="center"/>
                    <w:jc w:val="center"/>
                  </w:pPr>
                  <w:r>
                    <w:t xml:space="preserve">0.73 [0.65 - 0.80]</w:t>
                  </w:r>
                </w:p>
              </w:tc>
              <w:tc>
                <w:tcPr/>
                <w:p>
                  <w:pPr>
                    <w:pStyle w:val="Compact"/>
                    <w:jc w:val="center"/>
                    <w:jc w:val="center"/>
                  </w:pPr>
                  <w:r>
                    <w:t xml:space="preserve">0.73</w:t>
                  </w:r>
                </w:p>
              </w:tc>
              <w:tc>
                <w:tcPr/>
                <w:p>
                  <w:pPr>
                    <w:pStyle w:val="Compact"/>
                    <w:jc w:val="center"/>
                    <w:jc w:val="center"/>
                  </w:pPr>
                  <w:r>
                    <w:t xml:space="preserve">0.00</w:t>
                  </w:r>
                </w:p>
              </w:tc>
              <w:tc>
                <w:tcPr/>
                <w:p>
                  <w:pPr>
                    <w:pStyle w:val="Compact"/>
                    <w:jc w:val="center"/>
                    <w:jc w:val="center"/>
                  </w:pPr>
                  <w:r>
                    <w:t xml:space="preserve">1</w:t>
                  </w:r>
                </w:p>
              </w:tc>
            </w:tr>
            <w:tr>
              <w:tc>
                <w:tcPr/>
                <w:p>
                  <w:pPr>
                    <w:pStyle w:val="Compact"/>
                    <w:jc w:val="left"/>
                    <w:jc w:val="center"/>
                  </w:pPr>
                  <w:r>
                    <w:rPr>
                      <w:b/>
                      <w:bCs/>
                    </w:rPr>
                    <w:t xml:space="preserve">Model A1:</w:t>
                  </w:r>
                </w:p>
              </w:tc>
              <w:tc>
                <w:tcPr/>
                <w:p>
                  <w:pPr>
                    <w:pStyle w:val="Compact"/>
                    <w:jc w:val="center"/>
                    <w:jc w:val="center"/>
                  </w:pPr>
                  <w:r>
                    <w:t xml:space="preserve">0.79 [0.76 - 0.87]</w:t>
                  </w:r>
                </w:p>
              </w:tc>
              <w:tc>
                <w:tcPr/>
                <w:p>
                  <w:pPr>
                    <w:pStyle w:val="Compact"/>
                    <w:jc w:val="center"/>
                    <w:jc w:val="center"/>
                  </w:pPr>
                  <w:r>
                    <w:t xml:space="preserve">0.83</w:t>
                  </w:r>
                </w:p>
              </w:tc>
              <w:tc>
                <w:tcPr/>
                <w:p>
                  <w:pPr>
                    <w:pStyle w:val="Compact"/>
                    <w:jc w:val="center"/>
                    <w:jc w:val="center"/>
                  </w:pPr>
                  <w:r>
                    <w:t xml:space="preserve">0.04</w:t>
                  </w:r>
                </w:p>
              </w:tc>
              <w:tc>
                <w:tcPr/>
                <w:p>
                  <w:pPr>
                    <w:pStyle w:val="Compact"/>
                    <w:jc w:val="center"/>
                    <w:jc w:val="center"/>
                  </w:pPr>
                  <w:r>
                    <w:t xml:space="preserve">9</w:t>
                  </w:r>
                </w:p>
              </w:tc>
            </w:tr>
            <w:tr>
              <w:tc>
                <w:tcPr/>
                <w:p>
                  <w:pPr>
                    <w:pStyle w:val="Compact"/>
                    <w:jc w:val="left"/>
                    <w:jc w:val="center"/>
                  </w:pPr>
                  <w:r>
                    <w:t xml:space="preserve">(SCORE2-Diabetes input)</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A2:</w:t>
                  </w:r>
                </w:p>
              </w:tc>
              <w:tc>
                <w:tcPr/>
                <w:p>
                  <w:pPr>
                    <w:pStyle w:val="Compact"/>
                    <w:jc w:val="center"/>
                    <w:jc w:val="center"/>
                  </w:pPr>
                  <w:r>
                    <w:t xml:space="preserve">0.81 [0.77-0.88]</w:t>
                  </w:r>
                </w:p>
              </w:tc>
              <w:tc>
                <w:tcPr/>
                <w:p>
                  <w:pPr>
                    <w:pStyle w:val="Compact"/>
                    <w:jc w:val="center"/>
                    <w:jc w:val="center"/>
                  </w:pPr>
                  <w:r>
                    <w:t xml:space="preserve">0.86</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w:t>
                  </w:r>
                  <w:r>
                    <w:t xml:space="preserve"> </w:t>
                  </w:r>
                  <w:r>
                    <w:t xml:space="preserve">TIR and MAGE)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A3a:</w:t>
                  </w:r>
                </w:p>
              </w:tc>
              <w:tc>
                <w:tcPr/>
                <w:p>
                  <w:pPr>
                    <w:pStyle w:val="Compact"/>
                    <w:jc w:val="center"/>
                    <w:jc w:val="center"/>
                  </w:pPr>
                  <w:r>
                    <w:t xml:space="preserve">0.80 [0.75 - 0.87]</w:t>
                  </w:r>
                </w:p>
              </w:tc>
              <w:tc>
                <w:tcPr/>
                <w:p>
                  <w:pPr>
                    <w:pStyle w:val="Compact"/>
                    <w:jc w:val="center"/>
                    <w:jc w:val="center"/>
                  </w:pPr>
                  <w:r>
                    <w:t xml:space="preserve">0.84</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 UMAP (min))</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A3b:</w:t>
                  </w:r>
                </w:p>
              </w:tc>
              <w:tc>
                <w:tcPr/>
                <w:p>
                  <w:pPr>
                    <w:pStyle w:val="Compact"/>
                    <w:jc w:val="center"/>
                    <w:jc w:val="center"/>
                  </w:pPr>
                  <w:r>
                    <w:t xml:space="preserve">0.79 [0.75 - 0.87]</w:t>
                  </w:r>
                </w:p>
              </w:tc>
              <w:tc>
                <w:tcPr/>
                <w:p>
                  <w:pPr>
                    <w:pStyle w:val="Compact"/>
                    <w:jc w:val="center"/>
                    <w:jc w:val="center"/>
                  </w:pPr>
                  <w:r>
                    <w:t xml:space="preserve">0.84</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 UMAP (max))</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A3c:</w:t>
                  </w:r>
                </w:p>
              </w:tc>
              <w:tc>
                <w:tcPr/>
                <w:p>
                  <w:pPr>
                    <w:pStyle w:val="Compact"/>
                    <w:jc w:val="center"/>
                    <w:jc w:val="center"/>
                  </w:pPr>
                  <w:r>
                    <w:t xml:space="preserve">0.79 [0.75 - 0.87]</w:t>
                  </w:r>
                </w:p>
              </w:tc>
              <w:tc>
                <w:tcPr/>
                <w:p>
                  <w:pPr>
                    <w:pStyle w:val="Compact"/>
                    <w:jc w:val="center"/>
                    <w:jc w:val="center"/>
                  </w:pPr>
                  <w:r>
                    <w:t xml:space="preserve">0.84</w:t>
                  </w:r>
                </w:p>
              </w:tc>
              <w:tc>
                <w:tcPr/>
                <w:p>
                  <w:pPr>
                    <w:pStyle w:val="Compact"/>
                    <w:jc w:val="center"/>
                    <w:jc w:val="center"/>
                  </w:pPr>
                  <w:r>
                    <w:t xml:space="preserve">0.05</w:t>
                  </w:r>
                </w:p>
              </w:tc>
              <w:tc>
                <w:tcPr/>
                <w:p>
                  <w:pPr>
                    <w:pStyle w:val="Compact"/>
                    <w:jc w:val="center"/>
                    <w:jc w:val="center"/>
                  </w:pPr>
                  <w:r>
                    <w:t xml:space="preserve">11</w:t>
                  </w:r>
                </w:p>
              </w:tc>
            </w:tr>
            <w:tr>
              <w:tc>
                <w:tcPr/>
                <w:p>
                  <w:pPr>
                    <w:pStyle w:val="Compact"/>
                    <w:jc w:val="left"/>
                    <w:jc w:val="center"/>
                  </w:pPr>
                  <w:r>
                    <w:t xml:space="preserve">(Model A1 + UMAP (mean))</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B1:</w:t>
                  </w:r>
                </w:p>
              </w:tc>
              <w:tc>
                <w:tcPr/>
                <w:p>
                  <w:pPr>
                    <w:pStyle w:val="Compact"/>
                    <w:jc w:val="center"/>
                    <w:jc w:val="center"/>
                  </w:pPr>
                  <w:r>
                    <w:t xml:space="preserve">0.74 [0.65 - 0.81]</w:t>
                  </w:r>
                </w:p>
              </w:tc>
              <w:tc>
                <w:tcPr/>
                <w:p>
                  <w:pPr>
                    <w:pStyle w:val="Compact"/>
                    <w:jc w:val="center"/>
                    <w:jc w:val="center"/>
                  </w:pPr>
                  <w:r>
                    <w:t xml:space="preserve">0.73</w:t>
                  </w:r>
                </w:p>
              </w:tc>
              <w:tc>
                <w:tcPr/>
                <w:p>
                  <w:pPr>
                    <w:pStyle w:val="Compact"/>
                    <w:jc w:val="center"/>
                    <w:jc w:val="center"/>
                  </w:pPr>
                  <w:r>
                    <w:t xml:space="preserve">0.00</w:t>
                  </w:r>
                </w:p>
              </w:tc>
              <w:tc>
                <w:tcPr/>
                <w:p>
                  <w:pPr>
                    <w:pStyle w:val="Compact"/>
                    <w:jc w:val="center"/>
                    <w:jc w:val="center"/>
                  </w:pPr>
                  <w:r>
                    <w:t xml:space="preserve">1</w:t>
                  </w:r>
                </w:p>
              </w:tc>
            </w:tr>
            <w:tr>
              <w:tc>
                <w:tcPr/>
                <w:p>
                  <w:pPr>
                    <w:pStyle w:val="Compact"/>
                    <w:jc w:val="left"/>
                    <w:jc w:val="center"/>
                  </w:pPr>
                  <w:r>
                    <w:t xml:space="preserve">(SCORE2-Diabetes score)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B2:</w:t>
                  </w:r>
                </w:p>
              </w:tc>
              <w:tc>
                <w:tcPr/>
                <w:p>
                  <w:pPr>
                    <w:pStyle w:val="Compact"/>
                    <w:jc w:val="center"/>
                    <w:jc w:val="center"/>
                  </w:pPr>
                  <w:r>
                    <w:t xml:space="preserve">0.77 [0.70 - 0.85]</w:t>
                  </w:r>
                </w:p>
              </w:tc>
              <w:tc>
                <w:tcPr/>
                <w:p>
                  <w:pPr>
                    <w:pStyle w:val="Compact"/>
                    <w:jc w:val="center"/>
                    <w:jc w:val="center"/>
                  </w:pPr>
                  <w:r>
                    <w:t xml:space="preserve">0.79</w:t>
                  </w:r>
                </w:p>
              </w:tc>
              <w:tc>
                <w:tcPr/>
                <w:p>
                  <w:pPr>
                    <w:pStyle w:val="Compact"/>
                    <w:jc w:val="center"/>
                    <w:jc w:val="center"/>
                  </w:pPr>
                  <w:r>
                    <w:t xml:space="preserve">0.01</w:t>
                  </w:r>
                </w:p>
              </w:tc>
              <w:tc>
                <w:tcPr/>
                <w:p>
                  <w:pPr>
                    <w:pStyle w:val="Compact"/>
                    <w:jc w:val="center"/>
                    <w:jc w:val="center"/>
                  </w:pPr>
                  <w:r>
                    <w:t xml:space="preserve">3</w:t>
                  </w:r>
                </w:p>
              </w:tc>
            </w:tr>
            <w:tr>
              <w:tc>
                <w:tcPr/>
                <w:p>
                  <w:pPr>
                    <w:pStyle w:val="Compact"/>
                    <w:jc w:val="left"/>
                    <w:jc w:val="center"/>
                  </w:pPr>
                  <w:r>
                    <w:t xml:space="preserve">(Model B1 +</w:t>
                  </w:r>
                  <w:r>
                    <w:t xml:space="preserve"> </w:t>
                  </w:r>
                  <w:r>
                    <w:t xml:space="preserve">TIR and MAGE)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B3a:</w:t>
                  </w:r>
                </w:p>
              </w:tc>
              <w:tc>
                <w:tcPr/>
                <w:p>
                  <w:pPr>
                    <w:pStyle w:val="Compact"/>
                    <w:jc w:val="center"/>
                    <w:jc w:val="center"/>
                  </w:pPr>
                  <w:r>
                    <w:t xml:space="preserve">0.72 [0.65 - 0.80]</w:t>
                  </w:r>
                </w:p>
              </w:tc>
              <w:tc>
                <w:tcPr/>
                <w:p>
                  <w:pPr>
                    <w:pStyle w:val="Compact"/>
                    <w:jc w:val="center"/>
                    <w:jc w:val="center"/>
                  </w:pPr>
                  <w:r>
                    <w:t xml:space="preserve">0.74</w:t>
                  </w:r>
                </w:p>
              </w:tc>
              <w:tc>
                <w:tcPr/>
                <w:p>
                  <w:pPr>
                    <w:pStyle w:val="Compact"/>
                    <w:jc w:val="center"/>
                    <w:jc w:val="center"/>
                  </w:pPr>
                  <w:r>
                    <w:t xml:space="preserve">0.02</w:t>
                  </w:r>
                </w:p>
              </w:tc>
              <w:tc>
                <w:tcPr/>
                <w:p>
                  <w:pPr>
                    <w:pStyle w:val="Compact"/>
                    <w:jc w:val="center"/>
                    <w:jc w:val="center"/>
                  </w:pPr>
                  <w:r>
                    <w:t xml:space="preserve">3</w:t>
                  </w:r>
                </w:p>
              </w:tc>
            </w:tr>
            <w:tr>
              <w:tc>
                <w:tcPr/>
                <w:p>
                  <w:pPr>
                    <w:pStyle w:val="Compact"/>
                    <w:jc w:val="left"/>
                    <w:jc w:val="center"/>
                  </w:pPr>
                  <w:r>
                    <w:t xml:space="preserve">(Model B1 + UMAP (min))</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B3b:</w:t>
                  </w:r>
                </w:p>
              </w:tc>
              <w:tc>
                <w:tcPr/>
                <w:p>
                  <w:pPr>
                    <w:pStyle w:val="Compact"/>
                    <w:jc w:val="center"/>
                    <w:jc w:val="center"/>
                  </w:pPr>
                  <w:r>
                    <w:t xml:space="preserve">0.72 [0.65 - 0.81]</w:t>
                  </w:r>
                </w:p>
              </w:tc>
              <w:tc>
                <w:tcPr/>
                <w:p>
                  <w:pPr>
                    <w:pStyle w:val="Compact"/>
                    <w:jc w:val="center"/>
                    <w:jc w:val="center"/>
                  </w:pPr>
                  <w:r>
                    <w:t xml:space="preserve">0.74</w:t>
                  </w:r>
                </w:p>
              </w:tc>
              <w:tc>
                <w:tcPr/>
                <w:p>
                  <w:pPr>
                    <w:pStyle w:val="Compact"/>
                    <w:jc w:val="center"/>
                    <w:jc w:val="center"/>
                  </w:pPr>
                  <w:r>
                    <w:t xml:space="preserve">0.02</w:t>
                  </w:r>
                </w:p>
              </w:tc>
              <w:tc>
                <w:tcPr/>
                <w:p>
                  <w:pPr>
                    <w:pStyle w:val="Compact"/>
                    <w:jc w:val="center"/>
                    <w:jc w:val="center"/>
                  </w:pPr>
                  <w:r>
                    <w:t xml:space="preserve">3</w:t>
                  </w:r>
                </w:p>
              </w:tc>
            </w:tr>
            <w:tr>
              <w:tc>
                <w:tcPr/>
                <w:p>
                  <w:pPr>
                    <w:pStyle w:val="Compact"/>
                    <w:jc w:val="left"/>
                    <w:jc w:val="center"/>
                  </w:pPr>
                  <w:r>
                    <w:t xml:space="preserve">(Model B1 + UMAP (max))</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B3c:</w:t>
                  </w:r>
                </w:p>
              </w:tc>
              <w:tc>
                <w:tcPr/>
                <w:p>
                  <w:pPr>
                    <w:pStyle w:val="Compact"/>
                    <w:jc w:val="center"/>
                    <w:jc w:val="center"/>
                  </w:pPr>
                  <w:r>
                    <w:t xml:space="preserve">0.73 [0.65 - 0.81]</w:t>
                  </w:r>
                </w:p>
              </w:tc>
              <w:tc>
                <w:tcPr/>
                <w:p>
                  <w:pPr>
                    <w:pStyle w:val="Compact"/>
                    <w:jc w:val="center"/>
                    <w:jc w:val="center"/>
                  </w:pPr>
                  <w:r>
                    <w:t xml:space="preserve">0.75</w:t>
                  </w:r>
                </w:p>
              </w:tc>
              <w:tc>
                <w:tcPr/>
                <w:p>
                  <w:pPr>
                    <w:pStyle w:val="Compact"/>
                    <w:jc w:val="center"/>
                    <w:jc w:val="center"/>
                  </w:pPr>
                  <w:r>
                    <w:t xml:space="preserve">0.02</w:t>
                  </w:r>
                </w:p>
              </w:tc>
              <w:tc>
                <w:tcPr/>
                <w:p>
                  <w:pPr>
                    <w:pStyle w:val="Compact"/>
                    <w:jc w:val="center"/>
                    <w:jc w:val="center"/>
                  </w:pPr>
                  <w:r>
                    <w:t xml:space="preserve">3</w:t>
                  </w:r>
                </w:p>
              </w:tc>
            </w:tr>
            <w:tr>
              <w:tc>
                <w:tcPr/>
                <w:p>
                  <w:pPr>
                    <w:pStyle w:val="Compact"/>
                    <w:jc w:val="left"/>
                    <w:jc w:val="center"/>
                  </w:pPr>
                  <w:r>
                    <w:t xml:space="preserve">(Model B1 + UMAP (mean))</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C1:</w:t>
                  </w:r>
                  <w:r>
                    <w:t xml:space="preserve"> </w:t>
                  </w:r>
                  <w:r>
                    <w:t xml:space="preserve">(TIR and MAGE)</w:t>
                  </w:r>
                </w:p>
              </w:tc>
              <w:tc>
                <w:tcPr/>
                <w:p>
                  <w:pPr>
                    <w:pStyle w:val="Compact"/>
                    <w:jc w:val="center"/>
                    <w:jc w:val="center"/>
                  </w:pPr>
                  <w:r>
                    <w:t xml:space="preserve">0.69 [0.61 - 0.77]</w:t>
                  </w:r>
                </w:p>
              </w:tc>
              <w:tc>
                <w:tcPr/>
                <w:p>
                  <w:pPr>
                    <w:pStyle w:val="Compact"/>
                    <w:jc w:val="center"/>
                    <w:jc w:val="center"/>
                  </w:pPr>
                  <w:r>
                    <w:t xml:space="preserve">0.69</w:t>
                  </w:r>
                </w:p>
              </w:tc>
              <w:tc>
                <w:tcPr/>
                <w:p>
                  <w:pPr>
                    <w:pStyle w:val="Compact"/>
                    <w:jc w:val="center"/>
                    <w:jc w:val="center"/>
                  </w:pPr>
                  <w:r>
                    <w:t xml:space="preserve">0.01</w:t>
                  </w:r>
                </w:p>
              </w:tc>
              <w:tc>
                <w:tcPr/>
                <w:p>
                  <w:pPr>
                    <w:pStyle w:val="Compact"/>
                    <w:jc w:val="center"/>
                    <w:jc w:val="center"/>
                  </w:pPr>
                  <w:r>
                    <w:t xml:space="preserve">11</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Model D1a:</w:t>
                  </w:r>
                  <w:r>
                    <w:t xml:space="preserve"> </w:t>
                  </w:r>
                  <w:r>
                    <w:t xml:space="preserve">(UMAP, max*)</w:t>
                  </w:r>
                </w:p>
              </w:tc>
              <w:tc>
                <w:tcPr/>
                <w:p>
                  <w:pPr>
                    <w:pStyle w:val="Compact"/>
                    <w:jc w:val="center"/>
                    <w:jc w:val="center"/>
                  </w:pPr>
                  <w:r>
                    <w:t xml:space="preserve">0.55 [0.48 - 0.64]</w:t>
                  </w:r>
                </w:p>
              </w:tc>
              <w:tc>
                <w:tcPr/>
                <w:p>
                  <w:pPr>
                    <w:pStyle w:val="Compact"/>
                    <w:jc w:val="center"/>
                    <w:jc w:val="center"/>
                  </w:pPr>
                  <w:r>
                    <w:t xml:space="preserve">0.58</w:t>
                  </w:r>
                </w:p>
              </w:tc>
              <w:tc>
                <w:tcPr/>
                <w:p>
                  <w:pPr>
                    <w:pStyle w:val="Compact"/>
                    <w:jc w:val="center"/>
                    <w:jc w:val="center"/>
                  </w:pPr>
                  <w:r>
                    <w:t xml:space="preserve">0.03</w:t>
                  </w:r>
                </w:p>
              </w:tc>
              <w:tc>
                <w:tcPr/>
                <w:p>
                  <w:pPr>
                    <w:pStyle w:val="Compact"/>
                    <w:jc w:val="center"/>
                    <w:jc w:val="center"/>
                  </w:pPr>
                  <w:r>
                    <w:t xml:space="preserve">2</w:t>
                  </w:r>
                </w:p>
              </w:tc>
            </w:tr>
            <w:tr>
              <w:tc>
                <w:tcPr/>
                <w:p>
                  <w:pPr>
                    <w:pStyle w:val="Compact"/>
                    <w:jc w:val="left"/>
                    <w:jc w:val="center"/>
                  </w:pPr>
                  <w:r>
                    <w:rPr>
                      <w:b/>
                      <w:bCs/>
                    </w:rPr>
                    <w:t xml:space="preserve">Model D1b:</w:t>
                  </w:r>
                  <w:r>
                    <w:t xml:space="preserve"> </w:t>
                  </w:r>
                  <w:r>
                    <w:t xml:space="preserve">(UMAP, min*)</w:t>
                  </w:r>
                </w:p>
              </w:tc>
              <w:tc>
                <w:tcPr/>
                <w:p>
                  <w:pPr>
                    <w:pStyle w:val="Compact"/>
                    <w:jc w:val="center"/>
                    <w:jc w:val="center"/>
                  </w:pPr>
                  <w:r>
                    <w:t xml:space="preserve">0.53 [0.43 - 0.63]</w:t>
                  </w:r>
                </w:p>
              </w:tc>
              <w:tc>
                <w:tcPr/>
                <w:p>
                  <w:pPr>
                    <w:pStyle w:val="Compact"/>
                    <w:jc w:val="center"/>
                    <w:jc w:val="center"/>
                  </w:pPr>
                  <w:r>
                    <w:t xml:space="preserve">0.57</w:t>
                  </w:r>
                </w:p>
              </w:tc>
              <w:tc>
                <w:tcPr/>
                <w:p>
                  <w:pPr>
                    <w:pStyle w:val="Compact"/>
                    <w:jc w:val="center"/>
                    <w:jc w:val="center"/>
                  </w:pPr>
                  <w:r>
                    <w:t xml:space="preserve">0.04</w:t>
                  </w:r>
                </w:p>
              </w:tc>
              <w:tc>
                <w:tcPr/>
                <w:p>
                  <w:pPr>
                    <w:pStyle w:val="Compact"/>
                    <w:jc w:val="center"/>
                    <w:jc w:val="center"/>
                  </w:pPr>
                  <w:r>
                    <w:t xml:space="preserve">2</w:t>
                  </w:r>
                </w:p>
              </w:tc>
            </w:tr>
            <w:tr>
              <w:tc>
                <w:tcPr/>
                <w:p>
                  <w:pPr>
                    <w:pStyle w:val="Compact"/>
                    <w:jc w:val="left"/>
                    <w:jc w:val="center"/>
                  </w:pPr>
                  <w:r>
                    <w:rPr>
                      <w:b/>
                      <w:bCs/>
                    </w:rPr>
                    <w:t xml:space="preserve">Model D1c:</w:t>
                  </w:r>
                  <w:r>
                    <w:t xml:space="preserve"> </w:t>
                  </w:r>
                  <w:r>
                    <w:t xml:space="preserve">(UMAP, mean*)</w:t>
                  </w:r>
                </w:p>
              </w:tc>
              <w:tc>
                <w:tcPr/>
                <w:p>
                  <w:pPr>
                    <w:pStyle w:val="Compact"/>
                    <w:jc w:val="center"/>
                    <w:jc w:val="center"/>
                  </w:pPr>
                  <w:r>
                    <w:t xml:space="preserve">0.53 [0.43 - 0.64]</w:t>
                  </w:r>
                </w:p>
              </w:tc>
              <w:tc>
                <w:tcPr/>
                <w:p>
                  <w:pPr>
                    <w:pStyle w:val="Compact"/>
                    <w:jc w:val="center"/>
                    <w:jc w:val="center"/>
                  </w:pPr>
                  <w:r>
                    <w:t xml:space="preserve">0.56</w:t>
                  </w:r>
                </w:p>
              </w:tc>
              <w:tc>
                <w:tcPr/>
                <w:p>
                  <w:pPr>
                    <w:pStyle w:val="Compact"/>
                    <w:jc w:val="center"/>
                    <w:jc w:val="center"/>
                  </w:pPr>
                  <w:r>
                    <w:t xml:space="preserve">0.03</w:t>
                  </w:r>
                </w:p>
              </w:tc>
              <w:tc>
                <w:tcPr/>
                <w:p>
                  <w:pPr>
                    <w:pStyle w:val="Compact"/>
                    <w:jc w:val="center"/>
                    <w:jc w:val="center"/>
                  </w:pPr>
                  <w:r>
                    <w:t xml:space="preserve">2</w:t>
                  </w:r>
                </w:p>
              </w:tc>
            </w:tr>
          </w:tbl>
          <w:bookmarkEnd w:id="166"/>
          <w:p/>
        </w:tc>
      </w:tr>
    </w:tbl>
    <w:bookmarkEnd w:id="167"/>
    <w:bookmarkStart w:id="174" w:name="X662ea623ca53299c5c1d209319fde41873306e8"/>
    <w:p>
      <w:pPr>
        <w:pStyle w:val="Heading2"/>
      </w:pPr>
      <w:r>
        <w:t xml:space="preserve">4.9 Study III: Results from an Algorithmic Fairness Study</w:t>
      </w:r>
    </w:p>
    <w:p>
      <w:pPr>
        <w:pStyle w:val="FirstParagraph"/>
      </w:pPr>
      <w:r>
        <w:t xml:space="preserve">Bias is an important spect to consider when working data drivenly.</w:t>
      </w:r>
      <w:r>
        <w:t xml:space="preserve"> </w:t>
      </w:r>
      <w:r>
        <w:t xml:space="preserve">In study III, we therefore evaluates bias in CGM trained machine learning models for forecasting in the T1DX cohort</w:t>
      </w:r>
    </w:p>
    <w:bookmarkStart w:id="172" w:name="bias-in-machine-learning-models-1"/>
    <w:p>
      <w:pPr>
        <w:pStyle w:val="Heading3"/>
      </w:pPr>
      <w:r>
        <w:t xml:space="preserve">Bias in Machine Learning Models</w:t>
      </w:r>
    </w:p>
    <w:p>
      <w:pPr>
        <w:pStyle w:val="FirstParagraph"/>
      </w:pPr>
      <w:r>
        <w:t xml:space="preserve">The RMSE of the models are shown in</w:t>
      </w:r>
      <w:r>
        <w:t xml:space="preserve"> </w:t>
      </w:r>
      <w:hyperlink w:anchor="tbl-study3-main-results1">
        <w:r>
          <w:rPr>
            <w:rStyle w:val="Hyperlink"/>
          </w:rPr>
          <w:t xml:space="preserve">Table 4.15</w:t>
        </w:r>
      </w:hyperlink>
      <w:r>
        <w:t xml:space="preserve"> </w:t>
      </w:r>
      <w:r>
        <w:t xml:space="preserve">and</w:t>
      </w:r>
      <w:r>
        <w:t xml:space="preserve"> </w:t>
      </w:r>
      <w:hyperlink w:anchor="tbl-study3-main-results2">
        <w:r>
          <w:rPr>
            <w:rStyle w:val="Hyperlink"/>
          </w:rPr>
          <w:t xml:space="preserve">Table 4.16</w:t>
        </w:r>
      </w:hyperlink>
      <w:r>
        <w:t xml:space="preserve">.</w:t>
      </w:r>
      <w:r>
        <w:t xml:space="preserve"> </w:t>
      </w:r>
      <w:r>
        <w:t xml:space="preserve">Base-Generalized and Transfer Learned models achieved models achieved lower prediction errors (RMSE: 2.00 to 2.06 mmol/L) than the naive last observation carried forward (LOCF)(RMSE: 2.41 and 2.45 mmol/L) and Base-Individual models (RMSE: 2.54 to 2.63 mmol/L) for both White and Black participants (</w:t>
      </w:r>
      <w:hyperlink w:anchor="tbl-study3-main-results1">
        <w:r>
          <w:rPr>
            <w:rStyle w:val="Hyperlink"/>
          </w:rPr>
          <w:t xml:space="preserve">Table 4.15</w:t>
        </w:r>
      </w:hyperlink>
      <w:r>
        <w:t xml:space="preserve"> </w:t>
      </w:r>
      <w:r>
        <w:t xml:space="preserve">and</w:t>
      </w:r>
      <w:r>
        <w:t xml:space="preserve"> </w:t>
      </w:r>
      <w:hyperlink w:anchor="tbl-study3-main-results2">
        <w:r>
          <w:rPr>
            <w:rStyle w:val="Hyperlink"/>
          </w:rPr>
          <w:t xml:space="preserve">Table 4.16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8" w:name="tbl-study3-main-results1"/>
          <w:p>
            <w:pPr>
              <w:jc w:val="center"/>
            </w:pPr>
            <w:pPr>
              <w:jc w:val="left"/>
              <w:spacing w:before="200"/>
              <w:pStyle w:val="ImageCaption"/>
            </w:pPr>
            <w:r>
              <w:t xml:space="preserve">Table 4.15: Root mean squared errors with 95% CIs for the different models evaluated on White participants.</w:t>
            </w:r>
          </w:p>
          <w:tbl>
            <w:tblPr>
              <w:tblStyle w:val="Table"/>
              <w:tblW w:type="pct" w:w="5000"/>
              <w:tblLayout w:type="fixed"/>
              <w:tblLook w:firstRow="1" w:lastRow="0" w:firstColumn="0" w:lastColumn="0" w:noHBand="0" w:noVBand="0" w:val="0020"/>
            </w:tblPr>
            <w:tblGrid>
              <w:gridCol w:w="950"/>
              <w:gridCol w:w="1742"/>
              <w:gridCol w:w="1742"/>
              <w:gridCol w:w="1742"/>
              <w:gridCol w:w="1742"/>
            </w:tblGrid>
            <w:tr>
              <w:trPr>
                <w:tblHeader w:val="on"/>
              </w:trPr>
              <w:tc>
                <w:tcPr/>
                <w:p>
                  <w:pPr>
                    <w:pStyle w:val="Compact"/>
                    <w:jc w:val="center"/>
                    <w:jc w:val="center"/>
                  </w:pPr>
                  <w:r>
                    <w:t xml:space="preserve">Ratio</w:t>
                  </w:r>
                </w:p>
              </w:tc>
              <w:tc>
                <w:tcPr/>
                <w:p>
                  <w:pPr>
                    <w:pStyle w:val="Compact"/>
                    <w:jc w:val="center"/>
                    <w:jc w:val="center"/>
                  </w:pPr>
                  <w:r>
                    <w:t xml:space="preserve">LOCF</w:t>
                  </w:r>
                </w:p>
              </w:tc>
              <w:tc>
                <w:tcPr/>
                <w:p>
                  <w:pPr>
                    <w:pStyle w:val="Compact"/>
                    <w:jc w:val="center"/>
                    <w:jc w:val="center"/>
                  </w:pPr>
                  <w:r>
                    <w:t xml:space="preserve">Base-Individual</w:t>
                  </w:r>
                </w:p>
              </w:tc>
              <w:tc>
                <w:tcPr/>
                <w:p>
                  <w:pPr>
                    <w:pStyle w:val="Compact"/>
                    <w:jc w:val="center"/>
                    <w:jc w:val="center"/>
                  </w:pPr>
                  <w:r>
                    <w:t xml:space="preserve">Base-Generalized</w:t>
                  </w:r>
                </w:p>
              </w:tc>
              <w:tc>
                <w:tcPr/>
                <w:p>
                  <w:pPr>
                    <w:pStyle w:val="Compact"/>
                    <w:jc w:val="center"/>
                    <w:jc w:val="center"/>
                  </w:pPr>
                  <w:r>
                    <w:t xml:space="preserve">Transfer Learned</w:t>
                  </w:r>
                </w:p>
              </w:tc>
            </w:tr>
            <w:tr>
              <w:tc>
                <w:tcPr/>
                <w:p>
                  <w:pPr>
                    <w:pStyle w:val="Compact"/>
                    <w:jc w:val="center"/>
                    <w:jc w:val="center"/>
                  </w:pPr>
                  <w:r>
                    <w:t xml:space="preserve">0</w:t>
                  </w:r>
                </w:p>
              </w:tc>
              <w:tc>
                <w:tcPr/>
                <w:p>
                  <w:pPr>
                    <w:pStyle w:val="Compact"/>
                  </w:pPr>
                </w:p>
              </w:tc>
              <w:tc>
                <w:tcPr/>
                <w:p>
                  <w:pPr>
                    <w:pStyle w:val="Compact"/>
                  </w:pPr>
                </w:p>
              </w:tc>
              <w:tc>
                <w:tcPr/>
                <w:p>
                  <w:pPr>
                    <w:pStyle w:val="Compact"/>
                    <w:jc w:val="center"/>
                    <w:jc w:val="center"/>
                  </w:pPr>
                  <w:r>
                    <w:t xml:space="preserve">2.04 [1.95, 2.13]</w:t>
                  </w:r>
                </w:p>
              </w:tc>
              <w:tc>
                <w:tcPr/>
                <w:p>
                  <w:pPr>
                    <w:pStyle w:val="Compact"/>
                    <w:jc w:val="center"/>
                    <w:jc w:val="center"/>
                  </w:pPr>
                  <w:r>
                    <w:t xml:space="preserve">2.02 [1.94, 2.11]</w:t>
                  </w:r>
                </w:p>
              </w:tc>
            </w:tr>
            <w:tr>
              <w:tc>
                <w:tcPr/>
                <w:p>
                  <w:pPr>
                    <w:pStyle w:val="Compact"/>
                    <w:jc w:val="center"/>
                    <w:jc w:val="center"/>
                  </w:pPr>
                  <w:r>
                    <w:t xml:space="preserve">10</w:t>
                  </w:r>
                </w:p>
              </w:tc>
              <w:tc>
                <w:tcPr/>
                <w:p>
                  <w:pPr>
                    <w:pStyle w:val="Compact"/>
                  </w:pPr>
                </w:p>
              </w:tc>
              <w:tc>
                <w:tcPr/>
                <w:p>
                  <w:pPr>
                    <w:pStyle w:val="Compact"/>
                  </w:pPr>
                </w:p>
              </w:tc>
              <w:tc>
                <w:tcPr/>
                <w:p>
                  <w:pPr>
                    <w:pStyle w:val="Compact"/>
                    <w:jc w:val="center"/>
                    <w:jc w:val="center"/>
                  </w:pPr>
                  <w:r>
                    <w:t xml:space="preserve">2.04 [1.95, 2.13]</w:t>
                  </w:r>
                </w:p>
              </w:tc>
              <w:tc>
                <w:tcPr/>
                <w:p>
                  <w:pPr>
                    <w:pStyle w:val="Compact"/>
                    <w:jc w:val="center"/>
                    <w:jc w:val="center"/>
                  </w:pPr>
                  <w:r>
                    <w:t xml:space="preserve">2.02 [1.94, 2.11]</w:t>
                  </w:r>
                </w:p>
              </w:tc>
            </w:tr>
            <w:tr>
              <w:tc>
                <w:tcPr/>
                <w:p>
                  <w:pPr>
                    <w:pStyle w:val="Compact"/>
                    <w:jc w:val="center"/>
                    <w:jc w:val="center"/>
                  </w:pPr>
                  <w:r>
                    <w:t xml:space="preserve">20</w:t>
                  </w:r>
                </w:p>
              </w:tc>
              <w:tc>
                <w:tcPr/>
                <w:p>
                  <w:pPr>
                    <w:pStyle w:val="Compact"/>
                  </w:pPr>
                </w:p>
              </w:tc>
              <w:tc>
                <w:tcPr/>
                <w:p>
                  <w:pPr>
                    <w:pStyle w:val="Compact"/>
                  </w:pPr>
                </w:p>
              </w:tc>
              <w:tc>
                <w:tcPr/>
                <w:p>
                  <w:pPr>
                    <w:pStyle w:val="Compact"/>
                    <w:jc w:val="center"/>
                    <w:jc w:val="center"/>
                  </w:pPr>
                  <w:r>
                    <w:t xml:space="preserve">2.04 [1.95, 2.12]</w:t>
                  </w:r>
                </w:p>
              </w:tc>
              <w:tc>
                <w:tcPr/>
                <w:p>
                  <w:pPr>
                    <w:pStyle w:val="Compact"/>
                    <w:jc w:val="center"/>
                    <w:jc w:val="center"/>
                  </w:pPr>
                  <w:r>
                    <w:t xml:space="preserve">2.02 [1.94, 2.10]</w:t>
                  </w:r>
                </w:p>
              </w:tc>
            </w:tr>
            <w:tr>
              <w:tc>
                <w:tcPr/>
                <w:p>
                  <w:pPr>
                    <w:pStyle w:val="Compact"/>
                    <w:jc w:val="center"/>
                    <w:jc w:val="center"/>
                  </w:pPr>
                  <w:r>
                    <w:t xml:space="preserve">30</w:t>
                  </w:r>
                </w:p>
              </w:tc>
              <w:tc>
                <w:tcPr/>
                <w:p>
                  <w:pPr>
                    <w:pStyle w:val="Compact"/>
                  </w:pPr>
                </w:p>
              </w:tc>
              <w:tc>
                <w:tcPr/>
                <w:p>
                  <w:pPr>
                    <w:pStyle w:val="Compact"/>
                  </w:pPr>
                </w:p>
              </w:tc>
              <w:tc>
                <w:tcPr/>
                <w:p>
                  <w:pPr>
                    <w:pStyle w:val="Compact"/>
                    <w:jc w:val="center"/>
                    <w:jc w:val="center"/>
                  </w:pPr>
                  <w:r>
                    <w:t xml:space="preserve">2.03 [1.94, 2.12]</w:t>
                  </w:r>
                </w:p>
              </w:tc>
              <w:tc>
                <w:tcPr/>
                <w:p>
                  <w:pPr>
                    <w:pStyle w:val="Compact"/>
                    <w:jc w:val="center"/>
                    <w:jc w:val="center"/>
                  </w:pPr>
                  <w:r>
                    <w:t xml:space="preserve">2.02 [1.94, 2.10]</w:t>
                  </w:r>
                </w:p>
              </w:tc>
            </w:tr>
            <w:tr>
              <w:tc>
                <w:tcPr/>
                <w:p>
                  <w:pPr>
                    <w:pStyle w:val="Compact"/>
                    <w:jc w:val="center"/>
                    <w:jc w:val="center"/>
                  </w:pPr>
                  <w:r>
                    <w:t xml:space="preserve">40</w:t>
                  </w:r>
                </w:p>
              </w:tc>
              <w:tc>
                <w:tcPr/>
                <w:p>
                  <w:pPr>
                    <w:pStyle w:val="Compact"/>
                    <w:jc w:val="center"/>
                    <w:jc w:val="center"/>
                  </w:pPr>
                  <w:r>
                    <w:t xml:space="preserve">2.45 [2.32, 2.57]</w:t>
                  </w:r>
                </w:p>
              </w:tc>
              <w:tc>
                <w:tcPr/>
                <w:p>
                  <w:pPr>
                    <w:pStyle w:val="Compact"/>
                    <w:jc w:val="center"/>
                    <w:jc w:val="center"/>
                  </w:pPr>
                  <w:r>
                    <w:t xml:space="preserve">2.54 [2.38, 2.70]</w:t>
                  </w:r>
                </w:p>
              </w:tc>
              <w:tc>
                <w:tcPr/>
                <w:p>
                  <w:pPr>
                    <w:pStyle w:val="Compact"/>
                    <w:jc w:val="center"/>
                    <w:jc w:val="center"/>
                  </w:pPr>
                  <w:r>
                    <w:t xml:space="preserve">2.03 [1.94, 2.12]</w:t>
                  </w:r>
                </w:p>
              </w:tc>
              <w:tc>
                <w:tcPr/>
                <w:p>
                  <w:pPr>
                    <w:pStyle w:val="Compact"/>
                    <w:jc w:val="center"/>
                    <w:jc w:val="center"/>
                  </w:pPr>
                  <w:r>
                    <w:t xml:space="preserve">2.02 [1.94, 2.10]</w:t>
                  </w:r>
                </w:p>
              </w:tc>
            </w:tr>
            <w:tr>
              <w:tc>
                <w:tcPr/>
                <w:p>
                  <w:pPr>
                    <w:pStyle w:val="Compact"/>
                    <w:jc w:val="center"/>
                    <w:jc w:val="center"/>
                  </w:pPr>
                  <w:r>
                    <w:t xml:space="preserve">50</w:t>
                  </w:r>
                </w:p>
              </w:tc>
              <w:tc>
                <w:tcPr/>
                <w:p>
                  <w:pPr>
                    <w:pStyle w:val="Compact"/>
                    <w:jc w:val="center"/>
                    <w:jc w:val="center"/>
                  </w:pPr>
                  <w:r>
                    <w:t xml:space="preserve">(independent</w:t>
                  </w:r>
                </w:p>
              </w:tc>
              <w:tc>
                <w:tcPr/>
                <w:p>
                  <w:pPr>
                    <w:pStyle w:val="Compact"/>
                    <w:jc w:val="center"/>
                    <w:jc w:val="center"/>
                  </w:pPr>
                  <w:r>
                    <w:t xml:space="preserve">(independent</w:t>
                  </w:r>
                </w:p>
              </w:tc>
              <w:tc>
                <w:tcPr/>
                <w:p>
                  <w:pPr>
                    <w:pStyle w:val="Compact"/>
                    <w:jc w:val="center"/>
                    <w:jc w:val="center"/>
                  </w:pPr>
                  <w:r>
                    <w:t xml:space="preserve">2.03 [1.94, 2.11]</w:t>
                  </w:r>
                </w:p>
              </w:tc>
              <w:tc>
                <w:tcPr/>
                <w:p>
                  <w:pPr>
                    <w:pStyle w:val="Compact"/>
                    <w:jc w:val="center"/>
                    <w:jc w:val="center"/>
                  </w:pPr>
                  <w:r>
                    <w:t xml:space="preserve">2.02 [1.93, 2.10]</w:t>
                  </w:r>
                </w:p>
              </w:tc>
            </w:tr>
            <w:tr>
              <w:tc>
                <w:tcPr/>
                <w:p>
                  <w:pPr>
                    <w:pStyle w:val="Compact"/>
                    <w:jc w:val="center"/>
                    <w:jc w:val="center"/>
                  </w:pPr>
                  <w:r>
                    <w:t xml:space="preserve">60</w:t>
                  </w:r>
                </w:p>
              </w:tc>
              <w:tc>
                <w:tcPr/>
                <w:p>
                  <w:pPr>
                    <w:pStyle w:val="Compact"/>
                    <w:jc w:val="center"/>
                    <w:jc w:val="center"/>
                  </w:pPr>
                  <w:r>
                    <w:t xml:space="preserve">of ratio)</w:t>
                  </w:r>
                </w:p>
              </w:tc>
              <w:tc>
                <w:tcPr/>
                <w:p>
                  <w:pPr>
                    <w:pStyle w:val="Compact"/>
                    <w:jc w:val="center"/>
                    <w:jc w:val="center"/>
                  </w:pPr>
                  <w:r>
                    <w:t xml:space="preserve">of ratio)</w:t>
                  </w:r>
                </w:p>
              </w:tc>
              <w:tc>
                <w:tcPr/>
                <w:p>
                  <w:pPr>
                    <w:pStyle w:val="Compact"/>
                    <w:jc w:val="center"/>
                    <w:jc w:val="center"/>
                  </w:pPr>
                  <w:r>
                    <w:t xml:space="preserve">2.02 [1.94, 2.11]</w:t>
                  </w:r>
                </w:p>
              </w:tc>
              <w:tc>
                <w:tcPr/>
                <w:p>
                  <w:pPr>
                    <w:pStyle w:val="Compact"/>
                    <w:jc w:val="center"/>
                    <w:jc w:val="center"/>
                  </w:pPr>
                  <w:r>
                    <w:t xml:space="preserve">2.02 [1.93, 2.10]</w:t>
                  </w:r>
                </w:p>
              </w:tc>
            </w:tr>
            <w:tr>
              <w:tc>
                <w:tcPr/>
                <w:p>
                  <w:pPr>
                    <w:pStyle w:val="Compact"/>
                    <w:jc w:val="center"/>
                    <w:jc w:val="center"/>
                  </w:pPr>
                  <w:r>
                    <w:t xml:space="preserve">70</w:t>
                  </w:r>
                </w:p>
              </w:tc>
              <w:tc>
                <w:tcPr/>
                <w:p>
                  <w:pPr>
                    <w:pStyle w:val="Compact"/>
                  </w:pPr>
                </w:p>
              </w:tc>
              <w:tc>
                <w:tcPr/>
                <w:p>
                  <w:pPr>
                    <w:pStyle w:val="Compact"/>
                  </w:pPr>
                </w:p>
              </w:tc>
              <w:tc>
                <w:tcPr/>
                <w:p>
                  <w:pPr>
                    <w:pStyle w:val="Compact"/>
                    <w:jc w:val="center"/>
                    <w:jc w:val="center"/>
                  </w:pPr>
                  <w:r>
                    <w:t xml:space="preserve">2.02 [1.93, 2.11]</w:t>
                  </w:r>
                </w:p>
              </w:tc>
              <w:tc>
                <w:tcPr/>
                <w:p>
                  <w:pPr>
                    <w:pStyle w:val="Compact"/>
                    <w:jc w:val="center"/>
                    <w:jc w:val="center"/>
                  </w:pPr>
                  <w:r>
                    <w:t xml:space="preserve">2.01 [1.93, 2.10]</w:t>
                  </w:r>
                </w:p>
              </w:tc>
            </w:tr>
            <w:tr>
              <w:tc>
                <w:tcPr/>
                <w:p>
                  <w:pPr>
                    <w:pStyle w:val="Compact"/>
                    <w:jc w:val="center"/>
                    <w:jc w:val="center"/>
                  </w:pPr>
                  <w:r>
                    <w:t xml:space="preserve">80</w:t>
                  </w:r>
                </w:p>
              </w:tc>
              <w:tc>
                <w:tcPr/>
                <w:p>
                  <w:pPr>
                    <w:pStyle w:val="Compact"/>
                  </w:pPr>
                </w:p>
              </w:tc>
              <w:tc>
                <w:tcPr/>
                <w:p>
                  <w:pPr>
                    <w:pStyle w:val="Compact"/>
                  </w:pPr>
                </w:p>
              </w:tc>
              <w:tc>
                <w:tcPr/>
                <w:p>
                  <w:pPr>
                    <w:pStyle w:val="Compact"/>
                    <w:jc w:val="center"/>
                    <w:jc w:val="center"/>
                  </w:pPr>
                  <w:r>
                    <w:t xml:space="preserve">2.02 [1.93, 2.11]</w:t>
                  </w:r>
                </w:p>
              </w:tc>
              <w:tc>
                <w:tcPr/>
                <w:p>
                  <w:pPr>
                    <w:pStyle w:val="Compact"/>
                    <w:jc w:val="center"/>
                    <w:jc w:val="center"/>
                  </w:pPr>
                  <w:r>
                    <w:t xml:space="preserve">2.01 [1.93, 2.10]</w:t>
                  </w:r>
                </w:p>
              </w:tc>
            </w:tr>
            <w:tr>
              <w:tc>
                <w:tcPr/>
                <w:p>
                  <w:pPr>
                    <w:pStyle w:val="Compact"/>
                    <w:jc w:val="center"/>
                    <w:jc w:val="center"/>
                  </w:pPr>
                  <w:r>
                    <w:t xml:space="preserve">90</w:t>
                  </w:r>
                </w:p>
              </w:tc>
              <w:tc>
                <w:tcPr/>
                <w:p>
                  <w:pPr>
                    <w:pStyle w:val="Compact"/>
                  </w:pPr>
                </w:p>
              </w:tc>
              <w:tc>
                <w:tcPr/>
                <w:p>
                  <w:pPr>
                    <w:pStyle w:val="Compact"/>
                  </w:pPr>
                </w:p>
              </w:tc>
              <w:tc>
                <w:tcPr/>
                <w:p>
                  <w:pPr>
                    <w:pStyle w:val="Compact"/>
                    <w:jc w:val="center"/>
                    <w:jc w:val="center"/>
                  </w:pPr>
                  <w:r>
                    <w:t xml:space="preserve">2.01 [1.92, 2.10]</w:t>
                  </w:r>
                </w:p>
              </w:tc>
              <w:tc>
                <w:tcPr/>
                <w:p>
                  <w:pPr>
                    <w:pStyle w:val="Compact"/>
                    <w:jc w:val="center"/>
                    <w:jc w:val="center"/>
                  </w:pPr>
                  <w:r>
                    <w:t xml:space="preserve">2.01 [1.93, 2.10]</w:t>
                  </w:r>
                </w:p>
              </w:tc>
            </w:tr>
            <w:tr>
              <w:tc>
                <w:tcPr/>
                <w:p>
                  <w:pPr>
                    <w:pStyle w:val="Compact"/>
                    <w:jc w:val="center"/>
                    <w:jc w:val="center"/>
                  </w:pPr>
                  <w:r>
                    <w:t xml:space="preserve">100</w:t>
                  </w:r>
                </w:p>
              </w:tc>
              <w:tc>
                <w:tcPr/>
                <w:p>
                  <w:pPr>
                    <w:pStyle w:val="Compact"/>
                  </w:pPr>
                </w:p>
              </w:tc>
              <w:tc>
                <w:tcPr/>
                <w:p>
                  <w:pPr>
                    <w:pStyle w:val="Compact"/>
                  </w:pPr>
                </w:p>
              </w:tc>
              <w:tc>
                <w:tcPr/>
                <w:p>
                  <w:pPr>
                    <w:pStyle w:val="Compact"/>
                    <w:jc w:val="center"/>
                    <w:jc w:val="center"/>
                  </w:pPr>
                  <w:r>
                    <w:t xml:space="preserve">2.01 [1.92, 2.10]</w:t>
                  </w:r>
                </w:p>
              </w:tc>
              <w:tc>
                <w:tcPr/>
                <w:p>
                  <w:pPr>
                    <w:pStyle w:val="Compact"/>
                    <w:jc w:val="center"/>
                    <w:jc w:val="center"/>
                  </w:pPr>
                  <w:r>
                    <w:t xml:space="preserve">2.01 [1.92, 2.10]</w:t>
                  </w:r>
                </w:p>
              </w:tc>
            </w:tr>
          </w:tbl>
          <w:bookmarkEnd w:id="1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tbl-study3-main-results2"/>
          <w:p>
            <w:pPr>
              <w:jc w:val="center"/>
            </w:pPr>
            <w:pPr>
              <w:jc w:val="left"/>
              <w:spacing w:before="200"/>
              <w:pStyle w:val="ImageCaption"/>
            </w:pPr>
            <w:r>
              <w:t xml:space="preserve">Table 4.16: Root mean squared errors with 95% CIs for the different models evaluated on Black participants.</w:t>
            </w:r>
          </w:p>
          <w:tbl>
            <w:tblPr>
              <w:tblStyle w:val="Table"/>
              <w:tblW w:type="pct" w:w="5000"/>
              <w:tblLayout w:type="fixed"/>
              <w:tblLook w:firstRow="1" w:lastRow="0" w:firstColumn="0" w:lastColumn="0" w:noHBand="0" w:noVBand="0" w:val="0020"/>
            </w:tblPr>
            <w:tblGrid>
              <w:gridCol w:w="950"/>
              <w:gridCol w:w="1742"/>
              <w:gridCol w:w="1742"/>
              <w:gridCol w:w="1742"/>
              <w:gridCol w:w="1742"/>
            </w:tblGrid>
            <w:tr>
              <w:trPr>
                <w:tblHeader w:val="on"/>
              </w:trPr>
              <w:tc>
                <w:tcPr/>
                <w:p>
                  <w:pPr>
                    <w:pStyle w:val="Compact"/>
                    <w:jc w:val="center"/>
                    <w:jc w:val="center"/>
                  </w:pPr>
                  <w:r>
                    <w:t xml:space="preserve">Ratio</w:t>
                  </w:r>
                </w:p>
              </w:tc>
              <w:tc>
                <w:tcPr/>
                <w:p>
                  <w:pPr>
                    <w:pStyle w:val="Compact"/>
                    <w:jc w:val="center"/>
                    <w:jc w:val="center"/>
                  </w:pPr>
                  <w:r>
                    <w:t xml:space="preserve">LOCF</w:t>
                  </w:r>
                </w:p>
              </w:tc>
              <w:tc>
                <w:tcPr/>
                <w:p>
                  <w:pPr>
                    <w:pStyle w:val="Compact"/>
                    <w:jc w:val="center"/>
                    <w:jc w:val="center"/>
                  </w:pPr>
                  <w:r>
                    <w:t xml:space="preserve">Base-Individual</w:t>
                  </w:r>
                </w:p>
              </w:tc>
              <w:tc>
                <w:tcPr/>
                <w:p>
                  <w:pPr>
                    <w:pStyle w:val="Compact"/>
                    <w:jc w:val="center"/>
                    <w:jc w:val="center"/>
                  </w:pPr>
                  <w:r>
                    <w:t xml:space="preserve">Base-Generalized</w:t>
                  </w:r>
                </w:p>
              </w:tc>
              <w:tc>
                <w:tcPr/>
                <w:p>
                  <w:pPr>
                    <w:pStyle w:val="Compact"/>
                    <w:jc w:val="center"/>
                    <w:jc w:val="center"/>
                  </w:pPr>
                  <w:r>
                    <w:t xml:space="preserve">Transfer Learned</w:t>
                  </w:r>
                </w:p>
              </w:tc>
            </w:tr>
            <w:tr>
              <w:tc>
                <w:tcPr/>
                <w:p>
                  <w:pPr>
                    <w:pStyle w:val="Compact"/>
                    <w:jc w:val="center"/>
                    <w:jc w:val="center"/>
                  </w:pPr>
                  <w:r>
                    <w:t xml:space="preserve">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[1.91, 2.08]</w:t>
                  </w:r>
                </w:p>
              </w:tc>
            </w:tr>
            <w:tr>
              <w:tc>
                <w:tcPr/>
                <w:p>
                  <w:pPr>
                    <w:pStyle w:val="Compact"/>
                    <w:jc w:val="center"/>
                    <w:jc w:val="center"/>
                  </w:pPr>
                  <w:r>
                    <w:t xml:space="preserve">10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[1.91, 2.08]</w:t>
                  </w:r>
                </w:p>
              </w:tc>
            </w:tr>
            <w:tr>
              <w:tc>
                <w:tcPr/>
                <w:p>
                  <w:pPr>
                    <w:pStyle w:val="Compact"/>
                    <w:jc w:val="center"/>
                    <w:jc w:val="center"/>
                  </w:pPr>
                  <w:r>
                    <w:t xml:space="preserve">20</w:t>
                  </w:r>
                </w:p>
              </w:tc>
              <w:tc>
                <w:tcPr/>
                <w:p>
                  <w:pPr>
                    <w:pStyle w:val="Compact"/>
                  </w:pPr>
                </w:p>
              </w:tc>
              <w:tc>
                <w:tcPr/>
                <w:p>
                  <w:pPr>
                    <w:pStyle w:val="Compact"/>
                  </w:pPr>
                </w:p>
              </w:tc>
              <w:tc>
                <w:tcPr/>
                <w:p>
                  <w:pPr>
                    <w:pStyle w:val="Compact"/>
                    <w:jc w:val="center"/>
                    <w:jc w:val="center"/>
                  </w:pPr>
                  <w:r>
                    <w:t xml:space="preserve">2.05 [1.96, 2.14]</w:t>
                  </w:r>
                </w:p>
              </w:tc>
              <w:tc>
                <w:tcPr/>
                <w:p>
                  <w:pPr>
                    <w:pStyle w:val="Compact"/>
                    <w:jc w:val="center"/>
                    <w:jc w:val="center"/>
                  </w:pPr>
                  <w:r>
                    <w:t xml:space="preserve">2.00 [1.92, 2.08]</w:t>
                  </w:r>
                </w:p>
              </w:tc>
            </w:tr>
            <w:tr>
              <w:tc>
                <w:tcPr/>
                <w:p>
                  <w:pPr>
                    <w:pStyle w:val="Compact"/>
                    <w:jc w:val="center"/>
                    <w:jc w:val="center"/>
                  </w:pPr>
                  <w:r>
                    <w:t xml:space="preserve">30</w:t>
                  </w:r>
                </w:p>
              </w:tc>
              <w:tc>
                <w:tcPr/>
                <w:p>
                  <w:pPr>
                    <w:pStyle w:val="Compact"/>
                  </w:pPr>
                </w:p>
              </w:tc>
              <w:tc>
                <w:tcPr/>
                <w:p>
                  <w:pPr>
                    <w:pStyle w:val="Compact"/>
                  </w:pP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40</w:t>
                  </w:r>
                </w:p>
              </w:tc>
              <w:tc>
                <w:tcPr/>
                <w:p>
                  <w:pPr>
                    <w:pStyle w:val="Compact"/>
                    <w:jc w:val="center"/>
                    <w:jc w:val="center"/>
                  </w:pPr>
                  <w:r>
                    <w:t xml:space="preserve">2.41 [2.28, 2.53]</w:t>
                  </w:r>
                </w:p>
              </w:tc>
              <w:tc>
                <w:tcPr/>
                <w:p>
                  <w:pPr>
                    <w:pStyle w:val="Compact"/>
                    <w:jc w:val="center"/>
                    <w:jc w:val="center"/>
                  </w:pPr>
                  <w:r>
                    <w:t xml:space="preserve">2.63 [2.47, 2.79]</w:t>
                  </w: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50</w:t>
                  </w:r>
                </w:p>
              </w:tc>
              <w:tc>
                <w:tcPr/>
                <w:p>
                  <w:pPr>
                    <w:pStyle w:val="Compact"/>
                    <w:jc w:val="center"/>
                    <w:jc w:val="center"/>
                  </w:pPr>
                  <w:r>
                    <w:t xml:space="preserve">(independent</w:t>
                  </w:r>
                </w:p>
              </w:tc>
              <w:tc>
                <w:tcPr/>
                <w:p>
                  <w:pPr>
                    <w:pStyle w:val="Compact"/>
                    <w:jc w:val="center"/>
                    <w:jc w:val="center"/>
                  </w:pPr>
                  <w:r>
                    <w:t xml:space="preserve">(independent</w:t>
                  </w:r>
                </w:p>
              </w:tc>
              <w:tc>
                <w:tcPr/>
                <w:p>
                  <w:pPr>
                    <w:pStyle w:val="Compact"/>
                    <w:jc w:val="center"/>
                    <w:jc w:val="center"/>
                  </w:pPr>
                  <w:r>
                    <w:t xml:space="preserve">2.05 [1.97, 2.14]</w:t>
                  </w:r>
                </w:p>
              </w:tc>
              <w:tc>
                <w:tcPr/>
                <w:p>
                  <w:pPr>
                    <w:pStyle w:val="Compact"/>
                    <w:jc w:val="center"/>
                    <w:jc w:val="center"/>
                  </w:pPr>
                  <w:r>
                    <w:t xml:space="preserve">2.00 [1.92, 2.08]</w:t>
                  </w:r>
                </w:p>
              </w:tc>
            </w:tr>
            <w:tr>
              <w:tc>
                <w:tcPr/>
                <w:p>
                  <w:pPr>
                    <w:pStyle w:val="Compact"/>
                    <w:jc w:val="center"/>
                    <w:jc w:val="center"/>
                  </w:pPr>
                  <w:r>
                    <w:t xml:space="preserve">60</w:t>
                  </w:r>
                </w:p>
              </w:tc>
              <w:tc>
                <w:tcPr/>
                <w:p>
                  <w:pPr>
                    <w:pStyle w:val="Compact"/>
                    <w:jc w:val="center"/>
                    <w:jc w:val="center"/>
                  </w:pPr>
                  <w:r>
                    <w:t xml:space="preserve">of ratio)</w:t>
                  </w:r>
                </w:p>
              </w:tc>
              <w:tc>
                <w:tcPr/>
                <w:p>
                  <w:pPr>
                    <w:pStyle w:val="Compact"/>
                    <w:jc w:val="center"/>
                    <w:jc w:val="center"/>
                  </w:pPr>
                  <w:r>
                    <w:t xml:space="preserve">of ratio)</w:t>
                  </w:r>
                </w:p>
              </w:tc>
              <w:tc>
                <w:tcPr/>
                <w:p>
                  <w:pPr>
                    <w:pStyle w:val="Compact"/>
                    <w:jc w:val="center"/>
                    <w:jc w:val="center"/>
                  </w:pPr>
                  <w:r>
                    <w:t xml:space="preserve">2.06 [1.97, 2.14]</w:t>
                  </w:r>
                </w:p>
              </w:tc>
              <w:tc>
                <w:tcPr/>
                <w:p>
                  <w:pPr>
                    <w:pStyle w:val="Compact"/>
                    <w:jc w:val="center"/>
                    <w:jc w:val="center"/>
                  </w:pPr>
                  <w:r>
                    <w:t xml:space="preserve">2.00 [1.92, 2.08]</w:t>
                  </w:r>
                </w:p>
              </w:tc>
            </w:tr>
            <w:tr>
              <w:tc>
                <w:tcPr/>
                <w:p>
                  <w:pPr>
                    <w:pStyle w:val="Compact"/>
                    <w:jc w:val="center"/>
                    <w:jc w:val="center"/>
                  </w:pPr>
                  <w:r>
                    <w:t xml:space="preserve">70</w:t>
                  </w:r>
                </w:p>
              </w:tc>
              <w:tc>
                <w:tcPr/>
                <w:p>
                  <w:pPr>
                    <w:pStyle w:val="Compact"/>
                  </w:pPr>
                </w:p>
              </w:tc>
              <w:tc>
                <w:tcPr/>
                <w:p>
                  <w:pPr>
                    <w:pStyle w:val="Compact"/>
                  </w:pPr>
                </w:p>
              </w:tc>
              <w:tc>
                <w:tcPr/>
                <w:p>
                  <w:pPr>
                    <w:pStyle w:val="Compact"/>
                    <w:jc w:val="center"/>
                    <w:jc w:val="center"/>
                  </w:pPr>
                  <w:r>
                    <w:t xml:space="preserve">2.06 [1.97, 2.14]</w:t>
                  </w:r>
                </w:p>
              </w:tc>
              <w:tc>
                <w:tcPr/>
                <w:p>
                  <w:pPr>
                    <w:pStyle w:val="Compact"/>
                    <w:jc w:val="center"/>
                    <w:jc w:val="center"/>
                  </w:pPr>
                  <w:r>
                    <w:t xml:space="preserve">2.00 [1.92, 2.08]</w:t>
                  </w:r>
                </w:p>
              </w:tc>
            </w:tr>
            <w:tr>
              <w:tc>
                <w:tcPr/>
                <w:p>
                  <w:pPr>
                    <w:pStyle w:val="Compact"/>
                    <w:jc w:val="center"/>
                    <w:jc w:val="center"/>
                  </w:pPr>
                  <w:r>
                    <w:t xml:space="preserve">80</w:t>
                  </w:r>
                </w:p>
              </w:tc>
              <w:tc>
                <w:tcPr/>
                <w:p>
                  <w:pPr>
                    <w:pStyle w:val="Compact"/>
                  </w:pPr>
                </w:p>
              </w:tc>
              <w:tc>
                <w:tcPr/>
                <w:p>
                  <w:pPr>
                    <w:pStyle w:val="Compact"/>
                  </w:pPr>
                </w:p>
              </w:tc>
              <w:tc>
                <w:tcPr/>
                <w:p>
                  <w:pPr>
                    <w:pStyle w:val="Compact"/>
                    <w:jc w:val="center"/>
                    <w:jc w:val="center"/>
                  </w:pPr>
                  <w:r>
                    <w:t xml:space="preserve">2.06 [1.97, 2.14]</w:t>
                  </w:r>
                </w:p>
              </w:tc>
              <w:tc>
                <w:tcPr/>
                <w:p>
                  <w:pPr>
                    <w:pStyle w:val="Compact"/>
                    <w:jc w:val="center"/>
                    <w:jc w:val="center"/>
                  </w:pPr>
                  <w:r>
                    <w:t xml:space="preserve">2.00 [1.92, 2.09]</w:t>
                  </w:r>
                </w:p>
              </w:tc>
            </w:tr>
            <w:tr>
              <w:tc>
                <w:tcPr/>
                <w:p>
                  <w:pPr>
                    <w:pStyle w:val="Compact"/>
                    <w:jc w:val="center"/>
                    <w:jc w:val="center"/>
                  </w:pPr>
                  <w:r>
                    <w:t xml:space="preserve">90</w:t>
                  </w:r>
                </w:p>
              </w:tc>
              <w:tc>
                <w:tcPr/>
                <w:p>
                  <w:pPr>
                    <w:pStyle w:val="Compact"/>
                  </w:pPr>
                </w:p>
              </w:tc>
              <w:tc>
                <w:tcPr/>
                <w:p>
                  <w:pPr>
                    <w:pStyle w:val="Compact"/>
                  </w:pPr>
                </w:p>
              </w:tc>
              <w:tc>
                <w:tcPr/>
                <w:p>
                  <w:pPr>
                    <w:pStyle w:val="Compact"/>
                    <w:jc w:val="center"/>
                    <w:jc w:val="center"/>
                  </w:pPr>
                  <w:r>
                    <w:t xml:space="preserve">2.06 [1.97, 2.15]</w:t>
                  </w:r>
                </w:p>
              </w:tc>
              <w:tc>
                <w:tcPr/>
                <w:p>
                  <w:pPr>
                    <w:pStyle w:val="Compact"/>
                    <w:jc w:val="center"/>
                    <w:jc w:val="center"/>
                  </w:pPr>
                  <w:r>
                    <w:t xml:space="preserve">2.00 [1.92, 2.09]</w:t>
                  </w:r>
                </w:p>
              </w:tc>
            </w:tr>
            <w:tr>
              <w:tc>
                <w:tcPr/>
                <w:p>
                  <w:pPr>
                    <w:pStyle w:val="Compact"/>
                    <w:jc w:val="center"/>
                    <w:jc w:val="center"/>
                  </w:pPr>
                  <w:r>
                    <w:t xml:space="preserve">100</w:t>
                  </w:r>
                </w:p>
              </w:tc>
              <w:tc>
                <w:tcPr/>
                <w:p>
                  <w:pPr>
                    <w:pStyle w:val="Compact"/>
                  </w:pPr>
                </w:p>
              </w:tc>
              <w:tc>
                <w:tcPr/>
                <w:p>
                  <w:pPr>
                    <w:pStyle w:val="Compact"/>
                  </w:pPr>
                </w:p>
              </w:tc>
              <w:tc>
                <w:tcPr/>
                <w:p>
                  <w:pPr>
                    <w:pStyle w:val="Compact"/>
                    <w:jc w:val="center"/>
                    <w:jc w:val="center"/>
                  </w:pPr>
                  <w:r>
                    <w:t xml:space="preserve">2.06 [1.97, 2.15]</w:t>
                  </w:r>
                </w:p>
              </w:tc>
              <w:tc>
                <w:tcPr/>
                <w:p>
                  <w:pPr>
                    <w:pStyle w:val="Compact"/>
                    <w:jc w:val="center"/>
                    <w:jc w:val="center"/>
                  </w:pPr>
                  <w:r>
                    <w:t xml:space="preserve">2.00 [1.92, 2.09]</w:t>
                  </w:r>
                </w:p>
              </w:tc>
            </w:tr>
          </w:tbl>
          <w:bookmarkEnd w:id="169"/>
          <w:p/>
        </w:tc>
      </w:tr>
    </w:tbl>
    <w:p>
      <w:pPr>
        <w:pStyle w:val="BodyText"/>
      </w:pPr>
      <w:r>
        <w:t xml:space="preserve">For the Base-Generalized models, prediction performance gradually diverged between White and Black participants as the proportion of White participants in the training data increased (</w:t>
      </w:r>
      <w:hyperlink w:anchor="fig-lmem-results">
        <w:r>
          <w:rPr>
            <w:rStyle w:val="Hyperlink"/>
          </w:rPr>
          <w:t xml:space="preserve">Figure 4.4</w:t>
        </w:r>
      </w:hyperlink>
      <w:r>
        <w:t xml:space="preserve">). For example, when the training data changed from 0% to 100% White participants, the difference in RMSE between the racial groups increased by 0.04 mmol/L [95% CI: 0.001 to 0.008],</w:t>
      </w:r>
      <m:oMath>
        <m:r>
          <m:t>p</m:t>
        </m:r>
      </m:oMath>
      <w:r>
        <w:t xml:space="preserve">=0.02, indicating that training data composition affected the two groups differently(</w:t>
      </w:r>
      <w:hyperlink w:anchor="tbl-general-model-coefficients">
        <w:r>
          <w:rPr>
            <w:rStyle w:val="Hyperlink"/>
          </w:rPr>
          <w:t xml:space="preserve">Table 4.17</w:t>
        </w:r>
      </w:hyperlink>
      <w:r>
        <w:t xml:space="preserve">). This divergence was not observed after transfer learning (0.002 mmol/L[95% CI: -0.001 to 0.005],</w:t>
      </w:r>
      <w:r>
        <w:t xml:space="preserve"> </w:t>
      </w:r>
      <m:oMath>
        <m:r>
          <m:t>p</m:t>
        </m:r>
      </m:oMath>
      <w:r>
        <w:t xml:space="preserve">=0.20) (</w:t>
      </w:r>
      <w:hyperlink w:anchor="tbl-transferlearned-coefficients">
        <w:r>
          <w:rPr>
            <w:rStyle w:val="Hyperlink"/>
          </w:rPr>
          <w:t xml:space="preserve">Table 4.18</w:t>
        </w:r>
      </w:hyperlink>
      <w:r>
        <w:t xml:space="preserve">).</w:t>
      </w:r>
      <w:r>
        <w:t xml:space="preserve"> </w:t>
      </w:r>
      <w:r>
        <w:t xml:space="preserve">A statistically significant differences were however found in both the Base-Generalized and the Transfer Learned models for age groups (0.482 [0.355 to 0.610], p &lt; 0.001,</w:t>
      </w:r>
      <w:r>
        <w:t xml:space="preserve"> </w:t>
      </w:r>
      <w:hyperlink w:anchor="tbl-general-model-coefficients">
        <w:r>
          <w:rPr>
            <w:rStyle w:val="Hyperlink"/>
          </w:rPr>
          <w:t xml:space="preserve">Table 4.17</w:t>
        </w:r>
      </w:hyperlink>
      <w:r>
        <w:t xml:space="preserve"> </w:t>
      </w:r>
      <w:r>
        <w:t xml:space="preserve">and 0.411 [0.290 to 0.533], p &lt; 0.001,</w:t>
      </w:r>
      <w:r>
        <w:t xml:space="preserve"> </w:t>
      </w:r>
      <w:hyperlink w:anchor="tbl-transferlearned-coefficients">
        <w:r>
          <w:rPr>
            <w:rStyle w:val="Hyperlink"/>
          </w:rPr>
          <w:t xml:space="preserve">Table 4.18</w:t>
        </w:r>
      </w:hyperlink>
      <w:r>
        <w:t xml:space="preserve"> </w:t>
      </w:r>
      <w:r>
        <w:t xml:space="preserve">respectivly). The differences in age groups showed a lower error when forecasting blood glucose values for adults compared to children.</w:t>
      </w:r>
      <w:r>
        <w:t xml:space="preserve"> </w:t>
      </w:r>
      <w:r>
        <w:t xml:space="preserve">Larger sample sizes available for transfer learning were associated with lower prediction error (</w:t>
      </w:r>
      <m:oMath>
        <m:r>
          <m:t>β</m:t>
        </m:r>
      </m:oMath>
      <w:r>
        <w:t xml:space="preserve"> </w:t>
      </w:r>
      <w:r>
        <w:t xml:space="preserve">= -0.111 mmol/L [-0.161 to -0.061] mmol/L,</w:t>
      </w:r>
      <w:r>
        <w:t xml:space="preserve"> </w:t>
      </w:r>
      <m:oMath>
        <m:r>
          <m:t>p</m:t>
        </m:r>
      </m:oMath>
      <w:r>
        <w:t xml:space="preserve"> &lt; 0.001) for every additional 1,000 samples used for fine-tuning (</w:t>
      </w:r>
      <w:hyperlink w:anchor="tbl-transferlearned-coefficients">
        <w:r>
          <w:rPr>
            <w:rStyle w:val="Hyperlink"/>
          </w:rPr>
          <w:t xml:space="preserve">Table 4.18</w:t>
        </w:r>
      </w:hyperlink>
      <w:r>
        <w:t xml:space="preserve">).</w:t>
      </w:r>
      <w:r>
        <w:t xml:space="preserve"> </w:t>
      </w:r>
      <w:r>
        <w:t xml:space="preserve">In contrast, the size of the dataset used to train the Base-Generalized model was not associated with prediction error.</w:t>
      </w:r>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tbl-general-model-coefficients"/>
          <w:p>
            <w:pPr>
              <w:jc w:val="center"/>
            </w:pPr>
            <w:pPr>
              <w:jc w:val="left"/>
              <w:spacing w:before="200"/>
              <w:pStyle w:val="ImageCaption"/>
            </w:pPr>
            <w:r>
              <w:t xml:space="preserve">Table 4.17: Model coefficients from linear mixed effects models for root mean squared errors of the Base-Generalized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Predictor</w:t>
                  </w:r>
                </w:p>
              </w:tc>
              <w:tc>
                <w:tcPr/>
                <w:p>
                  <w:pPr>
                    <w:pStyle w:val="Compact"/>
                    <w:jc w:val="left"/>
                    <w:jc w:val="center"/>
                  </w:pPr>
                  <w:r>
                    <w:t xml:space="preserve">Coefficient</w:t>
                  </w:r>
                </w:p>
              </w:tc>
              <w:tc>
                <w:tcPr/>
                <w:p>
                  <w:pPr>
                    <w:pStyle w:val="Compact"/>
                    <w:jc w:val="left"/>
                    <w:jc w:val="center"/>
                  </w:pPr>
                  <w:r>
                    <w:t xml:space="preserve">95% CI</w:t>
                  </w:r>
                </w:p>
              </w:tc>
              <w:tc>
                <w:tcPr/>
                <w:p>
                  <w:pPr>
                    <w:pStyle w:val="Compact"/>
                    <w:jc w:val="left"/>
                    <w:jc w:val="center"/>
                  </w:pPr>
                  <w:r>
                    <w:t xml:space="preserve">P-value</w:t>
                  </w:r>
                </w:p>
              </w:tc>
            </w:tr>
            <w:tr>
              <w:tc>
                <w:tcPr/>
                <w:p>
                  <w:pPr>
                    <w:pStyle w:val="Compact"/>
                    <w:jc w:val="left"/>
                    <w:jc w:val="center"/>
                  </w:pPr>
                  <w:r>
                    <w:t xml:space="preserve">Intercept</w:t>
                  </w:r>
                </w:p>
              </w:tc>
              <w:tc>
                <w:tcPr/>
                <w:p>
                  <w:pPr>
                    <w:pStyle w:val="Compact"/>
                    <w:jc w:val="left"/>
                    <w:jc w:val="center"/>
                  </w:pPr>
                  <w:r>
                    <w:t xml:space="preserve">1.893</w:t>
                  </w:r>
                </w:p>
              </w:tc>
              <w:tc>
                <w:tcPr/>
                <w:p>
                  <w:pPr>
                    <w:pStyle w:val="Compact"/>
                    <w:jc w:val="left"/>
                    <w:jc w:val="center"/>
                  </w:pPr>
                  <w:r>
                    <w:t xml:space="preserve">[ 1.762, 2.024]</w:t>
                  </w:r>
                </w:p>
              </w:tc>
              <w:tc>
                <w:tcPr/>
                <w:p>
                  <w:pPr>
                    <w:pStyle w:val="Compact"/>
                    <w:jc w:val="left"/>
                    <w:jc w:val="center"/>
                  </w:pPr>
                  <w:r>
                    <w:t xml:space="preserve">&lt;0.001</w:t>
                  </w:r>
                </w:p>
              </w:tc>
            </w:tr>
            <w:tr>
              <w:tc>
                <w:tcPr/>
                <w:p>
                  <w:pPr>
                    <w:pStyle w:val="Compact"/>
                    <w:jc w:val="left"/>
                    <w:jc w:val="center"/>
                  </w:pPr>
                  <w:r>
                    <w:rPr>
                      <w:b/>
                      <w:bCs/>
                    </w:rPr>
                    <w:t xml:space="preserve">Race</w:t>
                  </w:r>
                </w:p>
              </w:tc>
              <w:tc>
                <w:tcPr/>
                <w:p>
                  <w:pPr>
                    <w:pStyle w:val="Compact"/>
                  </w:pPr>
                </w:p>
              </w:tc>
              <w:tc>
                <w:tcPr/>
                <w:p>
                  <w:pPr>
                    <w:pStyle w:val="Compact"/>
                  </w:pPr>
                </w:p>
              </w:tc>
              <w:tc>
                <w:tcPr/>
                <w:p>
                  <w:pPr>
                    <w:pStyle w:val="Compact"/>
                  </w:pPr>
                </w:p>
              </w:tc>
            </w:tr>
            <w:tr>
              <w:tc>
                <w:tcPr/>
                <w:p>
                  <w:pPr>
                    <w:pStyle w:val="Compact"/>
                    <w:jc w:val="left"/>
                    <w:jc w:val="center"/>
                  </w:pPr>
                  <w:r>
                    <w:t xml:space="preserve">     White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Black</w:t>
                  </w:r>
                </w:p>
              </w:tc>
              <w:tc>
                <w:tcPr/>
                <w:p>
                  <w:pPr>
                    <w:pStyle w:val="Compact"/>
                    <w:jc w:val="left"/>
                    <w:jc w:val="center"/>
                  </w:pPr>
                  <w:r>
                    <w:t xml:space="preserve">0.007</w:t>
                  </w:r>
                </w:p>
              </w:tc>
              <w:tc>
                <w:tcPr/>
                <w:p>
                  <w:pPr>
                    <w:pStyle w:val="Compact"/>
                    <w:jc w:val="left"/>
                    <w:jc w:val="center"/>
                  </w:pPr>
                  <w:r>
                    <w:t xml:space="preserve">[-0.118, 0.132]</w:t>
                  </w:r>
                </w:p>
              </w:tc>
              <w:tc>
                <w:tcPr/>
                <w:p>
                  <w:pPr>
                    <w:pStyle w:val="Compact"/>
                    <w:jc w:val="left"/>
                    <w:jc w:val="center"/>
                  </w:pPr>
                  <w:r>
                    <w:t xml:space="preserve">0.91</w:t>
                  </w: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r>
            <w:tr>
              <w:tc>
                <w:tcPr/>
                <w:p>
                  <w:pPr>
                    <w:pStyle w:val="Compact"/>
                    <w:jc w:val="left"/>
                    <w:jc w:val="center"/>
                  </w:pPr>
                  <w:r>
                    <w:t xml:space="preserve">     Adult</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Child</w:t>
                  </w:r>
                </w:p>
              </w:tc>
              <w:tc>
                <w:tcPr/>
                <w:p>
                  <w:pPr>
                    <w:pStyle w:val="Compact"/>
                    <w:jc w:val="left"/>
                    <w:jc w:val="center"/>
                  </w:pPr>
                  <w:r>
                    <w:t xml:space="preserve">0.482</w:t>
                  </w:r>
                </w:p>
              </w:tc>
              <w:tc>
                <w:tcPr/>
                <w:p>
                  <w:pPr>
                    <w:pStyle w:val="Compact"/>
                    <w:jc w:val="left"/>
                    <w:jc w:val="center"/>
                  </w:pPr>
                  <w:r>
                    <w:t xml:space="preserve">[ 0.355, 0.610]</w:t>
                  </w:r>
                </w:p>
              </w:tc>
              <w:tc>
                <w:tcPr/>
                <w:p>
                  <w:pPr>
                    <w:pStyle w:val="Compact"/>
                    <w:jc w:val="left"/>
                    <w:jc w:val="center"/>
                  </w:pPr>
                  <w:r>
                    <w:t xml:space="preserve">&lt;0.001</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Male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Female</w:t>
                  </w:r>
                </w:p>
              </w:tc>
              <w:tc>
                <w:tcPr/>
                <w:p>
                  <w:pPr>
                    <w:pStyle w:val="Compact"/>
                    <w:jc w:val="left"/>
                    <w:jc w:val="center"/>
                  </w:pPr>
                  <w:r>
                    <w:t xml:space="preserve">-0.076</w:t>
                  </w:r>
                </w:p>
              </w:tc>
              <w:tc>
                <w:tcPr/>
                <w:p>
                  <w:pPr>
                    <w:pStyle w:val="Compact"/>
                    <w:jc w:val="left"/>
                    <w:jc w:val="center"/>
                  </w:pPr>
                  <w:r>
                    <w:t xml:space="preserve">[-0.201, 0.048]</w:t>
                  </w:r>
                </w:p>
              </w:tc>
              <w:tc>
                <w:tcPr/>
                <w:p>
                  <w:pPr>
                    <w:pStyle w:val="Compact"/>
                    <w:jc w:val="left"/>
                    <w:jc w:val="center"/>
                  </w:pPr>
                  <w:r>
                    <w:t xml:space="preserve">0.23</w:t>
                  </w:r>
                </w:p>
              </w:tc>
            </w:tr>
            <w:tr>
              <w:tc>
                <w:tcPr/>
                <w:p>
                  <w:pPr>
                    <w:pStyle w:val="Compact"/>
                    <w:jc w:val="left"/>
                    <w:jc w:val="center"/>
                  </w:pPr>
                  <w:r>
                    <w:t xml:space="preserve">Training size Base-Generalized*</w:t>
                  </w:r>
                </w:p>
              </w:tc>
              <w:tc>
                <w:tcPr/>
                <w:p>
                  <w:pPr>
                    <w:pStyle w:val="Compact"/>
                    <w:jc w:val="left"/>
                    <w:jc w:val="center"/>
                  </w:pPr>
                  <w:r>
                    <w:t xml:space="preserve">0.019</w:t>
                  </w:r>
                </w:p>
              </w:tc>
              <w:tc>
                <w:tcPr/>
                <w:p>
                  <w:pPr>
                    <w:pStyle w:val="Compact"/>
                    <w:jc w:val="left"/>
                    <w:jc w:val="center"/>
                  </w:pPr>
                  <w:r>
                    <w:t xml:space="preserve">[-0.055, 0.093]</w:t>
                  </w:r>
                </w:p>
              </w:tc>
              <w:tc>
                <w:tcPr/>
                <w:p>
                  <w:pPr>
                    <w:pStyle w:val="Compact"/>
                    <w:jc w:val="left"/>
                    <w:jc w:val="center"/>
                  </w:pPr>
                  <w:r>
                    <w:t xml:space="preserve">0.62</w:t>
                  </w:r>
                </w:p>
              </w:tc>
            </w:tr>
            <w:tr>
              <w:tc>
                <w:tcPr/>
                <w:p>
                  <w:pPr>
                    <w:pStyle w:val="Compact"/>
                    <w:jc w:val="left"/>
                    <w:jc w:val="center"/>
                  </w:pPr>
                  <w:r>
                    <w:t xml:space="preserve">Ratio (per 10%)</w:t>
                  </w:r>
                </w:p>
              </w:tc>
              <w:tc>
                <w:tcPr/>
                <w:p>
                  <w:pPr>
                    <w:pStyle w:val="Compact"/>
                    <w:jc w:val="left"/>
                    <w:jc w:val="center"/>
                  </w:pPr>
                  <w:r>
                    <w:t xml:space="preserve">-0.003</w:t>
                  </w:r>
                </w:p>
              </w:tc>
              <w:tc>
                <w:tcPr/>
                <w:p>
                  <w:pPr>
                    <w:pStyle w:val="Compact"/>
                    <w:jc w:val="left"/>
                    <w:jc w:val="center"/>
                  </w:pPr>
                  <w:r>
                    <w:t xml:space="preserve">[-0.007, 0.001]</w:t>
                  </w:r>
                </w:p>
              </w:tc>
              <w:tc>
                <w:tcPr/>
                <w:p>
                  <w:pPr>
                    <w:pStyle w:val="Compact"/>
                    <w:jc w:val="left"/>
                    <w:jc w:val="center"/>
                  </w:pPr>
                  <w:r>
                    <w:t xml:space="preserve">0.12</w:t>
                  </w:r>
                </w:p>
              </w:tc>
            </w:tr>
            <w:tr>
              <w:tc>
                <w:tcPr/>
                <w:p>
                  <w:pPr>
                    <w:pStyle w:val="Compact"/>
                    <w:jc w:val="left"/>
                    <w:jc w:val="center"/>
                  </w:pPr>
                  <w:r>
                    <w:t xml:space="preserve">Ratio · Race</w:t>
                  </w:r>
                </w:p>
              </w:tc>
              <w:tc>
                <w:tcPr/>
                <w:p>
                  <w:pPr>
                    <w:pStyle w:val="Compact"/>
                    <w:jc w:val="left"/>
                    <w:jc w:val="center"/>
                  </w:pPr>
                  <w:r>
                    <w:t xml:space="preserve">0.004</w:t>
                  </w:r>
                </w:p>
              </w:tc>
              <w:tc>
                <w:tcPr/>
                <w:p>
                  <w:pPr>
                    <w:pStyle w:val="Compact"/>
                    <w:jc w:val="left"/>
                    <w:jc w:val="center"/>
                  </w:pPr>
                  <w:r>
                    <w:t xml:space="preserve">[0.001, 0.008]</w:t>
                  </w:r>
                </w:p>
              </w:tc>
              <w:tc>
                <w:tcPr/>
                <w:p>
                  <w:pPr>
                    <w:pStyle w:val="Compact"/>
                    <w:jc w:val="left"/>
                    <w:jc w:val="center"/>
                  </w:pPr>
                  <w:r>
                    <w:t xml:space="preserve">0.02</w:t>
                  </w:r>
                </w:p>
              </w:tc>
            </w:tr>
          </w:tbl>
          <w:bookmarkEnd w:id="17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tbl-transferlearned-coefficients"/>
          <w:p>
            <w:pPr>
              <w:jc w:val="center"/>
            </w:pPr>
            <w:pPr>
              <w:jc w:val="left"/>
              <w:spacing w:before="200"/>
              <w:pStyle w:val="ImageCaption"/>
            </w:pPr>
            <w:r>
              <w:t xml:space="preserve">Table 4.18: Model coefficients from linear mixed effects models for root mean squared errors of the Transfer Learned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Predictor</w:t>
                  </w:r>
                </w:p>
              </w:tc>
              <w:tc>
                <w:tcPr/>
                <w:p>
                  <w:pPr>
                    <w:pStyle w:val="Compact"/>
                    <w:jc w:val="left"/>
                    <w:jc w:val="center"/>
                  </w:pPr>
                  <w:r>
                    <w:t xml:space="preserve">Coefficient</w:t>
                  </w:r>
                </w:p>
              </w:tc>
              <w:tc>
                <w:tcPr/>
                <w:p>
                  <w:pPr>
                    <w:pStyle w:val="Compact"/>
                    <w:jc w:val="left"/>
                    <w:jc w:val="center"/>
                  </w:pPr>
                  <w:r>
                    <w:t xml:space="preserve">95% CI</w:t>
                  </w:r>
                </w:p>
              </w:tc>
              <w:tc>
                <w:tcPr/>
                <w:p>
                  <w:pPr>
                    <w:pStyle w:val="Compact"/>
                    <w:jc w:val="left"/>
                    <w:jc w:val="center"/>
                  </w:pPr>
                  <w:r>
                    <w:t xml:space="preserve">P-value</w:t>
                  </w:r>
                </w:p>
              </w:tc>
            </w:tr>
            <w:tr>
              <w:tc>
                <w:tcPr/>
                <w:p>
                  <w:pPr>
                    <w:pStyle w:val="Compact"/>
                    <w:jc w:val="left"/>
                    <w:jc w:val="center"/>
                  </w:pPr>
                  <w:r>
                    <w:t xml:space="preserve">Intercept</w:t>
                  </w:r>
                </w:p>
              </w:tc>
              <w:tc>
                <w:tcPr/>
                <w:p>
                  <w:pPr>
                    <w:pStyle w:val="Compact"/>
                    <w:jc w:val="left"/>
                    <w:jc w:val="center"/>
                  </w:pPr>
                  <w:r>
                    <w:t xml:space="preserve">1.890</w:t>
                  </w:r>
                </w:p>
              </w:tc>
              <w:tc>
                <w:tcPr/>
                <w:p>
                  <w:pPr>
                    <w:pStyle w:val="Compact"/>
                    <w:jc w:val="left"/>
                    <w:jc w:val="center"/>
                  </w:pPr>
                  <w:r>
                    <w:t xml:space="preserve">[ 1.768, 2.015]</w:t>
                  </w:r>
                </w:p>
              </w:tc>
              <w:tc>
                <w:tcPr/>
                <w:p>
                  <w:pPr>
                    <w:pStyle w:val="Compact"/>
                    <w:jc w:val="left"/>
                    <w:jc w:val="center"/>
                  </w:pPr>
                  <w:r>
                    <w:t xml:space="preserve">&lt;0.001</w:t>
                  </w:r>
                </w:p>
              </w:tc>
            </w:tr>
            <w:tr>
              <w:tc>
                <w:tcPr/>
                <w:p>
                  <w:pPr>
                    <w:pStyle w:val="Compact"/>
                    <w:jc w:val="left"/>
                    <w:jc w:val="center"/>
                  </w:pPr>
                  <w:r>
                    <w:rPr>
                      <w:b/>
                      <w:bCs/>
                    </w:rPr>
                    <w:t xml:space="preserve">Race</w:t>
                  </w:r>
                </w:p>
              </w:tc>
              <w:tc>
                <w:tcPr/>
                <w:p>
                  <w:pPr>
                    <w:pStyle w:val="Compact"/>
                  </w:pPr>
                </w:p>
              </w:tc>
              <w:tc>
                <w:tcPr/>
                <w:p>
                  <w:pPr>
                    <w:pStyle w:val="Compact"/>
                  </w:pPr>
                </w:p>
              </w:tc>
              <w:tc>
                <w:tcPr/>
                <w:p>
                  <w:pPr>
                    <w:pStyle w:val="Compact"/>
                  </w:pPr>
                </w:p>
              </w:tc>
            </w:tr>
            <w:tr>
              <w:tc>
                <w:tcPr/>
                <w:p>
                  <w:pPr>
                    <w:pStyle w:val="Compact"/>
                    <w:jc w:val="left"/>
                    <w:jc w:val="center"/>
                  </w:pPr>
                  <w:r>
                    <w:t xml:space="preserve">     White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Black</w:t>
                  </w:r>
                </w:p>
              </w:tc>
              <w:tc>
                <w:tcPr/>
                <w:p>
                  <w:pPr>
                    <w:pStyle w:val="Compact"/>
                    <w:jc w:val="left"/>
                    <w:jc w:val="center"/>
                  </w:pPr>
                  <w:r>
                    <w:t xml:space="preserve">-0.028</w:t>
                  </w:r>
                </w:p>
              </w:tc>
              <w:tc>
                <w:tcPr/>
                <w:p>
                  <w:pPr>
                    <w:pStyle w:val="Compact"/>
                    <w:jc w:val="left"/>
                    <w:jc w:val="center"/>
                  </w:pPr>
                  <w:r>
                    <w:t xml:space="preserve">[-0.147, 0.092]</w:t>
                  </w:r>
                </w:p>
              </w:tc>
              <w:tc>
                <w:tcPr/>
                <w:p>
                  <w:pPr>
                    <w:pStyle w:val="Compact"/>
                    <w:jc w:val="left"/>
                    <w:jc w:val="center"/>
                  </w:pPr>
                  <w:r>
                    <w:t xml:space="preserve">0.65</w:t>
                  </w: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r>
            <w:tr>
              <w:tc>
                <w:tcPr/>
                <w:p>
                  <w:pPr>
                    <w:pStyle w:val="Compact"/>
                    <w:jc w:val="left"/>
                    <w:jc w:val="center"/>
                  </w:pPr>
                  <w:r>
                    <w:t xml:space="preserve">     Adult</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Child</w:t>
                  </w:r>
                </w:p>
              </w:tc>
              <w:tc>
                <w:tcPr/>
                <w:p>
                  <w:pPr>
                    <w:pStyle w:val="Compact"/>
                    <w:jc w:val="left"/>
                    <w:jc w:val="center"/>
                  </w:pPr>
                  <w:r>
                    <w:t xml:space="preserve">0.411</w:t>
                  </w:r>
                </w:p>
              </w:tc>
              <w:tc>
                <w:tcPr/>
                <w:p>
                  <w:pPr>
                    <w:pStyle w:val="Compact"/>
                    <w:jc w:val="left"/>
                    <w:jc w:val="center"/>
                  </w:pPr>
                  <w:r>
                    <w:t xml:space="preserve">[ 0.290, 0.533]</w:t>
                  </w:r>
                </w:p>
              </w:tc>
              <w:tc>
                <w:tcPr/>
                <w:p>
                  <w:pPr>
                    <w:pStyle w:val="Compact"/>
                    <w:jc w:val="left"/>
                    <w:jc w:val="center"/>
                  </w:pPr>
                  <w:r>
                    <w:t xml:space="preserve">&lt;0.001</w:t>
                  </w:r>
                </w:p>
              </w:tc>
            </w:tr>
            <w:tr>
              <w:tc>
                <w:tcPr/>
                <w:p>
                  <w:pPr>
                    <w:pStyle w:val="Compact"/>
                    <w:jc w:val="left"/>
                    <w:jc w:val="center"/>
                  </w:pPr>
                  <w:r>
                    <w:rPr>
                      <w:b/>
                      <w:bCs/>
                    </w:rP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Male</w:t>
                  </w:r>
                </w:p>
              </w:tc>
              <w:tc>
                <w:tcPr/>
                <w:p>
                  <w:pPr>
                    <w:pStyle w:val="Compact"/>
                    <w:jc w:val="left"/>
                    <w:jc w:val="center"/>
                  </w:pPr>
                  <w:r>
                    <w:t xml:space="preserve">Reference</w:t>
                  </w:r>
                </w:p>
              </w:tc>
              <w:tc>
                <w:tcPr/>
                <w:p>
                  <w:pPr>
                    <w:pStyle w:val="Compact"/>
                  </w:pPr>
                </w:p>
              </w:tc>
              <w:tc>
                <w:tcPr/>
                <w:p>
                  <w:pPr>
                    <w:pStyle w:val="Compact"/>
                  </w:pPr>
                </w:p>
              </w:tc>
            </w:tr>
            <w:tr>
              <w:tc>
                <w:tcPr/>
                <w:p>
                  <w:pPr>
                    <w:pStyle w:val="Compact"/>
                    <w:jc w:val="left"/>
                    <w:jc w:val="center"/>
                  </w:pPr>
                  <w:r>
                    <w:t xml:space="preserve">     Female</w:t>
                  </w:r>
                </w:p>
              </w:tc>
              <w:tc>
                <w:tcPr/>
                <w:p>
                  <w:pPr>
                    <w:pStyle w:val="Compact"/>
                    <w:jc w:val="left"/>
                    <w:jc w:val="center"/>
                  </w:pPr>
                  <w:r>
                    <w:t xml:space="preserve">-0.057</w:t>
                  </w:r>
                </w:p>
              </w:tc>
              <w:tc>
                <w:tcPr/>
                <w:p>
                  <w:pPr>
                    <w:pStyle w:val="Compact"/>
                    <w:jc w:val="left"/>
                    <w:jc w:val="center"/>
                  </w:pPr>
                  <w:r>
                    <w:t xml:space="preserve">[-0.173, 0.060]</w:t>
                  </w:r>
                </w:p>
              </w:tc>
              <w:tc>
                <w:tcPr/>
                <w:p>
                  <w:pPr>
                    <w:pStyle w:val="Compact"/>
                    <w:jc w:val="left"/>
                    <w:jc w:val="center"/>
                  </w:pPr>
                  <w:r>
                    <w:t xml:space="preserve">0.34</w:t>
                  </w:r>
                </w:p>
              </w:tc>
            </w:tr>
            <w:tr>
              <w:tc>
                <w:tcPr/>
                <w:p>
                  <w:pPr>
                    <w:pStyle w:val="Compact"/>
                    <w:jc w:val="left"/>
                    <w:jc w:val="center"/>
                  </w:pPr>
                  <w:r>
                    <w:t xml:space="preserve">Training size Base-Generalized*</w:t>
                  </w:r>
                </w:p>
              </w:tc>
              <w:tc>
                <w:tcPr/>
                <w:p>
                  <w:pPr>
                    <w:pStyle w:val="Compact"/>
                    <w:jc w:val="left"/>
                    <w:jc w:val="center"/>
                  </w:pPr>
                  <w:r>
                    <w:t xml:space="preserve">0.011</w:t>
                  </w:r>
                </w:p>
              </w:tc>
              <w:tc>
                <w:tcPr/>
                <w:p>
                  <w:pPr>
                    <w:pStyle w:val="Compact"/>
                    <w:jc w:val="left"/>
                    <w:jc w:val="center"/>
                  </w:pPr>
                  <w:r>
                    <w:t xml:space="preserve">[-0.060, 0.081]</w:t>
                  </w:r>
                </w:p>
              </w:tc>
              <w:tc>
                <w:tcPr/>
                <w:p>
                  <w:pPr>
                    <w:pStyle w:val="Compact"/>
                    <w:jc w:val="left"/>
                    <w:jc w:val="center"/>
                  </w:pPr>
                  <w:r>
                    <w:t xml:space="preserve">0.77</w:t>
                  </w:r>
                </w:p>
              </w:tc>
            </w:tr>
            <w:tr>
              <w:tc>
                <w:tcPr/>
                <w:p>
                  <w:pPr>
                    <w:pStyle w:val="Compact"/>
                    <w:jc w:val="left"/>
                    <w:jc w:val="center"/>
                  </w:pPr>
                  <w:r>
                    <w:t xml:space="preserve">Training size tl**</w:t>
                  </w:r>
                </w:p>
              </w:tc>
              <w:tc>
                <w:tcPr/>
                <w:p>
                  <w:pPr>
                    <w:pStyle w:val="Compact"/>
                    <w:jc w:val="left"/>
                    <w:jc w:val="center"/>
                  </w:pPr>
                  <w:r>
                    <w:t xml:space="preserve">-0.111</w:t>
                  </w:r>
                </w:p>
              </w:tc>
              <w:tc>
                <w:tcPr/>
                <w:p>
                  <w:pPr>
                    <w:pStyle w:val="Compact"/>
                    <w:jc w:val="left"/>
                    <w:jc w:val="center"/>
                  </w:pPr>
                  <w:r>
                    <w:t xml:space="preserve">[-0.161, -0.061]</w:t>
                  </w:r>
                </w:p>
              </w:tc>
              <w:tc>
                <w:tcPr/>
                <w:p>
                  <w:pPr>
                    <w:pStyle w:val="Compact"/>
                    <w:jc w:val="left"/>
                    <w:jc w:val="center"/>
                  </w:pPr>
                  <w:r>
                    <w:t xml:space="preserve">&lt;0.001</w:t>
                  </w:r>
                </w:p>
              </w:tc>
            </w:tr>
            <w:tr>
              <w:tc>
                <w:tcPr/>
                <w:p>
                  <w:pPr>
                    <w:pStyle w:val="Compact"/>
                    <w:jc w:val="left"/>
                    <w:jc w:val="center"/>
                  </w:pPr>
                  <w:r>
                    <w:t xml:space="preserve">Ratio (per 10 units)</w:t>
                  </w:r>
                </w:p>
              </w:tc>
              <w:tc>
                <w:tcPr/>
                <w:p>
                  <w:pPr>
                    <w:pStyle w:val="Compact"/>
                    <w:jc w:val="left"/>
                    <w:jc w:val="center"/>
                  </w:pPr>
                  <w:r>
                    <w:t xml:space="preserve">-0.001</w:t>
                  </w:r>
                </w:p>
              </w:tc>
              <w:tc>
                <w:tcPr/>
                <w:p>
                  <w:pPr>
                    <w:pStyle w:val="Compact"/>
                    <w:jc w:val="left"/>
                    <w:jc w:val="center"/>
                  </w:pPr>
                  <w:r>
                    <w:t xml:space="preserve">[-0.003, 0.001]</w:t>
                  </w:r>
                </w:p>
              </w:tc>
              <w:tc>
                <w:tcPr/>
                <w:p>
                  <w:pPr>
                    <w:pStyle w:val="Compact"/>
                    <w:jc w:val="left"/>
                    <w:jc w:val="center"/>
                  </w:pPr>
                  <w:r>
                    <w:t xml:space="preserve">0.46</w:t>
                  </w:r>
                </w:p>
              </w:tc>
            </w:tr>
            <w:tr>
              <w:tc>
                <w:tcPr/>
                <w:p>
                  <w:pPr>
                    <w:pStyle w:val="Compact"/>
                    <w:jc w:val="left"/>
                    <w:jc w:val="center"/>
                  </w:pPr>
                  <w:r>
                    <w:t xml:space="preserve">Ratio · Race</w:t>
                  </w:r>
                </w:p>
              </w:tc>
              <w:tc>
                <w:tcPr/>
                <w:p>
                  <w:pPr>
                    <w:pStyle w:val="Compact"/>
                    <w:jc w:val="left"/>
                    <w:jc w:val="center"/>
                  </w:pPr>
                  <w:r>
                    <w:t xml:space="preserve">0.002</w:t>
                  </w:r>
                </w:p>
              </w:tc>
              <w:tc>
                <w:tcPr/>
                <w:p>
                  <w:pPr>
                    <w:pStyle w:val="Compact"/>
                    <w:jc w:val="left"/>
                    <w:jc w:val="center"/>
                  </w:pPr>
                  <w:r>
                    <w:t xml:space="preserve">[-0.001, 0.005]</w:t>
                  </w:r>
                </w:p>
              </w:tc>
              <w:tc>
                <w:tcPr/>
                <w:p>
                  <w:pPr>
                    <w:pStyle w:val="Compact"/>
                    <w:jc w:val="left"/>
                    <w:jc w:val="center"/>
                  </w:pPr>
                  <w:r>
                    <w:t xml:space="preserve">0.20</w:t>
                  </w:r>
                </w:p>
              </w:tc>
            </w:tr>
          </w:tbl>
          <w:bookmarkEnd w:id="171"/>
          <w:p/>
        </w:tc>
      </w:tr>
    </w:tbl>
    <w:bookmarkEnd w:id="172"/>
    <w:bookmarkStart w:id="173" w:name="the-surveillance-error-grid-1"/>
    <w:p>
      <w:pPr>
        <w:pStyle w:val="Heading3"/>
      </w:pPr>
      <w:r>
        <w:t xml:space="preserve">The Surveillance Error Grid</w:t>
      </w:r>
    </w:p>
    <w:p>
      <w:pPr>
        <w:pStyle w:val="FirstParagraph"/>
      </w:pPr>
      <w:r>
        <w:t xml:space="preserve">Surveillance Error Grid analysis showed minimal differences between models and training data compositions. Across all models, racial groups, and training data ratios, almost all predictions fell within the</w:t>
      </w:r>
      <w:r>
        <w:t xml:space="preserve"> </w:t>
      </w:r>
      <w:r>
        <w:t xml:space="preserve">“None”</w:t>
      </w:r>
      <w:r>
        <w:t xml:space="preserve"> </w:t>
      </w:r>
      <w:r>
        <w:t xml:space="preserve">or</w:t>
      </w:r>
      <w:r>
        <w:t xml:space="preserve"> </w:t>
      </w:r>
      <w:r>
        <w:t xml:space="preserve">“Slight”</w:t>
      </w:r>
      <w:r>
        <w:t xml:space="preserve"> </w:t>
      </w:r>
      <w:r>
        <w:t xml:space="preserve">risk zones, while approximately 3–6% were classified as</w:t>
      </w:r>
      <w:r>
        <w:t xml:space="preserve"> </w:t>
      </w:r>
      <w:r>
        <w:t xml:space="preserve">“Moderate”</w:t>
      </w:r>
      <w:r>
        <w:t xml:space="preserve"> </w:t>
      </w:r>
      <w:r>
        <w:t xml:space="preserve">risk and no predictions were classified as</w:t>
      </w:r>
      <w:r>
        <w:t xml:space="preserve"> </w:t>
      </w:r>
      <w:r>
        <w:t xml:space="preserve">“High”</w:t>
      </w:r>
      <w:r>
        <w:t xml:space="preserve"> </w:t>
      </w:r>
      <w:r>
        <w:t xml:space="preserve">or</w:t>
      </w:r>
      <w:r>
        <w:t xml:space="preserve"> </w:t>
      </w:r>
      <w:r>
        <w:t xml:space="preserve">“Extreme”</w:t>
      </w:r>
      <w:r>
        <w:t xml:space="preserve"> </w:t>
      </w:r>
      <w:r>
        <w:t xml:space="preserve">risk (</w:t>
      </w:r>
      <w:hyperlink w:anchor="sec-suppl-seg-results">
        <w:r>
          <w:rPr>
            <w:rStyle w:val="Hyperlink"/>
          </w:rPr>
          <w:t xml:space="preserve">Appendix F</w:t>
        </w:r>
      </w:hyperlink>
      <w:r>
        <w:t xml:space="preserve">). These findings indicate that the small differences in RMSE observed between models were unlikely to be clinically meaningful.</w:t>
      </w:r>
    </w:p>
    <w:bookmarkEnd w:id="173"/>
    <w:bookmarkEnd w:id="174"/>
    <w:bookmarkEnd w:id="175"/>
    <w:bookmarkStart w:id="176" w:name="discussion"/>
    <w:p>
      <w:pPr>
        <w:pStyle w:val="Heading1"/>
      </w:pPr>
      <w:r>
        <w:t xml:space="preserve">5. Discussion</w:t>
      </w:r>
    </w:p>
    <w:bookmarkEnd w:id="176"/>
    <w:bookmarkStart w:id="178" w:name="main-findings"/>
    <w:p>
      <w:pPr>
        <w:pStyle w:val="Heading1"/>
      </w:pPr>
      <w:r>
        <w:t xml:space="preserve">6. Main findings</w:t>
      </w:r>
    </w:p>
    <w:p>
      <w:pPr>
        <w:pStyle w:val="Compact"/>
        <w:numPr>
          <w:ilvl w:val="0"/>
          <w:numId w:val="1016"/>
        </w:numPr>
      </w:pPr>
      <w:r>
        <w:t xml:space="preserve">Scoping review highlighted a chaotic landscape of wildly different study designs in the literature</w:t>
      </w:r>
    </w:p>
    <w:p>
      <w:pPr>
        <w:pStyle w:val="Compact"/>
        <w:numPr>
          <w:ilvl w:val="0"/>
          <w:numId w:val="1016"/>
        </w:numPr>
      </w:pPr>
      <w:r>
        <w:t xml:space="preserve">Mention other reviews, Yapanis + the other one that I forgot the name of</w:t>
      </w:r>
    </w:p>
    <w:p>
      <w:pPr>
        <w:pStyle w:val="Compact"/>
        <w:numPr>
          <w:ilvl w:val="0"/>
          <w:numId w:val="1016"/>
        </w:numPr>
      </w:pPr>
      <w:r>
        <w:t xml:space="preserve">Representation learning of CGM data can capture complex patterns in glucose dynamics that are not captured by traditional CGM metrics</w:t>
      </w:r>
    </w:p>
    <w:p>
      <w:pPr>
        <w:pStyle w:val="Compact"/>
        <w:numPr>
          <w:ilvl w:val="0"/>
          <w:numId w:val="1016"/>
        </w:numPr>
      </w:pPr>
      <w:r>
        <w:t xml:space="preserve">Machine learning models can predict NT-proBNP levels using CGM data, however the performance of these models is modest and there is still room for improvement</w:t>
      </w:r>
    </w:p>
    <w:p>
      <w:pPr>
        <w:pStyle w:val="Compact"/>
        <w:numPr>
          <w:ilvl w:val="0"/>
          <w:numId w:val="1016"/>
        </w:numPr>
      </w:pPr>
      <w:r>
        <w:t xml:space="preserve">Bias is a concern in machine learning models, and fine-tuning on a subset of the data can help mitigate bias as measured by fairness metrics</w:t>
      </w:r>
    </w:p>
    <w:p>
      <w:pPr>
        <w:pStyle w:val="Compact"/>
        <w:numPr>
          <w:ilvl w:val="0"/>
          <w:numId w:val="1016"/>
        </w:numPr>
      </w:pPr>
      <w:r>
        <w:t xml:space="preserve">Grouped fairness is easier to evaluate and mitigate than individual fairness, but it is still an important step in ensuring that machine learning models are equitable and do not perpetuate existing biases in healthcare.</w:t>
      </w:r>
      <w:r>
        <w:t xml:space="preserve"> </w:t>
      </w:r>
    </w:p>
    <w:p>
      <w:pPr>
        <w:pStyle w:val="Compact"/>
        <w:numPr>
          <w:ilvl w:val="0"/>
          <w:numId w:val="1016"/>
        </w:numPr>
      </w:pPr>
      <w:r>
        <w:t xml:space="preserve">CGM contains clinically relevant information beyond glucose monitoring.</w:t>
      </w:r>
    </w:p>
    <w:p>
      <w:pPr>
        <w:pStyle w:val="Compact"/>
        <w:numPr>
          <w:ilvl w:val="0"/>
          <w:numId w:val="1016"/>
        </w:numPr>
      </w:pPr>
      <w:r>
        <w:t xml:space="preserve">Conventional CGM-derived metrics have been extensively investigated but evidence remains heterogeneous.</w:t>
      </w:r>
    </w:p>
    <w:p>
      <w:pPr>
        <w:pStyle w:val="Compact"/>
        <w:numPr>
          <w:ilvl w:val="0"/>
          <w:numId w:val="1016"/>
        </w:numPr>
      </w:pPr>
      <w:r>
        <w:t xml:space="preserve">Foundation models capture meaningful glycemic structure across individuals.</w:t>
      </w:r>
    </w:p>
    <w:p>
      <w:pPr>
        <w:pStyle w:val="Compact"/>
        <w:numPr>
          <w:ilvl w:val="0"/>
          <w:numId w:val="1016"/>
        </w:numPr>
      </w:pPr>
      <w:r>
        <w:t xml:space="preserve">Embeddings did not improve cardiovascular prediction in the available dataset.</w:t>
      </w:r>
    </w:p>
    <w:p>
      <w:pPr>
        <w:pStyle w:val="Compact"/>
        <w:numPr>
          <w:ilvl w:val="0"/>
          <w:numId w:val="1016"/>
        </w:numPr>
      </w:pPr>
      <w:r>
        <w:t xml:space="preserve">Fair machine learning requires attention to data composition, but transfer learning can mitigate disparities.</w:t>
      </w:r>
    </w:p>
    <w:p>
      <w:pPr>
        <w:numPr>
          <w:ilvl w:val="0"/>
          <w:numId w:val="1017"/>
        </w:numPr>
      </w:pPr>
      <w:r>
        <w:t xml:space="preserve">Does CGM contain clinically relevant cardiovascular information?</w:t>
      </w:r>
    </w:p>
    <w:p>
      <w:pPr>
        <w:numPr>
          <w:ilvl w:val="0"/>
          <w:numId w:val="1017"/>
        </w:numPr>
      </w:pPr>
      <w:r>
        <w:t xml:space="preserve">Study 1</w:t>
      </w:r>
    </w:p>
    <w:p>
      <w:pPr>
        <w:pStyle w:val="Compact"/>
        <w:numPr>
          <w:ilvl w:val="1"/>
          <w:numId w:val="1018"/>
        </w:numPr>
      </w:pPr>
      <w:r>
        <w:t xml:space="preserve">Heterogeneous literature, mostly association studies and almost no prediction studies.</w:t>
      </w:r>
    </w:p>
    <w:p>
      <w:pPr>
        <w:pStyle w:val="Compact"/>
        <w:numPr>
          <w:ilvl w:val="1"/>
          <w:numId w:val="1018"/>
        </w:numPr>
      </w:pPr>
      <w:r>
        <w:t xml:space="preserve">TIR and MAGE dominate the literature (Hopefully here add that many different outcomes for each CGM-derived metric)</w:t>
      </w:r>
    </w:p>
    <w:p>
      <w:pPr>
        <w:numPr>
          <w:ilvl w:val="0"/>
          <w:numId w:val="1017"/>
        </w:numPr>
      </w:pPr>
      <w:r>
        <w:t xml:space="preserve">Study 2</w:t>
      </w:r>
    </w:p>
    <w:p>
      <w:pPr>
        <w:pStyle w:val="Compact"/>
        <w:numPr>
          <w:ilvl w:val="1"/>
          <w:numId w:val="1019"/>
        </w:numPr>
      </w:pPr>
      <w:r>
        <w:t xml:space="preserve">TIR and MAGE predicted NT-proBNP</w:t>
      </w:r>
    </w:p>
    <w:p>
      <w:pPr>
        <w:pStyle w:val="Compact"/>
        <w:numPr>
          <w:ilvl w:val="1"/>
          <w:numId w:val="1019"/>
        </w:numPr>
      </w:pPr>
      <w:r>
        <w:t xml:space="preserve">Why not use CONGA; AI: In participants with insufficient valid CGM observations, CONGA could not be calculated reliably using the available implementation</w:t>
      </w:r>
    </w:p>
    <w:p>
      <w:pPr>
        <w:pStyle w:val="Compact"/>
        <w:numPr>
          <w:ilvl w:val="1"/>
          <w:numId w:val="1019"/>
        </w:numPr>
      </w:pPr>
      <w:r>
        <w:t xml:space="preserve">Embeddings captured glycemic control but no obvious cardiovascular structure</w:t>
      </w:r>
      <w:r>
        <w:t xml:space="preserve"> </w:t>
      </w:r>
    </w:p>
    <w:p>
      <w:pPr>
        <w:pStyle w:val="Compact"/>
        <w:numPr>
          <w:ilvl w:val="1"/>
          <w:numId w:val="1019"/>
        </w:numPr>
      </w:pPr>
      <w:r>
        <w:t xml:space="preserve">CVD is multifactorial and CGM captures only one component</w:t>
      </w:r>
    </w:p>
    <w:p>
      <w:pPr>
        <w:pStyle w:val="Compact"/>
        <w:numPr>
          <w:ilvl w:val="1"/>
          <w:numId w:val="1019"/>
        </w:numPr>
      </w:pPr>
      <w:r>
        <w:t xml:space="preserve">cross-sectional data</w:t>
      </w:r>
      <w:r>
        <w:t xml:space="preserve"> </w:t>
      </w:r>
    </w:p>
    <w:p>
      <w:pPr>
        <w:numPr>
          <w:ilvl w:val="0"/>
          <w:numId w:val="1017"/>
        </w:numPr>
      </w:pPr>
      <w:r>
        <w:t xml:space="preserve">What can foundation models contribute with beyond conventional CGM metrics?</w:t>
      </w:r>
    </w:p>
    <w:p>
      <w:pPr>
        <w:pStyle w:val="Compact"/>
        <w:numPr>
          <w:ilvl w:val="1"/>
          <w:numId w:val="1020"/>
        </w:numPr>
      </w:pPr>
      <w:r>
        <w:t xml:space="preserve">Capture more details patterns?</w:t>
      </w:r>
    </w:p>
    <w:p>
      <w:pPr>
        <w:pStyle w:val="Compact"/>
        <w:numPr>
          <w:ilvl w:val="1"/>
          <w:numId w:val="1020"/>
        </w:numPr>
      </w:pPr>
      <w:r>
        <w:t xml:space="preserve">external generalizability to known publicly available model</w:t>
      </w:r>
    </w:p>
    <w:p>
      <w:pPr>
        <w:pStyle w:val="Compact"/>
        <w:numPr>
          <w:ilvl w:val="1"/>
          <w:numId w:val="1020"/>
        </w:numPr>
      </w:pPr>
      <w:r>
        <w:t xml:space="preserve">reusable glucose representations and open access in the future</w:t>
      </w:r>
    </w:p>
    <w:p>
      <w:pPr>
        <w:pStyle w:val="Compact"/>
        <w:numPr>
          <w:ilvl w:val="1"/>
          <w:numId w:val="1020"/>
        </w:numPr>
      </w:pPr>
      <w:r>
        <w:t xml:space="preserve">meaningful representations ≠ better prediction</w:t>
      </w:r>
    </w:p>
    <w:p>
      <w:pPr>
        <w:numPr>
          <w:ilvl w:val="0"/>
          <w:numId w:val="1017"/>
        </w:numPr>
      </w:pPr>
      <w:r>
        <w:t xml:space="preserve">Machine learning in clinical prediction: complexity versus utility</w:t>
      </w:r>
    </w:p>
    <w:p>
      <w:pPr>
        <w:pStyle w:val="Compact"/>
        <w:numPr>
          <w:ilvl w:val="1"/>
          <w:numId w:val="1021"/>
        </w:numPr>
      </w:pPr>
      <w:r>
        <w:t xml:space="preserve">Traditional metrics remain competitive.</w:t>
      </w:r>
    </w:p>
    <w:p>
      <w:pPr>
        <w:pStyle w:val="Compact"/>
        <w:numPr>
          <w:ilvl w:val="1"/>
          <w:numId w:val="1021"/>
        </w:numPr>
      </w:pPr>
      <w:r>
        <w:t xml:space="preserve">Simpler models often performed as well.</w:t>
      </w:r>
    </w:p>
    <w:p>
      <w:pPr>
        <w:pStyle w:val="Compact"/>
        <w:numPr>
          <w:ilvl w:val="1"/>
          <w:numId w:val="1021"/>
        </w:numPr>
      </w:pPr>
      <w:r>
        <w:t xml:space="preserve">Foundation models UMAPs might not be the best solution -&gt; enough data to train a head?.</w:t>
      </w:r>
    </w:p>
    <w:p>
      <w:pPr>
        <w:pStyle w:val="Compact"/>
        <w:numPr>
          <w:ilvl w:val="1"/>
          <w:numId w:val="1021"/>
        </w:numPr>
      </w:pPr>
      <w:r>
        <w:t xml:space="preserve">Robust validation is essential.</w:t>
      </w:r>
    </w:p>
    <w:p>
      <w:pPr>
        <w:pStyle w:val="Compact"/>
        <w:numPr>
          <w:ilvl w:val="1"/>
          <w:numId w:val="1021"/>
        </w:numPr>
      </w:pPr>
      <w:r>
        <w:t xml:space="preserve">Optimism correction.</w:t>
      </w:r>
    </w:p>
    <w:p>
      <w:pPr>
        <w:pStyle w:val="Compact"/>
        <w:numPr>
          <w:ilvl w:val="1"/>
          <w:numId w:val="1021"/>
        </w:numPr>
      </w:pPr>
      <w:r>
        <w:t xml:space="preserve">Small datasets.</w:t>
      </w:r>
      <w:r>
        <w:t xml:space="preserve"> </w:t>
      </w:r>
    </w:p>
    <w:p>
      <w:pPr>
        <w:numPr>
          <w:ilvl w:val="0"/>
          <w:numId w:val="1022"/>
        </w:numPr>
      </w:pPr>
      <w:r>
        <w:t xml:space="preserve">Fairness and generalizability of CGM-based machine learning</w:t>
      </w:r>
    </w:p>
    <w:p>
      <w:pPr>
        <w:pStyle w:val="Compact"/>
        <w:numPr>
          <w:ilvl w:val="1"/>
          <w:numId w:val="1023"/>
        </w:numPr>
      </w:pPr>
      <w:r>
        <w:t xml:space="preserve">Study III belongs.</w:t>
      </w:r>
    </w:p>
    <w:p>
      <w:pPr>
        <w:pStyle w:val="Compact"/>
        <w:numPr>
          <w:ilvl w:val="1"/>
          <w:numId w:val="1023"/>
        </w:numPr>
      </w:pPr>
      <w:r>
        <w:t xml:space="preserve">Why fairness matters</w:t>
      </w:r>
    </w:p>
    <w:p>
      <w:pPr>
        <w:pStyle w:val="Compact"/>
        <w:numPr>
          <w:ilvl w:val="1"/>
          <w:numId w:val="1023"/>
        </w:numPr>
      </w:pPr>
      <w:r>
        <w:t xml:space="preserve">Small differences solved with TL</w:t>
      </w:r>
    </w:p>
    <w:p>
      <w:pPr>
        <w:pStyle w:val="Compact"/>
        <w:numPr>
          <w:ilvl w:val="1"/>
          <w:numId w:val="1023"/>
        </w:numPr>
      </w:pPr>
      <w:r>
        <w:t xml:space="preserve">Survaillance error grid and clinical significance or lack thereof when focused in this model</w:t>
      </w:r>
    </w:p>
    <w:p>
      <w:pPr>
        <w:pStyle w:val="Compact"/>
        <w:numPr>
          <w:ilvl w:val="1"/>
          <w:numId w:val="1023"/>
        </w:numPr>
      </w:pPr>
      <w:r>
        <w:t xml:space="preserve">Data diversity</w:t>
      </w:r>
    </w:p>
    <w:p>
      <w:pPr>
        <w:pStyle w:val="Compact"/>
        <w:numPr>
          <w:ilvl w:val="1"/>
          <w:numId w:val="1023"/>
        </w:numPr>
      </w:pPr>
      <w:r>
        <w:t xml:space="preserve">Generalizability</w:t>
      </w:r>
    </w:p>
    <w:p>
      <w:pPr>
        <w:pStyle w:val="Compact"/>
        <w:numPr>
          <w:ilvl w:val="1"/>
          <w:numId w:val="1023"/>
        </w:numPr>
      </w:pPr>
      <w:r>
        <w:t xml:space="preserve">Beyond race (age, sex, ethnicity, healthcare systems)</w:t>
      </w:r>
    </w:p>
    <w:p>
      <w:pPr>
        <w:pStyle w:val="Compact"/>
        <w:numPr>
          <w:ilvl w:val="1"/>
          <w:numId w:val="1023"/>
        </w:numPr>
      </w:pPr>
      <w:r>
        <w:t xml:space="preserve">Many studies in the literature tests a variety of different prediction horizons but it seems to always predict best, the shorter the prediction horizon is. Most often sensors do also have a higher resolution then 15 minuts (3-5 minutes resolution) (I have no idea where to place this bit so placed with study 3 for now)</w:t>
      </w:r>
    </w:p>
    <w:p>
      <w:pPr>
        <w:pStyle w:val="Compact"/>
        <w:numPr>
          <w:ilvl w:val="1"/>
          <w:numId w:val="1023"/>
        </w:numPr>
      </w:pPr>
      <w:r>
        <w:t xml:space="preserve">we attempt to mitigate bias by fine-tuning the model on a subset of the data. The results of this analysis are presented in the paper, and we find that fine-tuning the model can reduce bias as measured by fairness metrics. However, it is important to note that bias mitigation is an ongoing process, and further research is needed to develop more effective strategies for addressing bias in machine learning models in healthcare</w:t>
      </w:r>
    </w:p>
    <w:p>
      <w:pPr>
        <w:numPr>
          <w:ilvl w:val="0"/>
          <w:numId w:val="1022"/>
        </w:numPr>
      </w:pPr>
      <w:r>
        <w:t xml:space="preserve">Data driven prediction models are only as useful as the populations on which they are developed and evaluated. (Methodological considerations)</w:t>
      </w:r>
    </w:p>
    <w:p>
      <w:pPr>
        <w:pStyle w:val="Compact"/>
        <w:numPr>
          <w:ilvl w:val="1"/>
          <w:numId w:val="1024"/>
        </w:numPr>
      </w:pPr>
      <w:r>
        <w:t xml:space="preserve">Cross-sectional versus longitudinal studies</w:t>
      </w:r>
    </w:p>
    <w:p>
      <w:pPr>
        <w:pStyle w:val="Compact"/>
        <w:numPr>
          <w:ilvl w:val="1"/>
          <w:numId w:val="1024"/>
        </w:numPr>
      </w:pPr>
      <w:r>
        <w:t xml:space="preserve">Something about data and cross-sectional vs longitudinal data and how this affects the choice of methods</w:t>
      </w:r>
    </w:p>
    <w:p>
      <w:pPr>
        <w:pStyle w:val="Compact"/>
        <w:numPr>
          <w:ilvl w:val="1"/>
          <w:numId w:val="1024"/>
        </w:numPr>
      </w:pPr>
      <w:r>
        <w:t xml:space="preserve">Sample size</w:t>
      </w:r>
    </w:p>
    <w:p>
      <w:pPr>
        <w:pStyle w:val="Compact"/>
        <w:numPr>
          <w:ilvl w:val="1"/>
          <w:numId w:val="1024"/>
        </w:numPr>
      </w:pPr>
      <w:r>
        <w:t xml:space="preserve">External validation</w:t>
      </w:r>
    </w:p>
    <w:p>
      <w:pPr>
        <w:pStyle w:val="Compact"/>
        <w:numPr>
          <w:ilvl w:val="1"/>
          <w:numId w:val="1024"/>
        </w:numPr>
      </w:pPr>
      <w:r>
        <w:t xml:space="preserve">Choice of cardiovascular outcome</w:t>
      </w:r>
    </w:p>
    <w:p>
      <w:pPr>
        <w:pStyle w:val="Compact"/>
        <w:numPr>
          <w:ilvl w:val="1"/>
          <w:numId w:val="1024"/>
        </w:numPr>
      </w:pPr>
      <w:r>
        <w:t xml:space="preserve">Heterogeneity</w:t>
      </w:r>
    </w:p>
    <w:p>
      <w:pPr>
        <w:pStyle w:val="Compact"/>
        <w:numPr>
          <w:ilvl w:val="1"/>
          <w:numId w:val="1024"/>
        </w:numPr>
      </w:pPr>
      <w:r>
        <w:t xml:space="preserve">Open science</w:t>
      </w:r>
    </w:p>
    <w:p>
      <w:pPr>
        <w:pStyle w:val="Compact"/>
        <w:numPr>
          <w:ilvl w:val="1"/>
          <w:numId w:val="1024"/>
        </w:numPr>
      </w:pPr>
      <w:r>
        <w:t xml:space="preserve">T1DX dataset (half kids, half adults have stronger signal because kids have poor glycemic control) and</w:t>
      </w:r>
    </w:p>
    <w:p>
      <w:pPr>
        <w:pStyle w:val="Compact"/>
        <w:numPr>
          <w:ilvl w:val="1"/>
          <w:numId w:val="1024"/>
        </w:numPr>
      </w:pPr>
      <w:r>
        <w:t xml:space="preserve">CANCAN dataset (very specific T2D population)</w:t>
      </w:r>
    </w:p>
    <w:p>
      <w:pPr>
        <w:pStyle w:val="Compact"/>
        <w:numPr>
          <w:ilvl w:val="1"/>
          <w:numId w:val="1024"/>
        </w:numPr>
      </w:pPr>
      <w:r>
        <w:t xml:space="preserve">Mention the CANCAN dataset and the weird trend with people being better of the more comobidities</w:t>
      </w:r>
    </w:p>
    <w:p>
      <w:pPr>
        <w:pStyle w:val="Compact"/>
        <w:numPr>
          <w:ilvl w:val="1"/>
          <w:numId w:val="1024"/>
        </w:numPr>
      </w:pPr>
      <w:r>
        <w:t xml:space="preserve">Foundation model availability</w:t>
      </w:r>
      <w:r>
        <w:t xml:space="preserve"> </w:t>
      </w:r>
    </w:p>
    <w:p>
      <w:pPr>
        <w:pStyle w:val="Heading1"/>
        <w:numPr>
          <w:ilvl w:val="0"/>
          <w:numId w:val="1022"/>
        </w:numPr>
      </w:pPr>
      <w:bookmarkStart w:id="177" w:name="Xa7c1f3b9c95ec9e975adc36f20e9ea1a8e9543f"/>
      <w:r>
        <w:t xml:space="preserve">7. Clinical implications and Future perspectives</w:t>
      </w:r>
      <w:bookmarkEnd w:id="177"/>
    </w:p>
    <w:p>
      <w:pPr>
        <w:pStyle w:val="Compact"/>
        <w:numPr>
          <w:ilvl w:val="1"/>
          <w:numId w:val="1025"/>
        </w:numPr>
      </w:pPr>
      <w:r>
        <w:t xml:space="preserve">Current clinical utility of CGM-derived metrics</w:t>
      </w:r>
    </w:p>
    <w:p>
      <w:pPr>
        <w:pStyle w:val="Compact"/>
        <w:numPr>
          <w:ilvl w:val="1"/>
          <w:numId w:val="1025"/>
        </w:numPr>
      </w:pPr>
      <w:r>
        <w:t xml:space="preserve">Where foundation models may become useful (Fine-tuning foundation models, Multi-modal foundation models, Raw CGM instead of summary metrics)</w:t>
      </w:r>
    </w:p>
    <w:p>
      <w:pPr>
        <w:pStyle w:val="Compact"/>
        <w:numPr>
          <w:ilvl w:val="1"/>
          <w:numId w:val="1025"/>
        </w:numPr>
      </w:pPr>
      <w:r>
        <w:t xml:space="preserve">Importance of interpretable predictors</w:t>
      </w:r>
    </w:p>
    <w:p>
      <w:pPr>
        <w:pStyle w:val="Compact"/>
        <w:numPr>
          <w:ilvl w:val="1"/>
          <w:numId w:val="1025"/>
        </w:numPr>
      </w:pPr>
      <w:r>
        <w:t xml:space="preserve">Implications for cardiovascular risk assessment</w:t>
      </w:r>
    </w:p>
    <w:p>
      <w:pPr>
        <w:pStyle w:val="Compact"/>
        <w:numPr>
          <w:ilvl w:val="1"/>
          <w:numId w:val="1025"/>
        </w:numPr>
      </w:pPr>
      <w:r>
        <w:t xml:space="preserve">Personalized diabetes care</w:t>
      </w:r>
    </w:p>
    <w:p>
      <w:pPr>
        <w:pStyle w:val="Compact"/>
        <w:numPr>
          <w:ilvl w:val="1"/>
          <w:numId w:val="1025"/>
        </w:numPr>
      </w:pPr>
      <w:r>
        <w:t xml:space="preserve">Fair AI and External validation -&gt; Open foundation models</w:t>
      </w:r>
    </w:p>
    <w:p>
      <w:pPr>
        <w:pStyle w:val="Compact"/>
        <w:numPr>
          <w:ilvl w:val="1"/>
          <w:numId w:val="1025"/>
        </w:numPr>
      </w:pPr>
      <w:r>
        <w:t xml:space="preserve">Larger prospective cohorts</w:t>
      </w:r>
    </w:p>
    <w:p>
      <w:pPr>
        <w:pStyle w:val="Compact"/>
        <w:numPr>
          <w:ilvl w:val="1"/>
          <w:numId w:val="1025"/>
        </w:numPr>
      </w:pPr>
      <w:r>
        <w:t xml:space="preserve">mention protocol cited at the end of scoping review discussion</w:t>
      </w:r>
    </w:p>
    <w:bookmarkEnd w:id="178"/>
    <w:bookmarkStart w:id="179" w:name="conclusions"/>
    <w:p>
      <w:pPr>
        <w:pStyle w:val="Heading1"/>
      </w:pPr>
      <w:r>
        <w:t xml:space="preserve">8. Conclusions</w:t>
      </w:r>
    </w:p>
    <w:bookmarkEnd w:id="179"/>
    <w:bookmarkStart w:id="180" w:name="conclusion"/>
    <w:p>
      <w:pPr>
        <w:pStyle w:val="Heading1"/>
      </w:pPr>
      <w:r>
        <w:t xml:space="preserve">9. Conclusion</w:t>
      </w:r>
    </w:p>
    <w:p>
      <w:pPr>
        <w:pStyle w:val="Compact"/>
        <w:numPr>
          <w:ilvl w:val="0"/>
          <w:numId w:val="1026"/>
        </w:numPr>
      </w:pPr>
      <w:r>
        <w:t xml:space="preserve">CGM data has the potential to provide valuable insights into cardiovascular risk in diabetes, but there are still many challenges to overcome in terms of study design, data quality, and machine learning methods.</w:t>
      </w:r>
    </w:p>
    <w:bookmarkEnd w:id="180"/>
    <w:bookmarkStart w:id="181" w:name="perspectives"/>
    <w:p>
      <w:pPr>
        <w:pStyle w:val="Heading1"/>
      </w:pPr>
      <w:r>
        <w:t xml:space="preserve">10. Perspectives</w:t>
      </w:r>
    </w:p>
    <w:bookmarkEnd w:id="181"/>
    <w:bookmarkStart w:id="249" w:name="sec-refs"/>
    <w:p>
      <w:pPr>
        <w:pStyle w:val="Heading1"/>
      </w:pPr>
      <w:r>
        <w:t xml:space="preserve">References</w:t>
      </w:r>
    </w:p>
    <w:bookmarkStart w:id="248" w:name="refs"/>
    <w:bookmarkStart w:id="182" w:name="ref-Sacks2023"/>
    <w:p>
      <w:pPr>
        <w:pStyle w:val="Bibliography"/>
      </w:pPr>
      <w:r>
        <w:t xml:space="preserve">1.</w:t>
      </w:r>
      <w:r>
        <w:t xml:space="preserve"> </w:t>
      </w:r>
      <w:r>
        <w:t xml:space="preserve">	</w:t>
      </w:r>
      <w:r>
        <w:t xml:space="preserve">Sacks DB, Arnold M, Bakris GL, et al. Guidelines and recommendations for laboratory analysis in the diagnosis and management of diabetes mellitus. Diabetes care 2023;46(10):e151–99.</w:t>
      </w:r>
      <w:r>
        <w:t xml:space="preserve"> </w:t>
      </w:r>
    </w:p>
    <w:bookmarkEnd w:id="182"/>
    <w:bookmarkStart w:id="184" w:name="ref-IDF_ed10_Magliano2021"/>
    <w:p>
      <w:pPr>
        <w:pStyle w:val="Bibliography"/>
      </w:pPr>
      <w:r>
        <w:t xml:space="preserve">2.</w:t>
      </w:r>
      <w:r>
        <w:t xml:space="preserve"> </w:t>
      </w:r>
      <w:r>
        <w:t xml:space="preserve">	</w:t>
      </w:r>
      <w:r>
        <w:t xml:space="preserve">Magliano DJ, Boyko EJ. IDF diabetes atlas [Internet]. 10th ed. Brussels, Belgium: International Diabetes Federation; 2021. Available from:</w:t>
      </w:r>
      <w:r>
        <w:t xml:space="preserve"> </w:t>
      </w:r>
      <w:hyperlink r:id="rId183">
        <w:r>
          <w:rPr>
            <w:rStyle w:val="Hyperlink"/>
          </w:rPr>
          <w:t xml:space="preserve">https://www.ncbi.nlm.nih.gov/books/NBK581930/</w:t>
        </w:r>
      </w:hyperlink>
    </w:p>
    <w:bookmarkEnd w:id="184"/>
    <w:bookmarkStart w:id="186" w:name="ref-ADA2026_ch2"/>
    <w:p>
      <w:pPr>
        <w:pStyle w:val="Bibliography"/>
      </w:pPr>
      <w:r>
        <w:t xml:space="preserve">3.</w:t>
      </w:r>
      <w:r>
        <w:t xml:space="preserve"> </w:t>
      </w:r>
      <w:r>
        <w:t xml:space="preserve">	</w:t>
      </w:r>
      <w:r>
        <w:t xml:space="preserve">American Diabetes Association Professional Practice Committee for Diabetes*. 2.</w:t>
      </w:r>
      <w:r>
        <w:t xml:space="preserve"> </w:t>
      </w:r>
      <w:r>
        <w:t xml:space="preserve">Diagnosis</w:t>
      </w:r>
      <w:r>
        <w:t xml:space="preserve"> </w:t>
      </w:r>
      <w:r>
        <w:t xml:space="preserve">and</w:t>
      </w:r>
      <w:r>
        <w:t xml:space="preserve"> </w:t>
      </w:r>
      <w:r>
        <w:t xml:space="preserve">Classification</w:t>
      </w:r>
      <w:r>
        <w:t xml:space="preserve"> </w:t>
      </w:r>
      <w:r>
        <w:t xml:space="preserve">of</w:t>
      </w:r>
      <w:r>
        <w:t xml:space="preserve"> </w:t>
      </w:r>
      <w:r>
        <w:t xml:space="preserve">Diabetes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8];49(Supplement_1):S27–49. Available from:</w:t>
      </w:r>
      <w:r>
        <w:t xml:space="preserve"> </w:t>
      </w:r>
      <w:hyperlink r:id="rId185">
        <w:r>
          <w:rPr>
            <w:rStyle w:val="Hyperlink"/>
          </w:rPr>
          <w:t xml:space="preserve">https://doi.org/10.2337/dc26-S002</w:t>
        </w:r>
      </w:hyperlink>
    </w:p>
    <w:bookmarkEnd w:id="186"/>
    <w:bookmarkStart w:id="187" w:name="ref-Hall2020"/>
    <w:p>
      <w:pPr>
        <w:pStyle w:val="Bibliography"/>
      </w:pPr>
      <w:r>
        <w:t xml:space="preserve">4.</w:t>
      </w:r>
      <w:r>
        <w:t xml:space="preserve"> </w:t>
      </w:r>
      <w:r>
        <w:t xml:space="preserve">	</w:t>
      </w:r>
      <w:r>
        <w:t xml:space="preserve">Hall ME, Hall JE. Guyton and hall textbook of medical physiology. Elsevier; 2020.</w:t>
      </w:r>
      <w:r>
        <w:t xml:space="preserve"> </w:t>
      </w:r>
    </w:p>
    <w:bookmarkEnd w:id="187"/>
    <w:bookmarkStart w:id="188" w:name="ref-Deshpande2008"/>
    <w:p>
      <w:pPr>
        <w:pStyle w:val="Bibliography"/>
      </w:pPr>
      <w:r>
        <w:t xml:space="preserve">5.</w:t>
      </w:r>
      <w:r>
        <w:t xml:space="preserve"> </w:t>
      </w:r>
      <w:r>
        <w:t xml:space="preserve">	</w:t>
      </w:r>
      <w:r>
        <w:t xml:space="preserve">Deshpande AD, Harris-Hayes M, Schootman M. Epidemiology of diabetes and diabetes-related complications. Physical therapy 2008;88(11):1254–64.</w:t>
      </w:r>
      <w:r>
        <w:t xml:space="preserve"> </w:t>
      </w:r>
    </w:p>
    <w:bookmarkEnd w:id="188"/>
    <w:bookmarkStart w:id="190" w:name="ref-Selvin2013"/>
    <w:p>
      <w:pPr>
        <w:pStyle w:val="Bibliography"/>
      </w:pPr>
      <w:r>
        <w:t xml:space="preserve">6.</w:t>
      </w:r>
      <w:r>
        <w:t xml:space="preserve"> </w:t>
      </w:r>
      <w:r>
        <w:t xml:space="preserve">	</w:t>
      </w:r>
      <w:r>
        <w:t xml:space="preserve">Selvin E, Rawlings AM, Bergenstal RM, Coresh J, Brancati FL. No</w:t>
      </w:r>
      <w:r>
        <w:t xml:space="preserve"> </w:t>
      </w:r>
      <w:r>
        <w:t xml:space="preserve">Racial</w:t>
      </w:r>
      <w:r>
        <w:t xml:space="preserve"> </w:t>
      </w:r>
      <w:r>
        <w:t xml:space="preserve">Differences</w:t>
      </w:r>
      <w:r>
        <w:t xml:space="preserve"> </w:t>
      </w:r>
      <w:r>
        <w:t xml:space="preserve">in the</w:t>
      </w:r>
      <w:r>
        <w:t xml:space="preserve"> </w:t>
      </w:r>
      <w:r>
        <w:t xml:space="preserve">Association</w:t>
      </w:r>
      <w:r>
        <w:t xml:space="preserve"> </w:t>
      </w:r>
      <w:r>
        <w:t xml:space="preserve">of</w:t>
      </w:r>
      <w:r>
        <w:t xml:space="preserve"> </w:t>
      </w:r>
      <w:r>
        <w:t xml:space="preserve">Glycated</w:t>
      </w:r>
      <w:r>
        <w:t xml:space="preserve"> </w:t>
      </w:r>
      <w:r>
        <w:t xml:space="preserve">Hemoglobin</w:t>
      </w:r>
      <w:r>
        <w:t xml:space="preserve"> </w:t>
      </w:r>
      <w:r>
        <w:t xml:space="preserve">With</w:t>
      </w:r>
      <w:r>
        <w:t xml:space="preserve"> </w:t>
      </w:r>
      <w:r>
        <w:t xml:space="preserve">Kidney</w:t>
      </w:r>
      <w:r>
        <w:t xml:space="preserve"> </w:t>
      </w:r>
      <w:r>
        <w:t xml:space="preserve">Disease</w:t>
      </w:r>
      <w:r>
        <w:t xml:space="preserve"> </w:t>
      </w:r>
      <w:r>
        <w:t xml:space="preserve">and</w:t>
      </w:r>
      <w:r>
        <w:t xml:space="preserve"> </w:t>
      </w:r>
      <w:r>
        <w:t xml:space="preserve">Cardiovascular</w:t>
      </w:r>
      <w:r>
        <w:t xml:space="preserve"> </w:t>
      </w:r>
      <w:r>
        <w:t xml:space="preserve">Outcomes</w:t>
      </w:r>
      <w:r>
        <w:t xml:space="preserve">. Diabetes Care [Internet] 2013 [cited 2026 July 9];36(10):2995–3001. Available from:</w:t>
      </w:r>
      <w:r>
        <w:t xml:space="preserve"> </w:t>
      </w:r>
      <w:hyperlink r:id="rId189">
        <w:r>
          <w:rPr>
            <w:rStyle w:val="Hyperlink"/>
          </w:rPr>
          <w:t xml:space="preserve">https://doi.org/10.2337/dc12-2715</w:t>
        </w:r>
      </w:hyperlink>
    </w:p>
    <w:bookmarkEnd w:id="190"/>
    <w:bookmarkStart w:id="192" w:name="ref-kirk2006"/>
    <w:p>
      <w:pPr>
        <w:pStyle w:val="Bibliography"/>
      </w:pPr>
      <w:r>
        <w:t xml:space="preserve">7.</w:t>
      </w:r>
      <w:r>
        <w:t xml:space="preserve"> </w:t>
      </w:r>
      <w:r>
        <w:t xml:space="preserve">	</w:t>
      </w:r>
      <w:r>
        <w:t xml:space="preserve">Kirk JK, D’Agostino RB, Bell RA, et al. Disparities in</w:t>
      </w:r>
      <w:r>
        <w:t xml:space="preserve"> </w:t>
      </w:r>
      <w:r>
        <w:t xml:space="preserve">HbA1c</w:t>
      </w:r>
      <w:r>
        <w:t xml:space="preserve"> </w:t>
      </w:r>
      <w:r>
        <w:t xml:space="preserve">Levels</w:t>
      </w:r>
      <w:r>
        <w:t xml:space="preserve"> </w:t>
      </w:r>
      <w:r>
        <w:t xml:space="preserve">Between</w:t>
      </w:r>
      <w:r>
        <w:t xml:space="preserve"> </w:t>
      </w:r>
      <w:r>
        <w:t xml:space="preserve">African</w:t>
      </w:r>
      <w:r>
        <w:t xml:space="preserve">-</w:t>
      </w:r>
      <w:r>
        <w:t xml:space="preserve">American</w:t>
      </w:r>
      <w:r>
        <w:t xml:space="preserve"> </w:t>
      </w:r>
      <w:r>
        <w:t xml:space="preserve">and</w:t>
      </w:r>
      <w:r>
        <w:t xml:space="preserve"> </w:t>
      </w:r>
      <w:r>
        <w:t xml:space="preserve">Non</w:t>
      </w:r>
      <w:r>
        <w:t xml:space="preserve">-</w:t>
      </w:r>
      <w:r>
        <w:t xml:space="preserve">Hispanic</w:t>
      </w:r>
      <w:r>
        <w:t xml:space="preserve"> </w:t>
      </w:r>
      <w:r>
        <w:t xml:space="preserve">White</w:t>
      </w:r>
      <w:r>
        <w:t xml:space="preserve"> </w:t>
      </w:r>
      <w:r>
        <w:t xml:space="preserve">Adults</w:t>
      </w:r>
      <w:r>
        <w:t xml:space="preserve"> </w:t>
      </w:r>
      <w:r>
        <w:t xml:space="preserve">With</w:t>
      </w:r>
      <w:r>
        <w:t xml:space="preserve"> </w:t>
      </w:r>
      <w:r>
        <w:t xml:space="preserve">Diabetes</w:t>
      </w:r>
      <w:r>
        <w:t xml:space="preserve">. Diabetes care [Internet] 2006 [cited 2026 July 9];29(9):2130–6. Available from:</w:t>
      </w:r>
      <w:r>
        <w:t xml:space="preserve"> </w:t>
      </w:r>
      <w:hyperlink r:id="rId191">
        <w:r>
          <w:rPr>
            <w:rStyle w:val="Hyperlink"/>
          </w:rPr>
          <w:t xml:space="preserve">https://pmc.ncbi.nlm.nih.gov/articles/PMC3557948/</w:t>
        </w:r>
      </w:hyperlink>
    </w:p>
    <w:bookmarkEnd w:id="192"/>
    <w:bookmarkStart w:id="194" w:name="ref-ADA_2026_ch6"/>
    <w:p>
      <w:pPr>
        <w:pStyle w:val="Bibliography"/>
      </w:pPr>
      <w:r>
        <w:t xml:space="preserve">8.</w:t>
      </w:r>
      <w:r>
        <w:t xml:space="preserve"> </w:t>
      </w:r>
      <w:r>
        <w:t xml:space="preserve">	</w:t>
      </w:r>
      <w:r>
        <w:t xml:space="preserve">American Diabetes Association Professional Practice Committee for Diabetes*. 6.</w:t>
      </w:r>
      <w:r>
        <w:t xml:space="preserve"> </w:t>
      </w:r>
      <w:r>
        <w:t xml:space="preserve">Glycemic</w:t>
      </w:r>
      <w:r>
        <w:t xml:space="preserve"> </w:t>
      </w:r>
      <w:r>
        <w:t xml:space="preserve">Goals</w:t>
      </w:r>
      <w:r>
        <w:t xml:space="preserve">,</w:t>
      </w:r>
      <w:r>
        <w:t xml:space="preserve"> </w:t>
      </w:r>
      <w:r>
        <w:t xml:space="preserve">Hypoglycemia</w:t>
      </w:r>
      <w:r>
        <w:t xml:space="preserve">, and</w:t>
      </w:r>
      <w:r>
        <w:t xml:space="preserve"> </w:t>
      </w:r>
      <w:r>
        <w:t xml:space="preserve">Hyperglycemic</w:t>
      </w:r>
      <w:r>
        <w:t xml:space="preserve"> </w:t>
      </w:r>
      <w:r>
        <w:t xml:space="preserve">Crises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9];49(Supplement_1):S132–49. Available from:</w:t>
      </w:r>
      <w:r>
        <w:t xml:space="preserve"> </w:t>
      </w:r>
      <w:hyperlink r:id="rId193">
        <w:r>
          <w:rPr>
            <w:rStyle w:val="Hyperlink"/>
          </w:rPr>
          <w:t xml:space="preserve">https://doi.org/10.2337/dc26-S006</w:t>
        </w:r>
      </w:hyperlink>
    </w:p>
    <w:bookmarkEnd w:id="194"/>
    <w:bookmarkStart w:id="196" w:name="ref-IDF_2025_guidelines"/>
    <w:p>
      <w:pPr>
        <w:pStyle w:val="Bibliography"/>
      </w:pPr>
      <w:r>
        <w:t xml:space="preserve">9.</w:t>
      </w:r>
      <w:r>
        <w:t xml:space="preserve"> </w:t>
      </w:r>
      <w:r>
        <w:t xml:space="preserve">	</w:t>
      </w:r>
      <w:r>
        <w:t xml:space="preserve">International Diabetes Federation. IDF global clinical practice recommendations for managing type 2 diabetes [Internet]. Brussels, Belgium: International Diabetes Federation; 2025. Available from:</w:t>
      </w:r>
      <w:r>
        <w:t xml:space="preserve"> </w:t>
      </w:r>
      <w:hyperlink r:id="rId195">
        <w:r>
          <w:rPr>
            <w:rStyle w:val="Hyperlink"/>
          </w:rPr>
          <w:t xml:space="preserve">https://idf.org/download-global-clinical-practice-recommendations/</w:t>
        </w:r>
      </w:hyperlink>
    </w:p>
    <w:bookmarkEnd w:id="196"/>
    <w:bookmarkStart w:id="198" w:name="ref-Buscemi2010"/>
    <w:p>
      <w:pPr>
        <w:pStyle w:val="Bibliography"/>
      </w:pPr>
      <w:r>
        <w:t xml:space="preserve">10.</w:t>
      </w:r>
      <w:r>
        <w:t xml:space="preserve"> </w:t>
      </w:r>
      <w:r>
        <w:t xml:space="preserve">	</w:t>
      </w:r>
      <w:r>
        <w:t xml:space="preserve">Buscemi S, Re A, Batsis J A, et al. Glycaemic variability using continuous glucose monitoring and endothelial function in the metabolic syndrome and in</w:t>
      </w:r>
      <w:r>
        <w:t xml:space="preserve"> </w:t>
      </w:r>
      <w:r>
        <w:t xml:space="preserve">Type</w:t>
      </w:r>
      <w:r>
        <w:t xml:space="preserve"> </w:t>
      </w:r>
      <w:r>
        <w:t xml:space="preserve">2 diabetes. Comment in: Diabet Med 2011 Jan;28(1):125-6; author reply 127-8 PMID: 21166857 [https://wwwncbinlmnihgov/pubmed/21166857] Comment in: Diabet Med 2011 Jan;28(1):126; author reply 127-8 PMID: 21166858 [https://wwwncbinlmnihgov/pubmed/21166858] [Internet] 2010;27(8):872–8. Available from:</w:t>
      </w:r>
      <w:r>
        <w:t xml:space="preserve"> </w:t>
      </w:r>
      <w:hyperlink r:id="rId197">
        <w:r>
          <w:rPr>
            <w:rStyle w:val="Hyperlink"/>
          </w:rPr>
          <w:t xml:space="preserve">http://ovidsp.ovid.com/ovidweb.cgi?T=JS&amp;PAGE=reference&amp;D=med8&amp;NEWS=N&amp;AN=20653743</w:t>
        </w:r>
      </w:hyperlink>
    </w:p>
    <w:bookmarkEnd w:id="198"/>
    <w:bookmarkStart w:id="199" w:name="ref-Danne2017"/>
    <w:p>
      <w:pPr>
        <w:pStyle w:val="Bibliography"/>
      </w:pPr>
      <w:r>
        <w:t xml:space="preserve">11.</w:t>
      </w:r>
      <w:r>
        <w:t xml:space="preserve"> </w:t>
      </w:r>
      <w:r>
        <w:t xml:space="preserve">	</w:t>
      </w:r>
      <w:r>
        <w:t xml:space="preserve">Danne T, Nimri R, Battelino T, et al. International consensus on use of continuous glucose monitoring. Diabetes care 2017;40(12):1631–40.</w:t>
      </w:r>
      <w:r>
        <w:t xml:space="preserve"> </w:t>
      </w:r>
    </w:p>
    <w:bookmarkEnd w:id="199"/>
    <w:bookmarkStart w:id="201" w:name="ref-freckmann2024"/>
    <w:p>
      <w:pPr>
        <w:pStyle w:val="Bibliography"/>
      </w:pPr>
      <w:r>
        <w:t xml:space="preserve">12.</w:t>
      </w:r>
      <w:r>
        <w:t xml:space="preserve"> </w:t>
      </w:r>
      <w:r>
        <w:t xml:space="preserve">	</w:t>
      </w:r>
      <w:r>
        <w:t xml:space="preserve">Freckmann G, Schauer S, Beltzer A, et al.</w:t>
      </w:r>
      <w:r>
        <w:t xml:space="preserve"> </w:t>
      </w:r>
      <w:hyperlink r:id="rId200">
        <w:r>
          <w:rPr>
            <w:rStyle w:val="Hyperlink"/>
          </w:rPr>
          <w:t xml:space="preserve">Continuous</w:t>
        </w:r>
        <w:r>
          <w:rPr>
            <w:rStyle w:val="Hyperlink"/>
          </w:rPr>
          <w:t xml:space="preserve"> </w:t>
        </w:r>
        <w:r>
          <w:rPr>
            <w:rStyle w:val="Hyperlink"/>
          </w:rPr>
          <w:t xml:space="preserve">Glucose</w:t>
        </w:r>
        <w:r>
          <w:rPr>
            <w:rStyle w:val="Hyperlink"/>
          </w:rPr>
          <w:t xml:space="preserve"> </w:t>
        </w:r>
        <w:r>
          <w:rPr>
            <w:rStyle w:val="Hyperlink"/>
          </w:rPr>
          <w:t xml:space="preserve">Profiles</w:t>
        </w:r>
        <w:r>
          <w:rPr>
            <w:rStyle w:val="Hyperlink"/>
          </w:rPr>
          <w:t xml:space="preserve"> </w:t>
        </w:r>
        <w:r>
          <w:rPr>
            <w:rStyle w:val="Hyperlink"/>
          </w:rPr>
          <w:t xml:space="preserve">in</w:t>
        </w:r>
        <w:r>
          <w:rPr>
            <w:rStyle w:val="Hyperlink"/>
          </w:rPr>
          <w:t xml:space="preserve"> </w:t>
        </w:r>
        <w:r>
          <w:rPr>
            <w:rStyle w:val="Hyperlink"/>
          </w:rPr>
          <w:t xml:space="preserve">Healthy</w:t>
        </w:r>
        <w:r>
          <w:rPr>
            <w:rStyle w:val="Hyperlink"/>
          </w:rPr>
          <w:t xml:space="preserve"> </w:t>
        </w:r>
        <w:r>
          <w:rPr>
            <w:rStyle w:val="Hyperlink"/>
          </w:rPr>
          <w:t xml:space="preserve">People</w:t>
        </w:r>
        <w:r>
          <w:rPr>
            <w:rStyle w:val="Hyperlink"/>
          </w:rPr>
          <w:t xml:space="preserve"> </w:t>
        </w:r>
        <w:r>
          <w:rPr>
            <w:rStyle w:val="Hyperlink"/>
          </w:rPr>
          <w:t xml:space="preserve">With</w:t>
        </w:r>
        <w:r>
          <w:rPr>
            <w:rStyle w:val="Hyperlink"/>
          </w:rPr>
          <w:t xml:space="preserve"> </w:t>
        </w:r>
        <w:r>
          <w:rPr>
            <w:rStyle w:val="Hyperlink"/>
          </w:rPr>
          <w:t xml:space="preserve">Fixed</w:t>
        </w:r>
        <w:r>
          <w:rPr>
            <w:rStyle w:val="Hyperlink"/>
          </w:rPr>
          <w:t xml:space="preserve"> </w:t>
        </w:r>
        <w:r>
          <w:rPr>
            <w:rStyle w:val="Hyperlink"/>
          </w:rPr>
          <w:t xml:space="preserve">Meal</w:t>
        </w:r>
        <w:r>
          <w:rPr>
            <w:rStyle w:val="Hyperlink"/>
          </w:rPr>
          <w:t xml:space="preserve"> </w:t>
        </w:r>
        <w:r>
          <w:rPr>
            <w:rStyle w:val="Hyperlink"/>
          </w:rPr>
          <w:t xml:space="preserve">Times</w:t>
        </w:r>
        <w:r>
          <w:rPr>
            <w:rStyle w:val="Hyperlink"/>
          </w:rPr>
          <w:t xml:space="preserve"> </w:t>
        </w:r>
        <w:r>
          <w:rPr>
            <w:rStyle w:val="Hyperlink"/>
          </w:rPr>
          <w:t xml:space="preserve">and</w:t>
        </w:r>
        <w:r>
          <w:rPr>
            <w:rStyle w:val="Hyperlink"/>
          </w:rPr>
          <w:t xml:space="preserve"> </w:t>
        </w:r>
        <w:r>
          <w:rPr>
            <w:rStyle w:val="Hyperlink"/>
          </w:rPr>
          <w:t xml:space="preserve">Under</w:t>
        </w:r>
        <w:r>
          <w:rPr>
            <w:rStyle w:val="Hyperlink"/>
          </w:rPr>
          <w:t xml:space="preserve"> </w:t>
        </w:r>
        <w:r>
          <w:rPr>
            <w:rStyle w:val="Hyperlink"/>
          </w:rPr>
          <w:t xml:space="preserve">Everyday</w:t>
        </w:r>
        <w:r>
          <w:rPr>
            <w:rStyle w:val="Hyperlink"/>
          </w:rPr>
          <w:t xml:space="preserve"> </w:t>
        </w:r>
        <w:r>
          <w:rPr>
            <w:rStyle w:val="Hyperlink"/>
          </w:rPr>
          <w:t xml:space="preserve">Life</w:t>
        </w:r>
        <w:r>
          <w:rPr>
            <w:rStyle w:val="Hyperlink"/>
          </w:rPr>
          <w:t xml:space="preserve"> </w:t>
        </w:r>
        <w:r>
          <w:rPr>
            <w:rStyle w:val="Hyperlink"/>
          </w:rPr>
          <w:t xml:space="preserve">Conditions</w:t>
        </w:r>
      </w:hyperlink>
      <w:r>
        <w:t xml:space="preserve">. Journal of Diabetes Science and Technology 2024;18(2):407–13.</w:t>
      </w:r>
      <w:r>
        <w:t xml:space="preserve"> </w:t>
      </w:r>
    </w:p>
    <w:bookmarkEnd w:id="201"/>
    <w:bookmarkStart w:id="202" w:name="ref-YurunLu2025"/>
    <w:p>
      <w:pPr>
        <w:pStyle w:val="Bibliography"/>
      </w:pPr>
      <w:r>
        <w:t xml:space="preserve">13.</w:t>
      </w:r>
      <w:r>
        <w:t xml:space="preserve"> </w:t>
      </w:r>
      <w:r>
        <w:t xml:space="preserve">	</w:t>
      </w:r>
      <w:r>
        <w:t xml:space="preserve">Lu Y, Liu D, Liang Z, et al. A pretrained transformer model for decoding individual glucose dynamics from continuous glucose monitoring data. National science review 2025;12(5):nwaf039–.</w:t>
      </w:r>
      <w:r>
        <w:t xml:space="preserve"> </w:t>
      </w:r>
    </w:p>
    <w:bookmarkEnd w:id="202"/>
    <w:bookmarkStart w:id="203" w:name="ref-Pennells2023_score2dm"/>
    <w:p>
      <w:pPr>
        <w:pStyle w:val="Bibliography"/>
      </w:pPr>
      <w:r>
        <w:t xml:space="preserve">14.</w:t>
      </w:r>
      <w:r>
        <w:t xml:space="preserve"> </w:t>
      </w:r>
      <w:r>
        <w:t xml:space="preserve">	</w:t>
      </w:r>
      <w:r>
        <w:t xml:space="preserve">Pennells L, Kaptoge S, Østergaard HB, et al. SCORE2-diabetes: 10-year cardiovascular risk estimation in type 2 diabetes in europe. European heart journal 2023;44(28):2544–56.</w:t>
      </w:r>
      <w:r>
        <w:t xml:space="preserve"> </w:t>
      </w:r>
    </w:p>
    <w:bookmarkEnd w:id="203"/>
    <w:bookmarkStart w:id="204" w:name="ref-Tricco2018"/>
    <w:p>
      <w:pPr>
        <w:pStyle w:val="Bibliography"/>
      </w:pPr>
      <w:r>
        <w:t xml:space="preserve">15.</w:t>
      </w:r>
      <w:r>
        <w:t xml:space="preserve"> </w:t>
      </w:r>
      <w:r>
        <w:t xml:space="preserve">	</w:t>
      </w:r>
      <w:r>
        <w:t xml:space="preserve">Tricco AC, Lillie E, Zarin W, et al. PRISMA extension for scoping reviews (PRISMA-ScR): Checklist and explanation. Annals of internal medicine 2018;169(7):467–7.</w:t>
      </w:r>
      <w:r>
        <w:t xml:space="preserve"> </w:t>
      </w:r>
    </w:p>
    <w:bookmarkEnd w:id="204"/>
    <w:bookmarkStart w:id="206" w:name="ref-Peters2024"/>
    <w:p>
      <w:pPr>
        <w:pStyle w:val="Bibliography"/>
      </w:pPr>
      <w:r>
        <w:t xml:space="preserve">16.</w:t>
      </w:r>
      <w:r>
        <w:t xml:space="preserve"> </w:t>
      </w:r>
      <w:r>
        <w:t xml:space="preserve">	</w:t>
      </w:r>
      <w:r>
        <w:t xml:space="preserve">Peters MDJ, Godfrey C, McInerney P, Munn Z, Tricco AC, Khalil H. Chapter 10: Scoping reviews [Internet]. In: Aromataris E, Lockwood C, Porritt K, Pilla B, Jordan Z, editors. JBI manual for evidence synthesis. JBI; 2024. Available from:</w:t>
      </w:r>
      <w:r>
        <w:t xml:space="preserve"> </w:t>
      </w:r>
      <w:hyperlink r:id="rId205">
        <w:r>
          <w:rPr>
            <w:rStyle w:val="Hyperlink"/>
          </w:rPr>
          <w:t xml:space="preserve">https://jbi-global-wiki.refined.site/space/MANUAL/355862497/10.+Scoping+reviews</w:t>
        </w:r>
      </w:hyperlink>
    </w:p>
    <w:bookmarkEnd w:id="206"/>
    <w:bookmarkStart w:id="208" w:name="ref-Thomsen2026"/>
    <w:p>
      <w:pPr>
        <w:pStyle w:val="Bibliography"/>
      </w:pPr>
      <w:r>
        <w:t xml:space="preserve">17.</w:t>
      </w:r>
      <w:r>
        <w:t xml:space="preserve"> </w:t>
      </w:r>
      <w:r>
        <w:t xml:space="preserve">	</w:t>
      </w:r>
      <w:r>
        <w:t xml:space="preserve">Thomsen HB, Lebiecka-Johansen B, Nørgaard O, et al. Continuous glucose monitoring–derived metrics and cardiovascular risk among people with diabetes: Systematic scoping review. JMIR Diabetes [Internet] 2026;11:e89374. Available from:</w:t>
      </w:r>
      <w:r>
        <w:t xml:space="preserve"> </w:t>
      </w:r>
      <w:hyperlink r:id="rId207">
        <w:r>
          <w:rPr>
            <w:rStyle w:val="Hyperlink"/>
          </w:rPr>
          <w:t xml:space="preserve">https://doi.org/10.2196/89374</w:t>
        </w:r>
      </w:hyperlink>
    </w:p>
    <w:bookmarkEnd w:id="208"/>
    <w:bookmarkStart w:id="209" w:name="ref-Foreman2021"/>
    <w:p>
      <w:pPr>
        <w:pStyle w:val="Bibliography"/>
      </w:pPr>
      <w:r>
        <w:t xml:space="preserve">18.</w:t>
      </w:r>
      <w:r>
        <w:t xml:space="preserve"> </w:t>
      </w:r>
      <w:r>
        <w:t xml:space="preserve">	</w:t>
      </w:r>
      <w:r>
        <w:t xml:space="preserve">Foreman YD, Doorn WPTM van, Schaper NC, et al. Greater daily glucose variability and lower time in range assessed with continuous glucose monitoring are associated with greater aortic stiffness: The maastricht study. Diabetologia 2021;64(8):1880–92.</w:t>
      </w:r>
      <w:r>
        <w:t xml:space="preserve"> </w:t>
      </w:r>
    </w:p>
    <w:bookmarkEnd w:id="209"/>
    <w:bookmarkStart w:id="210" w:name="ref-Yapanis2022"/>
    <w:p>
      <w:pPr>
        <w:pStyle w:val="Bibliography"/>
      </w:pPr>
      <w:r>
        <w:t xml:space="preserve">19.</w:t>
      </w:r>
      <w:r>
        <w:t xml:space="preserve"> </w:t>
      </w:r>
      <w:r>
        <w:t xml:space="preserve">	</w:t>
      </w:r>
      <w:r>
        <w:t xml:space="preserve">Yapanis M, James S, Craig ME, O’Neal D, Ekinci EI. Complications of diabetes and metrics of glycemic management derived from continuous glucose monitoring. The journal of clinical endocrinology and metabolism 2022;107(6):e2221–36.</w:t>
      </w:r>
      <w:r>
        <w:t xml:space="preserve"> </w:t>
      </w:r>
    </w:p>
    <w:bookmarkEnd w:id="210"/>
    <w:bookmarkStart w:id="211" w:name="ref-Helleputte2022"/>
    <w:p>
      <w:pPr>
        <w:pStyle w:val="Bibliography"/>
      </w:pPr>
      <w:r>
        <w:t xml:space="preserve">20.</w:t>
      </w:r>
      <w:r>
        <w:t xml:space="preserve"> </w:t>
      </w:r>
      <w:r>
        <w:t xml:space="preserve">	</w:t>
      </w:r>
      <w:r>
        <w:t xml:space="preserve">Helleputte S, Calders P, Rodenbach A, et al. Time-varying parameters of glycemic control and glycation in relation to arterial stiffness in patients with type 1 diabetes. Cardiovascular diabetology 2022;21(1):277–10.</w:t>
      </w:r>
      <w:r>
        <w:t xml:space="preserve"> </w:t>
      </w:r>
    </w:p>
    <w:bookmarkEnd w:id="211"/>
    <w:bookmarkStart w:id="212" w:name="ref-Lu2021"/>
    <w:p>
      <w:pPr>
        <w:pStyle w:val="Bibliography"/>
      </w:pPr>
      <w:r>
        <w:t xml:space="preserve">21.</w:t>
      </w:r>
      <w:r>
        <w:t xml:space="preserve"> </w:t>
      </w:r>
      <w:r>
        <w:t xml:space="preserve">	</w:t>
      </w:r>
      <w:r>
        <w:t xml:space="preserve">Lu J, Wang C, Shen Y, et al. Time in range in relation to all-cause and cardiovascular mortality in patients with type 2 diabetes: A prospective cohort study. Diabetes care 2021;44(2):549–55.</w:t>
      </w:r>
      <w:r>
        <w:t xml:space="preserve"> </w:t>
      </w:r>
    </w:p>
    <w:bookmarkEnd w:id="212"/>
    <w:bookmarkStart w:id="213" w:name="ref-Martinez2021"/>
    <w:p>
      <w:pPr>
        <w:pStyle w:val="Bibliography"/>
      </w:pPr>
      <w:r>
        <w:t xml:space="preserve">22.</w:t>
      </w:r>
      <w:r>
        <w:t xml:space="preserve"> </w:t>
      </w:r>
      <w:r>
        <w:t xml:space="preserve">	</w:t>
      </w:r>
      <w:r>
        <w:t xml:space="preserve">Martinez M, Santamarina J, Pavesi A, Musso C, Umpierrez GE. Glycemic variability and cardiovascular disease in patients with type 2 diabetes. BMJ open diabetes research &amp; care 2021;9(1):e002032–.</w:t>
      </w:r>
      <w:r>
        <w:t xml:space="preserve"> </w:t>
      </w:r>
    </w:p>
    <w:bookmarkEnd w:id="213"/>
    <w:bookmarkStart w:id="214" w:name="ref-Mita2023"/>
    <w:p>
      <w:pPr>
        <w:pStyle w:val="Bibliography"/>
      </w:pPr>
      <w:r>
        <w:t xml:space="preserve">23.</w:t>
      </w:r>
      <w:r>
        <w:t xml:space="preserve"> </w:t>
      </w:r>
      <w:r>
        <w:t xml:space="preserve">	</w:t>
      </w:r>
      <w:r>
        <w:t xml:space="preserve">Mita T, Katakami N, Okada Y, et al. Continuous glucose monitoring-derived time in range and CV are associated with altered tissue characteristics of the carotid artery wall in people with type 2 diabetes. Diabetologia 2023;66(12):2356–67.</w:t>
      </w:r>
      <w:r>
        <w:t xml:space="preserve"> </w:t>
      </w:r>
    </w:p>
    <w:bookmarkEnd w:id="214"/>
    <w:bookmarkStart w:id="215" w:name="ref-Lu2020"/>
    <w:p>
      <w:pPr>
        <w:pStyle w:val="Bibliography"/>
      </w:pPr>
      <w:r>
        <w:t xml:space="preserve">24.</w:t>
      </w:r>
      <w:r>
        <w:t xml:space="preserve"> </w:t>
      </w:r>
      <w:r>
        <w:t xml:space="preserve">	</w:t>
      </w:r>
      <w:r>
        <w:t xml:space="preserve">Lu J, Ma X, Shen Y, et al. Time in range is associated with carotid intima-media thickness in type 2 diabetes. Diabetes technology &amp; therapeutics 2020;22(2):72–8.</w:t>
      </w:r>
      <w:r>
        <w:t xml:space="preserve"> </w:t>
      </w:r>
    </w:p>
    <w:bookmarkEnd w:id="215"/>
    <w:bookmarkStart w:id="216" w:name="ref-Mo2013"/>
    <w:p>
      <w:pPr>
        <w:pStyle w:val="Bibliography"/>
      </w:pPr>
      <w:r>
        <w:t xml:space="preserve">25.</w:t>
      </w:r>
      <w:r>
        <w:t xml:space="preserve"> </w:t>
      </w:r>
      <w:r>
        <w:t xml:space="preserve">	</w:t>
      </w:r>
      <w:r>
        <w:t xml:space="preserve">Mo Y, Zhou J, Li M, et al. Glycemic variability is associated with subclinical atherosclerosis in chinese type 2 diabetic patients. Cardiovascular diabetology 2013;12(1):15–5.</w:t>
      </w:r>
      <w:r>
        <w:t xml:space="preserve"> </w:t>
      </w:r>
    </w:p>
    <w:bookmarkEnd w:id="216"/>
    <w:bookmarkStart w:id="217" w:name="ref-Wakasugi2021"/>
    <w:p>
      <w:pPr>
        <w:pStyle w:val="Bibliography"/>
      </w:pPr>
      <w:r>
        <w:t xml:space="preserve">26.</w:t>
      </w:r>
      <w:r>
        <w:t xml:space="preserve"> </w:t>
      </w:r>
      <w:r>
        <w:t xml:space="preserve">	</w:t>
      </w:r>
      <w:r>
        <w:t xml:space="preserve">Wakasugi S, Mita T, Katakami N, et al. Associations between continuous glucose monitoring-derived metrics and arterial stiffness in japanese patients with type 2 diabetes. Cardiovascular diabetology 2021;20(1):15–2.</w:t>
      </w:r>
      <w:r>
        <w:t xml:space="preserve"> </w:t>
      </w:r>
    </w:p>
    <w:bookmarkEnd w:id="217"/>
    <w:bookmarkStart w:id="219" w:name="ref-Magri2018"/>
    <w:p>
      <w:pPr>
        <w:pStyle w:val="Bibliography"/>
      </w:pPr>
      <w:r>
        <w:t xml:space="preserve">27.</w:t>
      </w:r>
      <w:r>
        <w:t xml:space="preserve"> </w:t>
      </w:r>
      <w:r>
        <w:t xml:space="preserve">	</w:t>
      </w:r>
      <w:r>
        <w:t xml:space="preserve">Magri CJ, Mintoff D, Camilleri L, Xuereb RG, Galea J, Fava S. Relationship of hyperglycaemia, hypoglycaemia, and glucose variability to atherosclerotic disease in type 2 diabetes. Journal of Diabetes Research [Internet] 2018;2018(1):7464320. Available from:</w:t>
      </w:r>
      <w:r>
        <w:t xml:space="preserve"> </w:t>
      </w:r>
      <w:hyperlink r:id="rId218">
        <w:r>
          <w:rPr>
            <w:rStyle w:val="Hyperlink"/>
          </w:rPr>
          <w:t xml:space="preserve">https://onlinelibrary.wiley.com/doi/abs/10.1155/2018/7464320</w:t>
        </w:r>
      </w:hyperlink>
    </w:p>
    <w:bookmarkEnd w:id="219"/>
    <w:bookmarkStart w:id="220" w:name="ref-Su2011"/>
    <w:p>
      <w:pPr>
        <w:pStyle w:val="Bibliography"/>
      </w:pPr>
      <w:r>
        <w:t xml:space="preserve">28.</w:t>
      </w:r>
      <w:r>
        <w:t xml:space="preserve"> </w:t>
      </w:r>
      <w:r>
        <w:t xml:space="preserve">	</w:t>
      </w:r>
      <w:r>
        <w:t xml:space="preserve">Su G, Mi S, Tao H, et al. Association of glycemic variability and the presence and severity of coronary artery disease in patients with type 2 diabetes. Cardiovascular diabetology 2011;10(1):19–9.</w:t>
      </w:r>
      <w:r>
        <w:t xml:space="preserve"> </w:t>
      </w:r>
    </w:p>
    <w:bookmarkEnd w:id="220"/>
    <w:bookmarkStart w:id="221" w:name="ref-Tang2016"/>
    <w:p>
      <w:pPr>
        <w:pStyle w:val="Bibliography"/>
      </w:pPr>
      <w:r>
        <w:t xml:space="preserve">29.</w:t>
      </w:r>
      <w:r>
        <w:t xml:space="preserve"> </w:t>
      </w:r>
      <w:r>
        <w:t xml:space="preserve">	</w:t>
      </w:r>
      <w:r>
        <w:t xml:space="preserve">Tang X, Li S, Wang Y, et al. Glycemic variability evaluated by continuous glucose monitoring system is associated with the 10-y cardiovascular risk of diabetic patients with well-controlled HbA1c. Clinica chimica acta 2016;461:146–50.</w:t>
      </w:r>
      <w:r>
        <w:t xml:space="preserve"> </w:t>
      </w:r>
    </w:p>
    <w:bookmarkEnd w:id="221"/>
    <w:bookmarkStart w:id="222" w:name="ref-Zhang2013"/>
    <w:p>
      <w:pPr>
        <w:pStyle w:val="Bibliography"/>
      </w:pPr>
      <w:r>
        <w:t xml:space="preserve">30.</w:t>
      </w:r>
      <w:r>
        <w:t xml:space="preserve"> </w:t>
      </w:r>
      <w:r>
        <w:t xml:space="preserve">	</w:t>
      </w:r>
      <w:r>
        <w:t xml:space="preserve">Zhang X, Xu X, Jiao X, et al. The effects of glucose fluctuation on the severity of coronary artery disease in type 2 diabetes mellitus. Journal of diabetes research 2013;2013(2013):1–6.</w:t>
      </w:r>
      <w:r>
        <w:t xml:space="preserve"> </w:t>
      </w:r>
    </w:p>
    <w:bookmarkEnd w:id="222"/>
    <w:bookmarkStart w:id="224" w:name="ref-Thomas2023"/>
    <w:p>
      <w:pPr>
        <w:pStyle w:val="Bibliography"/>
      </w:pPr>
      <w:r>
        <w:t xml:space="preserve">31.</w:t>
      </w:r>
      <w:r>
        <w:t xml:space="preserve"> </w:t>
      </w:r>
      <w:r>
        <w:t xml:space="preserve">	</w:t>
      </w:r>
      <w:r>
        <w:t xml:space="preserve">Thomas J, Graziosi S, Brunton J, et al.</w:t>
      </w:r>
      <w:r>
        <w:t xml:space="preserve"> </w:t>
      </w:r>
      <w:r>
        <w:t xml:space="preserve">EPPI-Reviewer</w:t>
      </w:r>
      <w:r>
        <w:t xml:space="preserve">: Advanced software for systematic reviews, maps and evidence synthesis [Internet]. University College London; EPPI Centre, UCL Social Research Institute; 2023. Available from:</w:t>
      </w:r>
      <w:r>
        <w:t xml:space="preserve"> </w:t>
      </w:r>
      <w:hyperlink r:id="rId223">
        <w:r>
          <w:rPr>
            <w:rStyle w:val="Hyperlink"/>
          </w:rPr>
          <w:t xml:space="preserve">https://eppi.ioe.ac.uk/cms/er4/</w:t>
        </w:r>
      </w:hyperlink>
    </w:p>
    <w:bookmarkEnd w:id="224"/>
    <w:bookmarkStart w:id="225" w:name="ref-Haddaway2022"/>
    <w:p>
      <w:pPr>
        <w:pStyle w:val="Bibliography"/>
      </w:pPr>
      <w:r>
        <w:t xml:space="preserve">32.</w:t>
      </w:r>
      <w:r>
        <w:t xml:space="preserve"> </w:t>
      </w:r>
      <w:r>
        <w:t xml:space="preserve">	</w:t>
      </w:r>
      <w:r>
        <w:t xml:space="preserve">Haddaway NR, Grainger M, Gray CT. Citationchaser: A tool for transparent and efficient forward and backward citation chasing in systematic searching. Research synthesis methods 2022;13(4):533–45.</w:t>
      </w:r>
      <w:r>
        <w:t xml:space="preserve"> </w:t>
      </w:r>
    </w:p>
    <w:bookmarkEnd w:id="225"/>
    <w:bookmarkStart w:id="227" w:name="ref-JAEB_2016"/>
    <w:p>
      <w:pPr>
        <w:pStyle w:val="Bibliography"/>
      </w:pPr>
      <w:r>
        <w:t xml:space="preserve">33.</w:t>
      </w:r>
      <w:r>
        <w:t xml:space="preserve"> </w:t>
      </w:r>
      <w:r>
        <w:t xml:space="preserve">	</w:t>
      </w:r>
      <w:r>
        <w:t xml:space="preserve">Jaeb Center for Health Research. Jaeb center for health research: Datasets &amp; documents [Internet]. 2016 [cited 2024 Feb 20];Available from:</w:t>
      </w:r>
      <w:r>
        <w:t xml:space="preserve"> </w:t>
      </w:r>
      <w:hyperlink r:id="rId226">
        <w:r>
          <w:rPr>
            <w:rStyle w:val="Hyperlink"/>
          </w:rPr>
          <w:t xml:space="preserve">https://public.jaeb.org/datasets/diabetes</w:t>
        </w:r>
      </w:hyperlink>
    </w:p>
    <w:bookmarkEnd w:id="227"/>
    <w:bookmarkStart w:id="228" w:name="ref-Bergenstal2017"/>
    <w:p>
      <w:pPr>
        <w:pStyle w:val="Bibliography"/>
      </w:pPr>
      <w:r>
        <w:t xml:space="preserve">34.</w:t>
      </w:r>
      <w:r>
        <w:t xml:space="preserve"> </w:t>
      </w:r>
      <w:r>
        <w:t xml:space="preserve">	</w:t>
      </w:r>
      <w:r>
        <w:t xml:space="preserve">Bergenstal RM, Gal RL, Connor CG, et al. Racial differences in the relationship of glucose concentrations and hemoglobin A1c levels. Annals of Internal Medicine 2017;167(2):95–102.</w:t>
      </w:r>
      <w:r>
        <w:t xml:space="preserve"> </w:t>
      </w:r>
    </w:p>
    <w:bookmarkEnd w:id="228"/>
    <w:bookmarkStart w:id="229" w:name="ref-Kaneshiro2011"/>
    <w:p>
      <w:pPr>
        <w:pStyle w:val="Bibliography"/>
      </w:pPr>
      <w:r>
        <w:t xml:space="preserve">35.</w:t>
      </w:r>
      <w:r>
        <w:t xml:space="preserve"> </w:t>
      </w:r>
      <w:r>
        <w:t xml:space="preserve">	</w:t>
      </w:r>
      <w:r>
        <w:t xml:space="preserve">Kaneshiro B, Geling O, Gellert K, Millar L. The challenges of collecting data on race and ethnicity in a diverse, multiethnic state. Hawaii medical journal (1962) 2011;70(8):168–71.</w:t>
      </w:r>
      <w:r>
        <w:t xml:space="preserve"> </w:t>
      </w:r>
    </w:p>
    <w:bookmarkEnd w:id="229"/>
    <w:bookmarkStart w:id="230" w:name="ref-Lutsker2026"/>
    <w:p>
      <w:pPr>
        <w:pStyle w:val="Bibliography"/>
      </w:pPr>
      <w:r>
        <w:t xml:space="preserve">36.</w:t>
      </w:r>
      <w:r>
        <w:t xml:space="preserve"> </w:t>
      </w:r>
      <w:r>
        <w:t xml:space="preserve">	</w:t>
      </w:r>
      <w:r>
        <w:t xml:space="preserve">Lutsker G, Sapir G, Shilo S, et al. A foundation model for continuous glucose monitoring data. Nature (London) 2026;650(8103):978–86.</w:t>
      </w:r>
      <w:r>
        <w:t xml:space="preserve"> </w:t>
      </w:r>
    </w:p>
    <w:bookmarkEnd w:id="230"/>
    <w:bookmarkStart w:id="232" w:name="ref-McInnes2018_umap"/>
    <w:p>
      <w:pPr>
        <w:pStyle w:val="Bibliography"/>
      </w:pPr>
      <w:r>
        <w:t xml:space="preserve">37.</w:t>
      </w:r>
      <w:r>
        <w:t xml:space="preserve"> </w:t>
      </w:r>
      <w:r>
        <w:t xml:space="preserve">	</w:t>
      </w:r>
      <w:r>
        <w:t xml:space="preserve">McInnes L, Healy J, Melville J. UMAP: Uniform manifold approximation and projection for dimension reduction. arXiv preprint arXiv:180203426 [Internet] 2018;Available from:</w:t>
      </w:r>
      <w:r>
        <w:t xml:space="preserve"> </w:t>
      </w:r>
      <w:hyperlink r:id="rId231">
        <w:r>
          <w:rPr>
            <w:rStyle w:val="Hyperlink"/>
          </w:rPr>
          <w:t xml:space="preserve">https://arxiv.org/abs/1802.03426</w:t>
        </w:r>
      </w:hyperlink>
    </w:p>
    <w:bookmarkEnd w:id="232"/>
    <w:bookmarkStart w:id="234" w:name="ref-NICE_2028_guidelines"/>
    <w:p>
      <w:pPr>
        <w:pStyle w:val="Bibliography"/>
      </w:pPr>
      <w:r>
        <w:t xml:space="preserve">38.</w:t>
      </w:r>
      <w:r>
        <w:t xml:space="preserve"> </w:t>
      </w:r>
      <w:r>
        <w:t xml:space="preserve">	</w:t>
      </w:r>
      <w:r>
        <w:t xml:space="preserve">National Guideline Centre (UK). Chronic heart failure in adults: Diagnosis and management [Internet]. London, UK: National Institute for Health; Care Excellence (NICE); 2018. Available from:</w:t>
      </w:r>
      <w:r>
        <w:t xml:space="preserve"> </w:t>
      </w:r>
      <w:hyperlink r:id="rId233">
        <w:r>
          <w:rPr>
            <w:rStyle w:val="Hyperlink"/>
          </w:rPr>
          <w:t xml:space="preserve">https://www.ncbi.nlm.nih.gov/books/NBK536098/</w:t>
        </w:r>
      </w:hyperlink>
    </w:p>
    <w:bookmarkEnd w:id="234"/>
    <w:bookmarkStart w:id="235" w:name="ref-Service1970"/>
    <w:p>
      <w:pPr>
        <w:pStyle w:val="Bibliography"/>
      </w:pPr>
      <w:r>
        <w:t xml:space="preserve">39.</w:t>
      </w:r>
      <w:r>
        <w:t xml:space="preserve"> </w:t>
      </w:r>
      <w:r>
        <w:t xml:space="preserve">	</w:t>
      </w:r>
      <w:r>
        <w:t xml:space="preserve">Service FJ, Molnar GD, Rosevear JW, Ackerman E, Gatewood LC, Taylor WF. Mean amplitude of glycemic excursions, a measure of diabetic instability. Diabetes (New York, NY) 1970;19(9):644–55.</w:t>
      </w:r>
      <w:r>
        <w:t xml:space="preserve"> </w:t>
      </w:r>
    </w:p>
    <w:bookmarkEnd w:id="235"/>
    <w:bookmarkStart w:id="237" w:name="ref-Collins2024"/>
    <w:p>
      <w:pPr>
        <w:pStyle w:val="Bibliography"/>
      </w:pPr>
      <w:r>
        <w:t xml:space="preserve">40.</w:t>
      </w:r>
      <w:r>
        <w:t xml:space="preserve"> </w:t>
      </w:r>
      <w:r>
        <w:t xml:space="preserve">	</w:t>
      </w:r>
      <w:r>
        <w:t xml:space="preserve">Collins GS, Moons KGM, Dhiman P, et al. TRIPOD+AI statement: Updated guidance for reporting clinical prediction models that use regression or machine learning methods. BMJ [Internet] 2024;385. Available from:</w:t>
      </w:r>
      <w:r>
        <w:t xml:space="preserve"> </w:t>
      </w:r>
      <w:hyperlink r:id="rId236">
        <w:r>
          <w:rPr>
            <w:rStyle w:val="Hyperlink"/>
          </w:rPr>
          <w:t xml:space="preserve">https://www.bmj.com/content/385/bmj-2023-078378</w:t>
        </w:r>
      </w:hyperlink>
    </w:p>
    <w:bookmarkEnd w:id="237"/>
    <w:bookmarkStart w:id="239" w:name="ref-Riley2023"/>
    <w:p>
      <w:pPr>
        <w:pStyle w:val="Bibliography"/>
      </w:pPr>
      <w:r>
        <w:t xml:space="preserve">41.</w:t>
      </w:r>
      <w:r>
        <w:t xml:space="preserve"> </w:t>
      </w:r>
      <w:r>
        <w:t xml:space="preserve">	</w:t>
      </w:r>
      <w:r>
        <w:t xml:space="preserve">Riley RD, Collins GS. Stability of clinical prediction models developed using statistical or machine learning methods. Biometrical Journal [Internet] 2023;65(8):2200302. Available from:</w:t>
      </w:r>
      <w:r>
        <w:t xml:space="preserve"> </w:t>
      </w:r>
      <w:hyperlink r:id="rId238">
        <w:r>
          <w:rPr>
            <w:rStyle w:val="Hyperlink"/>
          </w:rPr>
          <w:t xml:space="preserve">https://onlinelibrary.wiley.com/doi/abs/10.1002/bimj.202200302</w:t>
        </w:r>
      </w:hyperlink>
    </w:p>
    <w:bookmarkEnd w:id="239"/>
    <w:bookmarkStart w:id="241" w:name="ref-VanCalster2025"/>
    <w:p>
      <w:pPr>
        <w:pStyle w:val="Bibliography"/>
      </w:pPr>
      <w:r>
        <w:t xml:space="preserve">42.</w:t>
      </w:r>
      <w:r>
        <w:t xml:space="preserve"> </w:t>
      </w:r>
      <w:r>
        <w:t xml:space="preserve">	</w:t>
      </w:r>
      <w:r>
        <w:t xml:space="preserve">Van Calster B, Collins GS, Vickers AJ, et al.</w:t>
      </w:r>
      <w:r>
        <w:t xml:space="preserve"> Evaluation of performance measures in predictive artificial intelligence models to support medical decisions: Overview and guidance. The Lancet Digital Health [Internet] 2025;7(12):100916. Available from:</w:t>
      </w:r>
      <w:r>
        <w:t xml:space="preserve"> </w:t>
      </w:r>
      <w:hyperlink r:id="rId240">
        <w:r>
          <w:rPr>
            <w:rStyle w:val="Hyperlink"/>
          </w:rPr>
          <w:t xml:space="preserve">https://www.sciencedirect.com/science/article/pii/S2589750025000986</w:t>
        </w:r>
      </w:hyperlink>
    </w:p>
    <w:bookmarkEnd w:id="241"/>
    <w:bookmarkStart w:id="243" w:name="ref-Thomsen2025"/>
    <w:p>
      <w:pPr>
        <w:pStyle w:val="Bibliography"/>
      </w:pPr>
      <w:r>
        <w:t xml:space="preserve">43.</w:t>
      </w:r>
      <w:r>
        <w:t xml:space="preserve"> </w:t>
      </w:r>
      <w:r>
        <w:t xml:space="preserve">	</w:t>
      </w:r>
      <w:r>
        <w:t xml:space="preserve">Thomsen HB, Li LY, Isaksen AA, et al.</w:t>
      </w:r>
      <w:r>
        <w:t xml:space="preserve"> </w:t>
      </w:r>
      <w:hyperlink r:id="rId242">
        <w:r>
          <w:rPr>
            <w:rStyle w:val="Hyperlink"/>
          </w:rPr>
          <w:t xml:space="preserve">Racial disparities in continuous glucose monitoring-based 60-min glucose predictions among people with type 1 diabetes</w:t>
        </w:r>
      </w:hyperlink>
      <w:r>
        <w:t xml:space="preserve">. PLOS Digital Health 2025;4(6):e0000918.</w:t>
      </w:r>
      <w:r>
        <w:t xml:space="preserve"> </w:t>
      </w:r>
    </w:p>
    <w:bookmarkEnd w:id="243"/>
    <w:bookmarkStart w:id="244" w:name="ref-Thomsen_github_1"/>
    <w:p>
      <w:pPr>
        <w:pStyle w:val="Bibliography"/>
      </w:pPr>
      <w:r>
        <w:t xml:space="preserve">44.</w:t>
      </w:r>
      <w:r>
        <w:t xml:space="preserve"> </w:t>
      </w:r>
      <w:r>
        <w:t xml:space="preserve">	</w:t>
      </w:r>
      <w:r>
        <w:t xml:space="preserve">Thomsen HB. Jchr_racial_diff: Code and data repository. GitHub repository. 2023;</w:t>
      </w:r>
    </w:p>
    <w:bookmarkEnd w:id="244"/>
    <w:bookmarkStart w:id="245" w:name="ref-Deng2021"/>
    <w:p>
      <w:pPr>
        <w:pStyle w:val="Bibliography"/>
      </w:pPr>
      <w:r>
        <w:t xml:space="preserve">45.</w:t>
      </w:r>
      <w:r>
        <w:t xml:space="preserve"> </w:t>
      </w:r>
      <w:r>
        <w:t xml:space="preserve">	</w:t>
      </w:r>
      <w:r>
        <w:t xml:space="preserve">Deng Y, Lu L, Aponte L, et al. Deep transfer learning and data augmentation improve glucose levels prediction in type 2 diabetes patients. NPJ digital medicine 2021;4(1):109–13.</w:t>
      </w:r>
      <w:r>
        <w:t xml:space="preserve"> </w:t>
      </w:r>
    </w:p>
    <w:bookmarkEnd w:id="245"/>
    <w:bookmarkStart w:id="246" w:name="ref-Tian2024"/>
    <w:p>
      <w:pPr>
        <w:pStyle w:val="Bibliography"/>
      </w:pPr>
      <w:r>
        <w:t xml:space="preserve">46.</w:t>
      </w:r>
      <w:r>
        <w:t xml:space="preserve"> </w:t>
      </w:r>
      <w:r>
        <w:t xml:space="preserve">	</w:t>
      </w:r>
      <w:r>
        <w:t xml:space="preserve">Tian T, Aaron RE, Kohn MA, Klonoff DC. The need for a modern error grid for clinical accuracy of blood glucose monitors and continuous glucose monitors. Journal of diabetes science and technology 2024;18(1):3–9.</w:t>
      </w:r>
      <w:r>
        <w:t xml:space="preserve"> </w:t>
      </w:r>
    </w:p>
    <w:bookmarkEnd w:id="246"/>
    <w:bookmarkStart w:id="247" w:name="ref-Klonoff2014"/>
    <w:p>
      <w:pPr>
        <w:pStyle w:val="Bibliography"/>
      </w:pPr>
      <w:r>
        <w:t xml:space="preserve">47.</w:t>
      </w:r>
      <w:r>
        <w:t xml:space="preserve"> </w:t>
      </w:r>
      <w:r>
        <w:t xml:space="preserve">	</w:t>
      </w:r>
      <w:r>
        <w:t xml:space="preserve">Klonoff DC, Lias C, Vigersky R, et al. The surveillance error grid. Journal of diabetes science and technology 2014;8(4):658–72.</w:t>
      </w:r>
      <w:r>
        <w:t xml:space="preserve"> </w:t>
      </w:r>
    </w:p>
    <w:bookmarkEnd w:id="247"/>
    <w:bookmarkEnd w:id="248"/>
    <w:bookmarkEnd w:id="249"/>
    <w:bookmarkStart w:id="252" w:name="sec-suppl-search-strings"/>
    <w:p>
      <w:pPr>
        <w:pStyle w:val="Heading1"/>
      </w:pPr>
      <w:r>
        <w:t xml:space="preserve">Appendix A — Study I: Search strings</w:t>
      </w:r>
    </w:p>
    <w:tbl>
      <w:tblPr>
        <w:tblStyle w:val="Table"/>
        <w:tblW w:type="pct" w:w="5000"/>
        <w:tblLayout w:type="fixed"/>
        <w:tblLook w:firstRow="0" w:lastRow="0" w:firstColumn="0" w:lastColumn="0" w:noHBand="0" w:noVBand="0" w:val="0000"/>
      </w:tblPr>
      <w:tblGrid>
        <w:gridCol w:w="7920"/>
      </w:tblGrid>
      <w:tr>
        <w:tc>
          <w:tcPr/>
          <w:bookmarkStart w:id="250" w:name="tbl-suppl-search-strings-medline"/>
          <w:p>
            <w:pPr>
              <w:jc w:val="center"/>
            </w:pPr>
            <w:pPr>
              <w:jc w:val="left"/>
              <w:spacing w:before="200"/>
              <w:pStyle w:val="ImageCaption"/>
            </w:pPr>
            <w:r>
              <w:t xml:space="preserve">Table A.1: Search in Ovid MEDLINE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Self-Monitoring/</w:t>
                  </w:r>
                </w:p>
              </w:tc>
              <w:tc>
                <w:tcPr/>
                <w:p>
                  <w:pPr>
                    <w:pStyle w:val="Compact"/>
                    <w:jc w:val="right"/>
                    <w:jc w:val="center"/>
                  </w:pPr>
                  <w:r>
                    <w:t xml:space="preserve">10241</w:t>
                  </w:r>
                </w:p>
              </w:tc>
            </w:tr>
            <w:tr>
              <w:tc>
                <w:tcPr/>
                <w:p>
                  <w:pPr>
                    <w:pStyle w:val="Compact"/>
                    <w:jc w:val="left"/>
                    <w:jc w:val="center"/>
                  </w:pPr>
                  <w:r>
                    <w:t xml:space="preserve">2</w:t>
                  </w:r>
                </w:p>
              </w:tc>
              <w:tc>
                <w:tcPr/>
                <w:p>
                  <w:pPr>
                    <w:pStyle w:val="Compact"/>
                    <w:jc w:val="left"/>
                    <w:jc w:val="center"/>
                  </w:pPr>
                  <w:r>
                    <w:t xml:space="preserve">Continuous Glucose Monitoring/</w:t>
                  </w:r>
                </w:p>
              </w:tc>
              <w:tc>
                <w:tcPr/>
                <w:p>
                  <w:pPr>
                    <w:pStyle w:val="Compact"/>
                    <w:jc w:val="right"/>
                    <w:jc w:val="center"/>
                  </w:pPr>
                  <w:r>
                    <w:t xml:space="preserve">34</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28749</m:t>
                    </m:r>
                    <m:r>
                      <m:rPr>
                        <m:sty m:val="p"/>
                      </m:rPr>
                      <m:t>|</m:t>
                    </m:r>
                    <m:r>
                      <m:rPr>
                        <m:sty m:val="p"/>
                      </m:rPr>
                      <m:t>|</m:t>
                    </m:r>
                    <m:r>
                      <m:t>4</m:t>
                    </m:r>
                    <m:r>
                      <m:rPr>
                        <m:sty m:val="p"/>
                      </m:rPr>
                      <m:t>|</m:t>
                    </m:r>
                    <m:r>
                      <m:rPr>
                        <m:sty m:val="p"/>
                      </m:rPr>
                      <m:t>(</m:t>
                    </m:r>
                    <m:r>
                      <m:t>B</m:t>
                    </m:r>
                    <m:r>
                      <m:t>l</m:t>
                    </m:r>
                    <m:r>
                      <m:t>o</m:t>
                    </m:r>
                    <m:r>
                      <m:t>o</m:t>
                    </m:r>
                    <m:r>
                      <m:t>d</m:t>
                    </m:r>
                    <m:r>
                      <m:t>G</m:t>
                    </m:r>
                    <m:r>
                      <m:t>l</m:t>
                    </m:r>
                    <m:r>
                      <m:t>u</m:t>
                    </m:r>
                    <m:r>
                      <m:t>c</m:t>
                    </m:r>
                    <m:r>
                      <m:t>o</m:t>
                    </m:r>
                    <m:r>
                      <m:t>s</m:t>
                    </m:r>
                    <m:r>
                      <m:t>e</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8669</m:t>
                    </m:r>
                    <m:r>
                      <m:rPr>
                        <m:sty m:val="p"/>
                      </m:rPr>
                      <m:t>|</m:t>
                    </m:r>
                    <m:r>
                      <m:rPr>
                        <m:sty m:val="p"/>
                      </m:rPr>
                      <m:t>|</m:t>
                    </m:r>
                    <m:r>
                      <m:t>5</m:t>
                    </m:r>
                    <m:r>
                      <m:rPr>
                        <m:sty m:val="p"/>
                      </m:rPr>
                      <m:t>|</m:t>
                    </m:r>
                    <m:r>
                      <m:t>o</m:t>
                    </m:r>
                    <m:r>
                      <m:t>r</m:t>
                    </m:r>
                    <m:r>
                      <m:rPr>
                        <m:sty m:val="p"/>
                      </m:rPr>
                      <m:t>/</m:t>
                    </m:r>
                    <m:r>
                      <m:t>1</m:t>
                    </m:r>
                    <m:r>
                      <m:rPr>
                        <m:sty m:val="p"/>
                      </m:rPr>
                      <m:t>−</m:t>
                    </m:r>
                    <m:r>
                      <m:t>4</m:t>
                    </m:r>
                    <m:r>
                      <m:rPr>
                        <m:sty m:val="p"/>
                      </m:rPr>
                      <m:t>|</m:t>
                    </m:r>
                    <m:r>
                      <m:t>38366</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t>s</m:t>
                    </m:r>
                    <m:r>
                      <m:rPr>
                        <m:sty m:val="p"/>
                      </m:rPr>
                      <m:t>/</m:t>
                    </m:r>
                    <m:r>
                      <m:rPr>
                        <m:sty m:val="p"/>
                      </m:rPr>
                      <m:t>|</m:t>
                    </m:r>
                    <m:r>
                      <m:t>2760764</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2182473</m:t>
                    </m:r>
                    <m:r>
                      <m:rPr>
                        <m:sty m:val="p"/>
                      </m:rPr>
                      <m:t>|</m:t>
                    </m:r>
                    <m:r>
                      <m:rPr>
                        <m:sty m:val="p"/>
                      </m:rPr>
                      <m:t>|</m:t>
                    </m:r>
                    <m:r>
                      <m:t>8</m:t>
                    </m:r>
                    <m:r>
                      <m:rPr>
                        <m:sty m:val="p"/>
                      </m:rPr>
                      <m:t>|</m:t>
                    </m:r>
                    <m:r>
                      <m:t>o</m:t>
                    </m:r>
                    <m:r>
                      <m:t>r</m:t>
                    </m:r>
                    <m:r>
                      <m:rPr>
                        <m:sty m:val="p"/>
                      </m:rPr>
                      <m:t>/</m:t>
                    </m:r>
                    <m:r>
                      <m:t>6</m:t>
                    </m:r>
                    <m:r>
                      <m:rPr>
                        <m:sty m:val="p"/>
                      </m:rPr>
                      <m:t>−</m:t>
                    </m:r>
                    <m:r>
                      <m:t>7</m:t>
                    </m:r>
                    <m:r>
                      <m:rPr>
                        <m:sty m:val="p"/>
                      </m:rPr>
                      <m:t>|</m:t>
                    </m:r>
                    <m:r>
                      <m:t>3971342</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518864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815092</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875527</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2416</w:t>
                  </w:r>
                </w:p>
              </w:tc>
            </w:tr>
            <w:tr>
              <w:tc>
                <w:tcPr/>
                <w:p>
                  <w:pPr>
                    <w:pStyle w:val="Compact"/>
                    <w:jc w:val="left"/>
                    <w:jc w:val="center"/>
                  </w:pPr>
                  <w:r>
                    <w:t xml:space="preserve">13</w:t>
                  </w:r>
                </w:p>
              </w:tc>
              <w:tc>
                <w:tcPr/>
                <w:p>
                  <w:pPr>
                    <w:pStyle w:val="Compact"/>
                    <w:jc w:val="left"/>
                    <w:jc w:val="center"/>
                  </w:pPr>
                  <w:r>
                    <w:t xml:space="preserve">exp Animals/ not Humans/</w:t>
                  </w:r>
                </w:p>
              </w:tc>
              <w:tc>
                <w:tcPr/>
                <w:p>
                  <w:pPr>
                    <w:pStyle w:val="Compact"/>
                    <w:jc w:val="right"/>
                    <w:jc w:val="center"/>
                  </w:pPr>
                  <w:r>
                    <w:t xml:space="preserve">5189493</w:t>
                  </w:r>
                </w:p>
              </w:tc>
            </w:tr>
            <w:tr>
              <w:tc>
                <w:tcPr/>
                <w:p>
                  <w:pPr>
                    <w:pStyle w:val="Compact"/>
                    <w:jc w:val="left"/>
                    <w:jc w:val="center"/>
                  </w:pPr>
                  <w:r>
                    <w:t xml:space="preserve">14</w:t>
                  </w:r>
                </w:p>
              </w:tc>
              <w:tc>
                <w:tcPr/>
                <w:p>
                  <w:pPr>
                    <w:pStyle w:val="Compact"/>
                    <w:jc w:val="left"/>
                    <w:jc w:val="center"/>
                  </w:pPr>
                  <w:r>
                    <w:t xml:space="preserve">12 not 13</w:t>
                  </w:r>
                </w:p>
              </w:tc>
              <w:tc>
                <w:tcPr/>
                <w:p>
                  <w:pPr>
                    <w:pStyle w:val="Compact"/>
                    <w:jc w:val="right"/>
                    <w:jc w:val="center"/>
                  </w:pPr>
                  <w:r>
                    <w:t xml:space="preserve">2300</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15</w:t>
                  </w:r>
                </w:p>
              </w:tc>
              <w:tc>
                <w:tcPr/>
                <w:p>
                  <w:pPr>
                    <w:pStyle w:val="Compact"/>
                    <w:jc w:val="left"/>
                    <w:jc w:val="center"/>
                  </w:pPr>
                  <w:r>
                    <w:t xml:space="preserve">limit 14 to (da=</w:t>
                  </w:r>
                  <w:r>
                    <w:t xml:space="preserve">“20231201-20261231”</w:t>
                  </w:r>
                  <w:r>
                    <w:t xml:space="preserve"> </w:t>
                  </w:r>
                  <w:r>
                    <w:t xml:space="preserve">or dt=</w:t>
                  </w:r>
                  <w:r>
                    <w:t xml:space="preserve">“20231201-20261231”</w:t>
                  </w:r>
                  <w:r>
                    <w:t xml:space="preserve"> </w:t>
                  </w:r>
                  <w:r>
                    <w:t xml:space="preserve">or ez=</w:t>
                  </w:r>
                  <w:r>
                    <w:t xml:space="preserve">“20231201-20261231”</w:t>
                  </w:r>
                  <w:r>
                    <w:t xml:space="preserve"> </w:t>
                  </w:r>
                  <w:r>
                    <w:t xml:space="preserve">or ed=</w:t>
                  </w:r>
                  <w:r>
                    <w:t xml:space="preserve">“20231201-20261231”</w:t>
                  </w:r>
                  <w:r>
                    <w:t xml:space="preserve">)</w:t>
                  </w:r>
                </w:p>
              </w:tc>
              <w:tc>
                <w:tcPr/>
                <w:p>
                  <w:pPr>
                    <w:pStyle w:val="Compact"/>
                    <w:jc w:val="right"/>
                    <w:jc w:val="center"/>
                  </w:pPr>
                  <w:r>
                    <w:t xml:space="preserve">310</w:t>
                  </w:r>
                </w:p>
              </w:tc>
            </w:tr>
            <w:tr>
              <w:tc>
                <w:tcPr/>
                <w:p>
                  <w:pPr>
                    <w:pStyle w:val="Compact"/>
                    <w:jc w:val="left"/>
                    <w:jc w:val="center"/>
                  </w:pPr>
                  <w:r>
                    <w:t xml:space="preserve">16</w:t>
                  </w:r>
                </w:p>
              </w:tc>
              <w:tc>
                <w:tcPr/>
                <w:p>
                  <w:pPr>
                    <w:pStyle w:val="Compact"/>
                    <w:jc w:val="left"/>
                    <w:jc w:val="center"/>
                  </w:pPr>
                  <w:r>
                    <w:t xml:space="preserve">or/14-15</w:t>
                  </w:r>
                </w:p>
              </w:tc>
              <w:tc>
                <w:tcPr/>
                <w:p>
                  <w:pPr>
                    <w:pStyle w:val="Compact"/>
                    <w:jc w:val="right"/>
                    <w:jc w:val="center"/>
                  </w:pPr>
                  <w:r>
                    <w:t xml:space="preserve">2610</w:t>
                  </w:r>
                </w:p>
              </w:tc>
            </w:tr>
          </w:tbl>
          <w:bookmarkEnd w:id="250"/>
          <w:p/>
        </w:tc>
      </w:tr>
    </w:tbl>
    <w:p/>
    <w:tbl>
      <w:tblPr>
        <w:tblStyle w:val="Table"/>
        <w:tblW w:type="pct" w:w="5000"/>
        <w:tblLayout w:type="fixed"/>
        <w:tblLook w:firstRow="0" w:lastRow="0" w:firstColumn="0" w:lastColumn="0" w:noHBand="0" w:noVBand="0" w:val="0000"/>
      </w:tblPr>
      <w:tblGrid>
        <w:gridCol w:w="7920"/>
      </w:tblGrid>
      <w:tr>
        <w:tc>
          <w:tcPr/>
          <w:bookmarkStart w:id="251" w:name="tbl-suppl-search-strings-embase"/>
          <w:p>
            <w:pPr>
              <w:jc w:val="center"/>
            </w:pPr>
            <w:pPr>
              <w:jc w:val="left"/>
              <w:spacing w:before="200"/>
              <w:pStyle w:val="ImageCaption"/>
            </w:pPr>
            <w:r>
              <w:t xml:space="preserve">Table A.2: Search in Embase (Ovid)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monitoring/</w:t>
                  </w:r>
                </w:p>
              </w:tc>
              <w:tc>
                <w:tcPr/>
                <w:p>
                  <w:pPr>
                    <w:pStyle w:val="Compact"/>
                    <w:jc w:val="right"/>
                    <w:jc w:val="center"/>
                  </w:pPr>
                  <w:r>
                    <w:t xml:space="preserve">37574</w:t>
                  </w:r>
                </w:p>
              </w:tc>
            </w:tr>
            <w:tr>
              <w:tc>
                <w:tcPr/>
                <w:p>
                  <w:pPr>
                    <w:pStyle w:val="Compact"/>
                    <w:jc w:val="left"/>
                    <w:jc w:val="center"/>
                  </w:pPr>
                  <w:r>
                    <w:t xml:space="preserve">2</w:t>
                  </w:r>
                </w:p>
              </w:tc>
              <w:tc>
                <w:tcPr/>
                <w:p>
                  <w:pPr>
                    <w:pStyle w:val="Compact"/>
                    <w:jc w:val="left"/>
                    <w:jc w:val="center"/>
                  </w:pPr>
                  <w:r>
                    <w:t xml:space="preserve">exp continuous glucose monitoring system/</w:t>
                  </w:r>
                </w:p>
              </w:tc>
              <w:tc>
                <w:tcPr/>
                <w:p>
                  <w:pPr>
                    <w:pStyle w:val="Compact"/>
                    <w:jc w:val="right"/>
                    <w:jc w:val="center"/>
                  </w:pPr>
                  <w:r>
                    <w:t xml:space="preserve">5648</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48502</m:t>
                    </m:r>
                    <m:r>
                      <m:rPr>
                        <m:sty m:val="p"/>
                      </m:rPr>
                      <m:t>|</m:t>
                    </m:r>
                    <m:r>
                      <m:rPr>
                        <m:sty m:val="p"/>
                      </m:rPr>
                      <m:t>|</m:t>
                    </m:r>
                    <m:r>
                      <m:t>4</m:t>
                    </m:r>
                    <m:r>
                      <m:rPr>
                        <m:sty m:val="p"/>
                      </m:rPr>
                      <m:t>|</m:t>
                    </m:r>
                    <m:r>
                      <m:rPr>
                        <m:sty m:val="p"/>
                      </m:rPr>
                      <m:t>(</m:t>
                    </m:r>
                    <m:r>
                      <m:t>e</m:t>
                    </m:r>
                    <m:r>
                      <m:t>x</m:t>
                    </m:r>
                    <m:r>
                      <m:t>p</m:t>
                    </m:r>
                    <m:r>
                      <m:t>g</m:t>
                    </m:r>
                    <m:r>
                      <m:t>l</m:t>
                    </m:r>
                    <m:r>
                      <m:t>u</m:t>
                    </m:r>
                    <m:r>
                      <m:t>c</m:t>
                    </m:r>
                    <m:r>
                      <m:t>o</m:t>
                    </m:r>
                    <m:r>
                      <m:t>s</m:t>
                    </m:r>
                    <m:r>
                      <m:t>e</m:t>
                    </m:r>
                    <m:r>
                      <m:t>b</m:t>
                    </m:r>
                    <m:r>
                      <m:t>l</m:t>
                    </m:r>
                    <m:r>
                      <m:t>o</m:t>
                    </m:r>
                    <m:r>
                      <m:t>o</m:t>
                    </m:r>
                    <m:r>
                      <m:t>d</m:t>
                    </m:r>
                    <m:r>
                      <m:t>l</m:t>
                    </m:r>
                    <m:r>
                      <m:t>e</m:t>
                    </m:r>
                    <m:r>
                      <m:t>v</m:t>
                    </m:r>
                    <m:r>
                      <m:t>e</m:t>
                    </m:r>
                    <m:r>
                      <m:t>l</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16430</m:t>
                    </m:r>
                    <m:r>
                      <m:rPr>
                        <m:sty m:val="p"/>
                      </m:rPr>
                      <m:t>|</m:t>
                    </m:r>
                    <m:r>
                      <m:rPr>
                        <m:sty m:val="p"/>
                      </m:rPr>
                      <m:t>|</m:t>
                    </m:r>
                    <m:r>
                      <m:t>5</m:t>
                    </m:r>
                    <m:r>
                      <m:rPr>
                        <m:sty m:val="p"/>
                      </m:rPr>
                      <m:t>|</m:t>
                    </m:r>
                    <m:r>
                      <m:t>o</m:t>
                    </m:r>
                    <m:r>
                      <m:t>r</m:t>
                    </m:r>
                    <m:r>
                      <m:rPr>
                        <m:sty m:val="p"/>
                      </m:rPr>
                      <m:t>/</m:t>
                    </m:r>
                    <m:r>
                      <m:t>1</m:t>
                    </m:r>
                    <m:r>
                      <m:rPr>
                        <m:sty m:val="p"/>
                      </m:rPr>
                      <m:t>−</m:t>
                    </m:r>
                    <m:r>
                      <m:t>4</m:t>
                    </m:r>
                    <m:r>
                      <m:rPr>
                        <m:sty m:val="p"/>
                      </m:rPr>
                      <m:t>|</m:t>
                    </m:r>
                    <m:r>
                      <m:t>81510</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rPr>
                        <m:sty m:val="p"/>
                      </m:rPr>
                      <m:t>/</m:t>
                    </m:r>
                    <m:r>
                      <m:rPr>
                        <m:sty m:val="p"/>
                      </m:rPr>
                      <m:t>|</m:t>
                    </m:r>
                    <m:r>
                      <m:t>5122163</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3044925</m:t>
                    </m:r>
                    <m:r>
                      <m:rPr>
                        <m:sty m:val="p"/>
                      </m:rPr>
                      <m:t>|</m:t>
                    </m:r>
                    <m:r>
                      <m:rPr>
                        <m:sty m:val="p"/>
                      </m:rPr>
                      <m:t>|</m:t>
                    </m:r>
                    <m:r>
                      <m:t>8</m:t>
                    </m:r>
                    <m:r>
                      <m:rPr>
                        <m:sty m:val="p"/>
                      </m:rPr>
                      <m:t>|</m:t>
                    </m:r>
                    <m:r>
                      <m:t>o</m:t>
                    </m:r>
                    <m:r>
                      <m:t>r</m:t>
                    </m:r>
                    <m:r>
                      <m:rPr>
                        <m:sty m:val="p"/>
                      </m:rPr>
                      <m:t>/</m:t>
                    </m:r>
                    <m:r>
                      <m:t>6</m:t>
                    </m:r>
                    <m:r>
                      <m:rPr>
                        <m:sty m:val="p"/>
                      </m:rPr>
                      <m:t>−</m:t>
                    </m:r>
                    <m:r>
                      <m:t>7</m:t>
                    </m:r>
                    <m:r>
                      <m:rPr>
                        <m:sty m:val="p"/>
                      </m:rPr>
                      <m:t>|</m:t>
                    </m:r>
                    <m:r>
                      <m:t>6303633</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1239184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1237019</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1501812</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11217</w:t>
                  </w:r>
                </w:p>
              </w:tc>
            </w:tr>
            <w:tr>
              <w:tc>
                <w:tcPr/>
                <w:p>
                  <w:pPr>
                    <w:pStyle w:val="Compact"/>
                    <w:jc w:val="left"/>
                    <w:jc w:val="center"/>
                  </w:pPr>
                  <w:r>
                    <w:t xml:space="preserve">13</w:t>
                  </w:r>
                </w:p>
              </w:tc>
              <w:tc>
                <w:tcPr/>
                <w:p>
                  <w:pPr>
                    <w:pStyle w:val="Compact"/>
                    <w:jc w:val="left"/>
                    <w:jc w:val="center"/>
                  </w:pPr>
                  <w:r>
                    <w:t xml:space="preserve">(rat or rats or mouse or mice or swine or porcine or murine or sheep or lambs or pigs or piglets or rabbit or rabbits or cat or cats or dog or dogs or cattle or bovine or monkey or monkeys or trout or marmoset$1).ti. and animal experiment/</w:t>
                  </w:r>
                </w:p>
              </w:tc>
              <w:tc>
                <w:tcPr/>
                <w:p>
                  <w:pPr>
                    <w:pStyle w:val="Compact"/>
                    <w:jc w:val="right"/>
                    <w:jc w:val="center"/>
                  </w:pPr>
                  <w:r>
                    <w:t xml:space="preserve">1237966</w:t>
                  </w:r>
                </w:p>
              </w:tc>
            </w:tr>
            <w:tr>
              <w:tc>
                <w:tcPr/>
                <w:p>
                  <w:pPr>
                    <w:pStyle w:val="Compact"/>
                    <w:jc w:val="left"/>
                    <w:jc w:val="center"/>
                  </w:pPr>
                  <w:r>
                    <w:t xml:space="preserve">14</w:t>
                  </w:r>
                </w:p>
              </w:tc>
              <w:tc>
                <w:tcPr/>
                <w:p>
                  <w:pPr>
                    <w:pStyle w:val="Compact"/>
                    <w:jc w:val="left"/>
                    <w:jc w:val="center"/>
                  </w:pPr>
                  <w:r>
                    <w:t xml:space="preserve">animal experiment/ not (human experiment/ or human/)</w:t>
                  </w:r>
                </w:p>
              </w:tc>
              <w:tc>
                <w:tcPr/>
                <w:p>
                  <w:pPr>
                    <w:pStyle w:val="Compact"/>
                    <w:jc w:val="right"/>
                    <w:jc w:val="center"/>
                  </w:pPr>
                  <w:r>
                    <w:t xml:space="preserve">2601109</w:t>
                  </w:r>
                </w:p>
              </w:tc>
            </w:tr>
            <w:tr>
              <w:tc>
                <w:tcPr/>
                <w:p>
                  <w:pPr>
                    <w:pStyle w:val="Compact"/>
                    <w:jc w:val="left"/>
                    <w:jc w:val="center"/>
                  </w:pPr>
                  <w:r>
                    <w:t xml:space="preserve">15</w:t>
                  </w:r>
                </w:p>
              </w:tc>
              <w:tc>
                <w:tcPr/>
                <w:p>
                  <w:pPr>
                    <w:pStyle w:val="Compact"/>
                    <w:jc w:val="left"/>
                    <w:jc w:val="center"/>
                  </w:pPr>
                  <w:r>
                    <w:t xml:space="preserve">or/13-14</w:t>
                  </w:r>
                </w:p>
              </w:tc>
              <w:tc>
                <w:tcPr/>
                <w:p>
                  <w:pPr>
                    <w:pStyle w:val="Compact"/>
                    <w:jc w:val="right"/>
                    <w:jc w:val="center"/>
                  </w:pPr>
                  <w:r>
                    <w:t xml:space="preserve">2672240</w:t>
                  </w:r>
                </w:p>
              </w:tc>
            </w:tr>
            <w:tr>
              <w:tc>
                <w:tcPr/>
                <w:p>
                  <w:pPr>
                    <w:pStyle w:val="Compact"/>
                    <w:jc w:val="left"/>
                    <w:jc w:val="center"/>
                  </w:pPr>
                  <w:r>
                    <w:t xml:space="preserve">16</w:t>
                  </w:r>
                </w:p>
              </w:tc>
              <w:tc>
                <w:tcPr/>
                <w:p>
                  <w:pPr>
                    <w:pStyle w:val="Compact"/>
                    <w:jc w:val="left"/>
                    <w:jc w:val="center"/>
                  </w:pPr>
                  <w:r>
                    <w:t xml:space="preserve">12 not 15</w:t>
                  </w:r>
                </w:p>
              </w:tc>
              <w:tc>
                <w:tcPr/>
                <w:p>
                  <w:pPr>
                    <w:pStyle w:val="Compact"/>
                    <w:jc w:val="right"/>
                    <w:jc w:val="center"/>
                  </w:pPr>
                  <w:r>
                    <w:t xml:space="preserve">10861</w:t>
                  </w:r>
                </w:p>
              </w:tc>
            </w:tr>
            <w:tr>
              <w:tc>
                <w:tcPr/>
                <w:p>
                  <w:pPr>
                    <w:pStyle w:val="Compact"/>
                    <w:jc w:val="left"/>
                    <w:jc w:val="center"/>
                  </w:pPr>
                  <w:r>
                    <w:t xml:space="preserve">17</w:t>
                  </w:r>
                </w:p>
              </w:tc>
              <w:tc>
                <w:tcPr/>
                <w:p>
                  <w:pPr>
                    <w:pStyle w:val="Compact"/>
                    <w:jc w:val="left"/>
                    <w:jc w:val="center"/>
                  </w:pPr>
                  <w:r>
                    <w:t xml:space="preserve">limit 16 to exclude medline journals</w:t>
                  </w:r>
                </w:p>
              </w:tc>
              <w:tc>
                <w:tcPr/>
                <w:p>
                  <w:pPr>
                    <w:pStyle w:val="Compact"/>
                    <w:jc w:val="right"/>
                    <w:jc w:val="center"/>
                  </w:pPr>
                  <w:r>
                    <w:t xml:space="preserve">2176</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18</w:t>
                  </w:r>
                </w:p>
              </w:tc>
              <w:tc>
                <w:tcPr/>
                <w:p>
                  <w:pPr>
                    <w:pStyle w:val="Compact"/>
                    <w:jc w:val="left"/>
                    <w:jc w:val="center"/>
                  </w:pPr>
                  <w:r>
                    <w:t xml:space="preserve">limit 17 to (dc=</w:t>
                  </w:r>
                  <w:r>
                    <w:t xml:space="preserve">“20231201-20261231”</w:t>
                  </w:r>
                  <w:r>
                    <w:t xml:space="preserve"> </w:t>
                  </w:r>
                  <w:r>
                    <w:t xml:space="preserve">or dd=</w:t>
                  </w:r>
                  <w:r>
                    <w:t xml:space="preserve">“20231201-20261231”</w:t>
                  </w:r>
                  <w:r>
                    <w:t xml:space="preserve"> </w:t>
                  </w:r>
                  <w:r>
                    <w:t xml:space="preserve">or rd=</w:t>
                  </w:r>
                  <w:r>
                    <w:t xml:space="preserve">“20231201-20261231”</w:t>
                  </w:r>
                  <w:r>
                    <w:t xml:space="preserve">)</w:t>
                  </w:r>
                </w:p>
              </w:tc>
              <w:tc>
                <w:tcPr/>
                <w:p>
                  <w:pPr>
                    <w:pStyle w:val="Compact"/>
                    <w:jc w:val="right"/>
                    <w:jc w:val="center"/>
                  </w:pPr>
                  <w:r>
                    <w:t xml:space="preserve">467</w:t>
                  </w:r>
                </w:p>
              </w:tc>
            </w:tr>
            <w:tr>
              <w:tc>
                <w:tcPr/>
                <w:p>
                  <w:pPr>
                    <w:pStyle w:val="Compact"/>
                    <w:jc w:val="left"/>
                    <w:jc w:val="center"/>
                  </w:pPr>
                  <w:r>
                    <w:t xml:space="preserve">19</w:t>
                  </w:r>
                </w:p>
              </w:tc>
              <w:tc>
                <w:tcPr/>
                <w:p>
                  <w:pPr>
                    <w:pStyle w:val="Compact"/>
                    <w:jc w:val="left"/>
                    <w:jc w:val="center"/>
                  </w:pPr>
                  <w:r>
                    <w:t xml:space="preserve">or/17-18</w:t>
                  </w:r>
                </w:p>
              </w:tc>
              <w:tc>
                <w:tcPr/>
                <w:p>
                  <w:pPr>
                    <w:pStyle w:val="Compact"/>
                    <w:jc w:val="right"/>
                    <w:jc w:val="center"/>
                  </w:pPr>
                  <w:r>
                    <w:t xml:space="preserve">2643</w:t>
                  </w:r>
                </w:p>
              </w:tc>
            </w:tr>
          </w:tbl>
          <w:bookmarkEnd w:id="251"/>
          <w:p/>
        </w:tc>
      </w:tr>
    </w:tbl>
    <w:bookmarkEnd w:id="252"/>
    <w:bookmarkStart w:id="253" w:name="sec-suppl-study1-reports"/>
    <w:p>
      <w:pPr>
        <w:pStyle w:val="Heading1"/>
      </w:pPr>
      <w:r>
        <w:t xml:space="preserve">Appendix A — Study I: Included and excluded reports</w:t>
      </w:r>
    </w:p>
    <w:bookmarkEnd w:id="253"/>
    <w:bookmarkStart w:id="254" w:name="sec-suppl-geo-map"/>
    <w:p>
      <w:pPr>
        <w:pStyle w:val="Heading1"/>
      </w:pPr>
      <w:r>
        <w:t xml:space="preserve">Appendix A — Study I: Geographical location</w:t>
      </w:r>
    </w:p>
    <w:p>
      <w:pPr>
        <w:pStyle w:val="FirstParagraph"/>
      </w:pPr>
      <w:r>
        <w:t xml:space="preserve">Asia (n=27)</w:t>
      </w:r>
      <w:r>
        <w:t xml:space="preserve"> </w:t>
      </w:r>
      <w:r>
        <w:t xml:space="preserve">• China (n=19)</w:t>
      </w:r>
      <w:r>
        <w:t xml:space="preserve"> </w:t>
      </w:r>
      <w:r>
        <w:t xml:space="preserve">• Japan (n=8)</w:t>
      </w:r>
      <w:r>
        <w:t xml:space="preserve"> </w:t>
      </w:r>
      <w:r>
        <w:t xml:space="preserve">Europe (n=22)</w:t>
      </w:r>
      <w:r>
        <w:t xml:space="preserve"> </w:t>
      </w:r>
      <w:r>
        <w:t xml:space="preserve">• Italy (n=7)</w:t>
      </w:r>
      <w:r>
        <w:t xml:space="preserve"> </w:t>
      </w:r>
      <w:r>
        <w:t xml:space="preserve">• 3 Belgium (n=3)</w:t>
      </w:r>
      <w:r>
        <w:t xml:space="preserve"> </w:t>
      </w:r>
      <w:r>
        <w:t xml:space="preserve">• 2 Ukraine (n=2)</w:t>
      </w:r>
      <w:r>
        <w:t xml:space="preserve"> </w:t>
      </w:r>
      <w:r>
        <w:t xml:space="preserve">• 2 Finland (n=2)</w:t>
      </w:r>
      <w:r>
        <w:t xml:space="preserve"> </w:t>
      </w:r>
      <w:r>
        <w:t xml:space="preserve">• 2 Spain (n=2)</w:t>
      </w:r>
      <w:r>
        <w:t xml:space="preserve"> </w:t>
      </w:r>
      <w:r>
        <w:t xml:space="preserve">• 1 Greece (n=1)</w:t>
      </w:r>
      <w:r>
        <w:t xml:space="preserve"> </w:t>
      </w:r>
      <w:r>
        <w:t xml:space="preserve">• 1 Malta (n=1)</w:t>
      </w:r>
      <w:r>
        <w:t xml:space="preserve"> </w:t>
      </w:r>
      <w:r>
        <w:t xml:space="preserve">• 1 Sweden (n=1)</w:t>
      </w:r>
      <w:r>
        <w:t xml:space="preserve"> </w:t>
      </w:r>
      <w:r>
        <w:t xml:space="preserve">• 1 The Netherlands (n=1)</w:t>
      </w:r>
      <w:r>
        <w:t xml:space="preserve"> </w:t>
      </w:r>
      <w:r>
        <w:t xml:space="preserve">• 1 Portugal (n=1)</w:t>
      </w:r>
      <w:r>
        <w:t xml:space="preserve"> </w:t>
      </w:r>
      <w:r>
        <w:t xml:space="preserve">• 1 Russia (n=1)</w:t>
      </w:r>
      <w:r>
        <w:t xml:space="preserve"> </w:t>
      </w:r>
      <w:r>
        <w:t xml:space="preserve">North America (n=2)</w:t>
      </w:r>
      <w:r>
        <w:t xml:space="preserve"> </w:t>
      </w:r>
      <w:r>
        <w:t xml:space="preserve">• 2 USA (n=2)</w:t>
      </w:r>
      <w:r>
        <w:t xml:space="preserve"> </w:t>
      </w:r>
      <w:r>
        <w:t xml:space="preserve">Australia / Oceania (n=1)</w:t>
      </w:r>
      <w:r>
        <w:t xml:space="preserve"> </w:t>
      </w:r>
      <w:r>
        <w:t xml:space="preserve">• 1 Australia (n=1)</w:t>
      </w:r>
    </w:p>
    <w:p>
      <w:pPr>
        <w:pStyle w:val="BodyText"/>
      </w:pPr>
      <w:r>
        <w:t xml:space="preserve">Borg 2011(ADAG study) had study centers in:</w:t>
      </w:r>
      <w:r>
        <w:t xml:space="preserve"> </w:t>
      </w:r>
      <w:r>
        <w:t xml:space="preserve">• Europe: Netherlands, Denmark, Italy</w:t>
      </w:r>
      <w:r>
        <w:t xml:space="preserve"> </w:t>
      </w:r>
      <w:r>
        <w:t xml:space="preserve">• Africa: 2011</w:t>
      </w:r>
      <w:r>
        <w:t xml:space="preserve"> </w:t>
      </w:r>
      <w:r>
        <w:t xml:space="preserve">• North America: USA</w:t>
      </w:r>
    </w:p>
    <w:p>
      <w:pPr>
        <w:pStyle w:val="BodyText"/>
      </w:pPr>
      <w:r>
        <w:t xml:space="preserve">Borg R, Kuenen J C, Carstensen B, Zheng H, Nathan D M, Heine R J, et al. HbA1(c) and</w:t>
      </w:r>
      <w:r>
        <w:t xml:space="preserve"> </w:t>
      </w:r>
      <w:r>
        <w:t xml:space="preserve">mean blood glucose show stronger associations with cardiovascular disease risk factors than do postprandial glycaemia or glucose variability in persons with diabetes: the A1C-Derived Average Glucose (ADAG) study. 2011; ADAG Study Group, editor. Diabetologia. 54: 69–72. doi:10.1007/s00125-010-1918-2</w:t>
      </w:r>
    </w:p>
    <w:bookmarkEnd w:id="254"/>
    <w:bookmarkStart w:id="255" w:name="sec-suppl-subclin-results"/>
    <w:p>
      <w:pPr>
        <w:pStyle w:val="Heading1"/>
      </w:pPr>
      <w:r>
        <w:t xml:space="preserve">Appendix A — Study I: Subclinical results</w:t>
      </w:r>
    </w:p>
    <w:p>
      <w:pPr>
        <w:pStyle w:val="Compact"/>
        <w:numPr>
          <w:ilvl w:val="0"/>
          <w:numId w:val="1027"/>
        </w:numPr>
      </w:pPr>
      <w:r>
        <w:t xml:space="preserve">Add table with subclinical study design overviews</w:t>
      </w:r>
    </w:p>
    <w:p>
      <w:pPr>
        <w:pStyle w:val="Compact"/>
        <w:numPr>
          <w:ilvl w:val="0"/>
          <w:numId w:val="1028"/>
        </w:numPr>
      </w:pPr>
      <w:r>
        <w:t xml:space="preserve">Add table overview of subclinical results</w:t>
      </w:r>
    </w:p>
    <w:bookmarkEnd w:id="255"/>
    <w:bookmarkStart w:id="261" w:name="sec-suppl-pred-stability"/>
    <w:p>
      <w:pPr>
        <w:pStyle w:val="Heading1"/>
      </w:pPr>
      <w:r>
        <w:t xml:space="preserve">Appendix A — Study II: Prediction stability</w:t>
      </w:r>
    </w:p>
    <w:p>
      <w:pPr>
        <w:pStyle w:val="FirstParagraph"/>
      </w:pPr>
      <w:r>
        <w:t xml:space="preserve">Prediction stability plots (</w:t>
      </w:r>
      <w:r>
        <w:rPr>
          <w:b/>
          <w:bCs/>
        </w:rPr>
        <w:t xml:space="preserve">?@fig-pred_stability</w:t>
      </w:r>
      <w:r>
        <w:t xml:space="preserve">) revealed more stability the fewer predictors.</w:t>
      </w:r>
    </w:p>
    <w:tbl>
      <w:tblPr>
        <w:tblStyle w:val="Table"/>
        <w:tblW w:type="pct" w:w="5000"/>
        <w:tblLayout w:type="fixed"/>
        <w:tblLook w:firstRow="0" w:lastRow="0" w:firstColumn="0" w:lastColumn="0" w:noHBand="0" w:noVBand="0" w:val="0000"/>
      </w:tblPr>
      <w:tblGrid>
        <w:gridCol w:w="7920"/>
      </w:tblGrid>
      <w:tr>
        <w:tc>
          <w:tcPr/>
          <w:bookmarkStart w:id="260" w:name="fig-pred-stability"/>
          <w:p>
            <w:pPr>
              <w:pStyle w:val="Compact"/>
              <w:jc w:val="center"/>
            </w:pPr>
            <w:hyperlink r:id="rId259">
              <w:r>
                <w:drawing>
                  <wp:inline>
                    <wp:extent cx="5334000" cy="7638288"/>
                    <wp:effectExtent b="0" l="0" r="0" t="0"/>
                    <wp:docPr descr="" title="" id="257" name="Picture"/>
                    <a:graphic>
                      <a:graphicData uri="http://schemas.openxmlformats.org/drawingml/2006/picture">
                        <pic:pic>
                          <pic:nvPicPr>
                            <pic:cNvPr descr="figures/4_results_fig/study_2_prediction_stability.png" id="258" name="Picture"/>
                            <pic:cNvPicPr>
                              <a:picLocks noChangeArrowheads="1" noChangeAspect="1"/>
                            </pic:cNvPicPr>
                          </pic:nvPicPr>
                          <pic:blipFill>
                            <a:blip r:embed="rId256"/>
                            <a:stretch>
                              <a:fillRect/>
                            </a:stretch>
                          </pic:blipFill>
                          <pic:spPr bwMode="auto">
                            <a:xfrm>
                              <a:off x="0" y="0"/>
                              <a:ext cx="5334000" cy="763828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E.1: Prediction stability plots show the predictions (estimated risk) for the full dataset from the development model (equivalent to the apparent model) on the x-axis, and the predictions from all bootstrap models on the y-axis. Tight alignment along the diagonal indicates higher prediction stability.</w:t>
            </w:r>
          </w:p>
          <w:bookmarkEnd w:id="260"/>
        </w:tc>
      </w:tr>
    </w:tbl>
    <w:bookmarkEnd w:id="261"/>
    <w:bookmarkStart w:id="264" w:name="sec-suppl-seg-results"/>
    <w:p>
      <w:pPr>
        <w:pStyle w:val="Heading1"/>
      </w:pPr>
      <w:r>
        <w:t xml:space="preserve">Appendix A — Study III: Surveillance Error Grid Results</w:t>
      </w:r>
    </w:p>
    <w:tbl>
      <w:tblPr>
        <w:tblStyle w:val="Table"/>
        <w:tblW w:type="pct" w:w="5000"/>
        <w:tblLayout w:type="fixed"/>
        <w:tblLook w:firstRow="0" w:lastRow="0" w:firstColumn="0" w:lastColumn="0" w:noHBand="0" w:noVBand="0" w:val="0000"/>
      </w:tblPr>
      <w:tblGrid>
        <w:gridCol w:w="7920"/>
      </w:tblGrid>
      <w:tr>
        <w:tc>
          <w:tcPr/>
          <w:bookmarkStart w:id="262" w:name="tbl-seg-white"/>
          <w:p>
            <w:pPr>
              <w:jc w:val="center"/>
            </w:pPr>
            <w:pPr>
              <w:jc w:val="left"/>
              <w:spacing w:before="200"/>
              <w:pStyle w:val="ImageCaption"/>
            </w:pPr>
            <w:r>
              <w:t xml:space="preserve">Table F.1: Results from the Surveillance Error Grid for White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White</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262"/>
          <w:p/>
        </w:tc>
      </w:tr>
    </w:tbl>
    <w:p>
      <w:pPr>
        <w:pStyle w:val="Compact"/>
        <w:numPr>
          <w:ilvl w:val="0"/>
          <w:numId w:val="1029"/>
        </w:numPr>
      </w:pPr>
      <w:r>
        <w:t xml:space="preserve">maybe add this one to appendix, since I think they show the same things</w:t>
      </w:r>
    </w:p>
    <w:tbl>
      <w:tblPr>
        <w:tblStyle w:val="Table"/>
        <w:tblW w:type="pct" w:w="5000"/>
        <w:tblLayout w:type="fixed"/>
        <w:tblLook w:firstRow="0" w:lastRow="0" w:firstColumn="0" w:lastColumn="0" w:noHBand="0" w:noVBand="0" w:val="0000"/>
      </w:tblPr>
      <w:tblGrid>
        <w:gridCol w:w="7920"/>
      </w:tblGrid>
      <w:tr>
        <w:tc>
          <w:tcPr/>
          <w:bookmarkStart w:id="263" w:name="tbl-seg-black"/>
          <w:p>
            <w:pPr>
              <w:jc w:val="center"/>
            </w:pPr>
            <w:pPr>
              <w:jc w:val="left"/>
              <w:spacing w:before="200"/>
              <w:pStyle w:val="ImageCaption"/>
            </w:pPr>
            <w:r>
              <w:t xml:space="preserve">Table F.2: Results from the Surveillance Error Grid for Black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Black</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23%</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22%</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263"/>
          <w:p/>
        </w:tc>
      </w:tr>
    </w:tbl>
    <w:bookmarkEnd w:id="264"/>
    <w:bookmarkStart w:id="267" w:name="addenda-and-errata"/>
    <w:p>
      <w:pPr>
        <w:pStyle w:val="Heading1"/>
      </w:pPr>
      <w:r>
        <w:t xml:space="preserve">Appendix B — Addenda and errata</w:t>
      </w:r>
    </w:p>
    <w:p>
      <w:pPr>
        <w:pStyle w:val="FirstParagraph"/>
      </w:pPr>
      <w:r>
        <w:t xml:space="preserve">This chapter contains an overview of:</w:t>
      </w:r>
    </w:p>
    <w:p>
      <w:pPr>
        <w:pStyle w:val="Compact"/>
        <w:numPr>
          <w:ilvl w:val="0"/>
          <w:numId w:val="1030"/>
        </w:numPr>
      </w:pPr>
      <w:r>
        <w:t xml:space="preserve">Addenda: contents added since the submitted version of the dissertation.</w:t>
      </w:r>
    </w:p>
    <w:p>
      <w:pPr>
        <w:pStyle w:val="Compact"/>
        <w:numPr>
          <w:ilvl w:val="0"/>
          <w:numId w:val="1030"/>
        </w:numPr>
      </w:pPr>
      <w:r>
        <w:t xml:space="preserve">Errata: corrections to errors discovered since submission of the dissertation.</w:t>
      </w:r>
    </w:p>
    <w:bookmarkStart w:id="265" w:name="addenda"/>
    <w:p>
      <w:pPr>
        <w:pStyle w:val="Heading2"/>
      </w:pPr>
      <w:r>
        <w:t xml:space="preserve">B.1 Addenda</w:t>
      </w:r>
    </w:p>
    <w:bookmarkEnd w:id="265"/>
    <w:bookmarkStart w:id="266" w:name="errata"/>
    <w:p>
      <w:pPr>
        <w:pStyle w:val="Heading2"/>
      </w:pPr>
      <w:r>
        <w:t xml:space="preserve">B.2 Errata</w:t>
      </w:r>
    </w:p>
    <w:bookmarkEnd w:id="266"/>
    <w:bookmarkEnd w:id="2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1"/>
  </w:num>
  <w:num w:numId="1003">
    <w:abstractNumId w:val="992"/>
  </w:num>
  <w:num w:numId="1004">
    <w:abstractNumId w:val="992"/>
  </w:num>
  <w:num w:numId="1005">
    <w:abstractNumId w:val="991"/>
  </w:num>
  <w:num w:numId="1006">
    <w:abstractNumId w:val="991"/>
  </w:num>
  <w:num w:numId="1007">
    <w:abstractNumId w:val="991"/>
  </w:num>
  <w:num w:numId="1008">
    <w:abstractNumId w:val="991"/>
  </w:num>
  <w:num w:numId="1009">
    <w:abstractNumId w:val="991"/>
  </w:num>
  <w:num w:numId="1010">
    <w:abstractNumId w:val="992"/>
  </w:num>
  <w:num w:numId="1011">
    <w:abstractNumId w:val="992"/>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58" Target="media/rId58.png" /><Relationship Type="http://schemas.openxmlformats.org/officeDocument/2006/relationships/image" Id="rId77" Target="media/rId77.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118" Target="media/rId118.png" /><Relationship Type="http://schemas.openxmlformats.org/officeDocument/2006/relationships/image" Id="rId96" Target="media/rId96.png" /><Relationship Type="http://schemas.openxmlformats.org/officeDocument/2006/relationships/image" Id="rId90" Target="media/rId90.png" /><Relationship Type="http://schemas.openxmlformats.org/officeDocument/2006/relationships/image" Id="rId113" Target="media/rId113.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256" Target="media/rId256.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197" Target="http://ovidsp.ovid.com/ovidweb.cgi?T=JS&amp;PAGE=reference&amp;D=med8&amp;NEWS=N&amp;AN=20653743" TargetMode="External" /><Relationship Type="http://schemas.openxmlformats.org/officeDocument/2006/relationships/hyperlink" Id="rId231" Target="https://arxiv.org/abs/1802.03426" TargetMode="External" /><Relationship Type="http://schemas.openxmlformats.org/officeDocument/2006/relationships/hyperlink" Id="rId200" Target="https://doi.org/10.1177/19322968221113341" TargetMode="External" /><Relationship Type="http://schemas.openxmlformats.org/officeDocument/2006/relationships/hyperlink" Id="rId242" Target="https://doi.org/10.1371/journal.pdig.0000918" TargetMode="External" /><Relationship Type="http://schemas.openxmlformats.org/officeDocument/2006/relationships/hyperlink" Id="rId207" Target="https://doi.org/10.2196/89374" TargetMode="External" /><Relationship Type="http://schemas.openxmlformats.org/officeDocument/2006/relationships/hyperlink" Id="rId189" Target="https://doi.org/10.2337/dc12-2715" TargetMode="External" /><Relationship Type="http://schemas.openxmlformats.org/officeDocument/2006/relationships/hyperlink" Id="rId185" Target="https://doi.org/10.2337/dc26-S002" TargetMode="External" /><Relationship Type="http://schemas.openxmlformats.org/officeDocument/2006/relationships/hyperlink" Id="rId193" Target="https://doi.org/10.2337/dc26-S006" TargetMode="External" /><Relationship Type="http://schemas.openxmlformats.org/officeDocument/2006/relationships/hyperlink" Id="rId223" Target="https://eppi.ioe.ac.uk/cms/er4/" TargetMode="External" /><Relationship Type="http://schemas.openxmlformats.org/officeDocument/2006/relationships/hyperlink" Id="rId195" Target="https://idf.org/download-global-clinical-practice-recommendations/" TargetMode="External" /><Relationship Type="http://schemas.openxmlformats.org/officeDocument/2006/relationships/hyperlink" Id="rId205" Target="https://jbi-global-wiki.refined.site/space/MANUAL/355862497/10.+Scoping+reviews" TargetMode="External" /><Relationship Type="http://schemas.openxmlformats.org/officeDocument/2006/relationships/hyperlink" Id="rId238" Target="https://onlinelibrary.wiley.com/doi/abs/10.1002/bimj.202200302" TargetMode="External" /><Relationship Type="http://schemas.openxmlformats.org/officeDocument/2006/relationships/hyperlink" Id="rId218" Target="https://onlinelibrary.wiley.com/doi/abs/10.1155/2018/7464320" TargetMode="External" /><Relationship Type="http://schemas.openxmlformats.org/officeDocument/2006/relationships/hyperlink" Id="rId191" Target="https://pmc.ncbi.nlm.nih.gov/articles/PMC3557948/" TargetMode="External" /><Relationship Type="http://schemas.openxmlformats.org/officeDocument/2006/relationships/hyperlink" Id="rId226" Target="https://public.jaeb.org/datasets/diabetes" TargetMode="External" /><Relationship Type="http://schemas.openxmlformats.org/officeDocument/2006/relationships/hyperlink" Id="rId38" Target="https://raw.githubusercontent.com/HeleneThomsen/dissertation/main/figures/1_intro_fig/agp.png" TargetMode="External" /><Relationship Type="http://schemas.openxmlformats.org/officeDocument/2006/relationships/hyperlink" Id="rId61" Target="https://raw.githubusercontent.com/HeleneThomsen/dissertation/main/figures/3_methods_fig/cancan_timeline.png" TargetMode="External" /><Relationship Type="http://schemas.openxmlformats.org/officeDocument/2006/relationships/hyperlink" Id="rId80" Target="https://raw.githubusercontent.com/HeleneThomsen/dissertation/main/figures/3_methods_fig/study2_clin_strata.png" TargetMode="External" /><Relationship Type="http://schemas.openxmlformats.org/officeDocument/2006/relationships/hyperlink" Id="rId75" Target="https://raw.githubusercontent.com/HeleneThomsen/dissertation/main/figures/3_methods_fig/study2_co_sim_emb.png" TargetMode="External" /><Relationship Type="http://schemas.openxmlformats.org/officeDocument/2006/relationships/hyperlink" Id="rId70" Target="https://raw.githubusercontent.com/HeleneThomsen/dissertation/main/figures/3_methods_fig/study2_embedding.png" TargetMode="External" /><Relationship Type="http://schemas.openxmlformats.org/officeDocument/2006/relationships/hyperlink" Id="rId121" Target="https://raw.githubusercontent.com/HeleneThomsen/dissertation/main/figures/3_methods_fig/study3_SEG_empty.png" TargetMode="External" /><Relationship Type="http://schemas.openxmlformats.org/officeDocument/2006/relationships/hyperlink" Id="rId99" Target="https://raw.githubusercontent.com/HeleneThomsen/dissertation/main/figures/3_methods_fig/study3_partitioning.png" TargetMode="External" /><Relationship Type="http://schemas.openxmlformats.org/officeDocument/2006/relationships/hyperlink" Id="rId93" Target="https://raw.githubusercontent.com/HeleneThomsen/dissertation/main/figures/3_methods_fig/study3_pred_horizon.png" TargetMode="External" /><Relationship Type="http://schemas.openxmlformats.org/officeDocument/2006/relationships/hyperlink" Id="rId116" Target="https://raw.githubusercontent.com/HeleneThomsen/dissertation/main/figures/3_methods_fig/study3_rmse.png" TargetMode="External" /><Relationship Type="http://schemas.openxmlformats.org/officeDocument/2006/relationships/hyperlink" Id="rId104" Target="https://raw.githubusercontent.com/HeleneThomsen/dissertation/main/figures/3_methods_fig/study3_train_finetune_test_split.png" TargetMode="External" /><Relationship Type="http://schemas.openxmlformats.org/officeDocument/2006/relationships/hyperlink" Id="rId110" Target="https://raw.githubusercontent.com/HeleneThomsen/dissertation/main/figures/3_methods_fig/study3_training_approaches.png" TargetMode="External" /><Relationship Type="http://schemas.openxmlformats.org/officeDocument/2006/relationships/hyperlink" Id="rId129" Target="https://raw.githubusercontent.com/HeleneThomsen/dissertation/main/figures/4_results_fig/study_1_prisma.svg" TargetMode="External" /><Relationship Type="http://schemas.openxmlformats.org/officeDocument/2006/relationships/hyperlink" Id="rId135" Target="https://raw.githubusercontent.com/HeleneThomsen/dissertation/main/figures/4_results_fig/study_1_world_map.png" TargetMode="External" /><Relationship Type="http://schemas.openxmlformats.org/officeDocument/2006/relationships/hyperlink" Id="rId259" Target="https://raw.githubusercontent.com/HeleneThomsen/dissertation/main/figures/4_results_fig/study_2_prediction_stability.png" TargetMode="External" /><Relationship Type="http://schemas.openxmlformats.org/officeDocument/2006/relationships/hyperlink" Id="rId236" Target="https://www.bmj.com/content/385/bmj-2023-078378" TargetMode="External" /><Relationship Type="http://schemas.openxmlformats.org/officeDocument/2006/relationships/hyperlink" Id="rId136" Target="https://www.mapchart.net" TargetMode="External" /><Relationship Type="http://schemas.openxmlformats.org/officeDocument/2006/relationships/hyperlink" Id="rId233" Target="https://www.ncbi.nlm.nih.gov/books/NBK536098/" TargetMode="External" /><Relationship Type="http://schemas.openxmlformats.org/officeDocument/2006/relationships/hyperlink" Id="rId183" Target="https://www.ncbi.nlm.nih.gov/books/NBK581930/" TargetMode="External" /><Relationship Type="http://schemas.openxmlformats.org/officeDocument/2006/relationships/hyperlink" Id="rId240" Target="https://www.sciencedirect.com/science/article/pii/S2589750025000986" TargetMode="External" /></Relationships>
</file>

<file path=word/_rels/footnotes.xml.rels><?xml version="1.0" encoding="UTF-8"?><Relationships xmlns="http://schemas.openxmlformats.org/package/2006/relationships"><Relationship Type="http://schemas.openxmlformats.org/officeDocument/2006/relationships/hyperlink" Id="rId197" Target="http://ovidsp.ovid.com/ovidweb.cgi?T=JS&amp;PAGE=reference&amp;D=med8&amp;NEWS=N&amp;AN=20653743" TargetMode="External" /><Relationship Type="http://schemas.openxmlformats.org/officeDocument/2006/relationships/hyperlink" Id="rId231" Target="https://arxiv.org/abs/1802.03426" TargetMode="External" /><Relationship Type="http://schemas.openxmlformats.org/officeDocument/2006/relationships/hyperlink" Id="rId200" Target="https://doi.org/10.1177/19322968221113341" TargetMode="External" /><Relationship Type="http://schemas.openxmlformats.org/officeDocument/2006/relationships/hyperlink" Id="rId242" Target="https://doi.org/10.1371/journal.pdig.0000918" TargetMode="External" /><Relationship Type="http://schemas.openxmlformats.org/officeDocument/2006/relationships/hyperlink" Id="rId207" Target="https://doi.org/10.2196/89374" TargetMode="External" /><Relationship Type="http://schemas.openxmlformats.org/officeDocument/2006/relationships/hyperlink" Id="rId189" Target="https://doi.org/10.2337/dc12-2715" TargetMode="External" /><Relationship Type="http://schemas.openxmlformats.org/officeDocument/2006/relationships/hyperlink" Id="rId185" Target="https://doi.org/10.2337/dc26-S002" TargetMode="External" /><Relationship Type="http://schemas.openxmlformats.org/officeDocument/2006/relationships/hyperlink" Id="rId193" Target="https://doi.org/10.2337/dc26-S006" TargetMode="External" /><Relationship Type="http://schemas.openxmlformats.org/officeDocument/2006/relationships/hyperlink" Id="rId223" Target="https://eppi.ioe.ac.uk/cms/er4/" TargetMode="External" /><Relationship Type="http://schemas.openxmlformats.org/officeDocument/2006/relationships/hyperlink" Id="rId195" Target="https://idf.org/download-global-clinical-practice-recommendations/" TargetMode="External" /><Relationship Type="http://schemas.openxmlformats.org/officeDocument/2006/relationships/hyperlink" Id="rId205" Target="https://jbi-global-wiki.refined.site/space/MANUAL/355862497/10.+Scoping+reviews" TargetMode="External" /><Relationship Type="http://schemas.openxmlformats.org/officeDocument/2006/relationships/hyperlink" Id="rId238" Target="https://onlinelibrary.wiley.com/doi/abs/10.1002/bimj.202200302" TargetMode="External" /><Relationship Type="http://schemas.openxmlformats.org/officeDocument/2006/relationships/hyperlink" Id="rId218" Target="https://onlinelibrary.wiley.com/doi/abs/10.1155/2018/7464320" TargetMode="External" /><Relationship Type="http://schemas.openxmlformats.org/officeDocument/2006/relationships/hyperlink" Id="rId191" Target="https://pmc.ncbi.nlm.nih.gov/articles/PMC3557948/" TargetMode="External" /><Relationship Type="http://schemas.openxmlformats.org/officeDocument/2006/relationships/hyperlink" Id="rId226" Target="https://public.jaeb.org/datasets/diabetes" TargetMode="External" /><Relationship Type="http://schemas.openxmlformats.org/officeDocument/2006/relationships/hyperlink" Id="rId38" Target="https://raw.githubusercontent.com/HeleneThomsen/dissertation/main/figures/1_intro_fig/agp.png" TargetMode="External" /><Relationship Type="http://schemas.openxmlformats.org/officeDocument/2006/relationships/hyperlink" Id="rId61" Target="https://raw.githubusercontent.com/HeleneThomsen/dissertation/main/figures/3_methods_fig/cancan_timeline.png" TargetMode="External" /><Relationship Type="http://schemas.openxmlformats.org/officeDocument/2006/relationships/hyperlink" Id="rId80" Target="https://raw.githubusercontent.com/HeleneThomsen/dissertation/main/figures/3_methods_fig/study2_clin_strata.png" TargetMode="External" /><Relationship Type="http://schemas.openxmlformats.org/officeDocument/2006/relationships/hyperlink" Id="rId75" Target="https://raw.githubusercontent.com/HeleneThomsen/dissertation/main/figures/3_methods_fig/study2_co_sim_emb.png" TargetMode="External" /><Relationship Type="http://schemas.openxmlformats.org/officeDocument/2006/relationships/hyperlink" Id="rId70" Target="https://raw.githubusercontent.com/HeleneThomsen/dissertation/main/figures/3_methods_fig/study2_embedding.png" TargetMode="External" /><Relationship Type="http://schemas.openxmlformats.org/officeDocument/2006/relationships/hyperlink" Id="rId121" Target="https://raw.githubusercontent.com/HeleneThomsen/dissertation/main/figures/3_methods_fig/study3_SEG_empty.png" TargetMode="External" /><Relationship Type="http://schemas.openxmlformats.org/officeDocument/2006/relationships/hyperlink" Id="rId99" Target="https://raw.githubusercontent.com/HeleneThomsen/dissertation/main/figures/3_methods_fig/study3_partitioning.png" TargetMode="External" /><Relationship Type="http://schemas.openxmlformats.org/officeDocument/2006/relationships/hyperlink" Id="rId93" Target="https://raw.githubusercontent.com/HeleneThomsen/dissertation/main/figures/3_methods_fig/study3_pred_horizon.png" TargetMode="External" /><Relationship Type="http://schemas.openxmlformats.org/officeDocument/2006/relationships/hyperlink" Id="rId116" Target="https://raw.githubusercontent.com/HeleneThomsen/dissertation/main/figures/3_methods_fig/study3_rmse.png" TargetMode="External" /><Relationship Type="http://schemas.openxmlformats.org/officeDocument/2006/relationships/hyperlink" Id="rId104" Target="https://raw.githubusercontent.com/HeleneThomsen/dissertation/main/figures/3_methods_fig/study3_train_finetune_test_split.png" TargetMode="External" /><Relationship Type="http://schemas.openxmlformats.org/officeDocument/2006/relationships/hyperlink" Id="rId110" Target="https://raw.githubusercontent.com/HeleneThomsen/dissertation/main/figures/3_methods_fig/study3_training_approaches.png" TargetMode="External" /><Relationship Type="http://schemas.openxmlformats.org/officeDocument/2006/relationships/hyperlink" Id="rId129" Target="https://raw.githubusercontent.com/HeleneThomsen/dissertation/main/figures/4_results_fig/study_1_prisma.svg" TargetMode="External" /><Relationship Type="http://schemas.openxmlformats.org/officeDocument/2006/relationships/hyperlink" Id="rId135" Target="https://raw.githubusercontent.com/HeleneThomsen/dissertation/main/figures/4_results_fig/study_1_world_map.png" TargetMode="External" /><Relationship Type="http://schemas.openxmlformats.org/officeDocument/2006/relationships/hyperlink" Id="rId259" Target="https://raw.githubusercontent.com/HeleneThomsen/dissertation/main/figures/4_results_fig/study_2_prediction_stability.png" TargetMode="External" /><Relationship Type="http://schemas.openxmlformats.org/officeDocument/2006/relationships/hyperlink" Id="rId236" Target="https://www.bmj.com/content/385/bmj-2023-078378" TargetMode="External" /><Relationship Type="http://schemas.openxmlformats.org/officeDocument/2006/relationships/hyperlink" Id="rId136" Target="https://www.mapchart.net" TargetMode="External" /><Relationship Type="http://schemas.openxmlformats.org/officeDocument/2006/relationships/hyperlink" Id="rId233" Target="https://www.ncbi.nlm.nih.gov/books/NBK536098/" TargetMode="External" /><Relationship Type="http://schemas.openxmlformats.org/officeDocument/2006/relationships/hyperlink" Id="rId183" Target="https://www.ncbi.nlm.nih.gov/books/NBK581930/" TargetMode="External" /><Relationship Type="http://schemas.openxmlformats.org/officeDocument/2006/relationships/hyperlink" Id="rId240" Target="https://www.sciencedirect.com/science/article/pii/S25897500250009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methods for continuous glucose monitoring data and their potential in cardiovascular risk assessment</dc:title>
  <dc:creator>Helene Bei Thomsen</dc:creator>
  <cp:keywords/>
  <dcterms:created xsi:type="dcterms:W3CDTF">2026-07-11T15:43:29Z</dcterms:created>
  <dcterms:modified xsi:type="dcterms:W3CDTF">2026-07-11T15:43:29Z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citestyle.csl</vt:lpwstr>
  </property>
  <property fmtid="{D5CDD505-2E9C-101B-9397-08002B2CF9AE}" pid="9" name="date">
    <vt:lpwstr>2026</vt:lpwstr>
  </property>
  <property fmtid="{D5CDD505-2E9C-101B-9397-08002B2CF9AE}" pid="10" name="date-format">
    <vt:lpwstr>YYYY</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2</vt:lpwstr>
  </property>
  <property fmtid="{D5CDD505-2E9C-101B-9397-08002B2CF9AE}" pid="17" name="template-partials">
    <vt:lpwstr/>
  </property>
  <property fmtid="{D5CDD505-2E9C-101B-9397-08002B2CF9AE}" pid="18" name="toc-title">
    <vt:lpwstr>Table of contents</vt:lpwstr>
  </property>
</Properties>
</file>