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2.png" ContentType="image/png"/>
  <Override PartName="/word/media/rId47.png" ContentType="image/png"/>
  <Override PartName="/word/media/rId42.png" ContentType="image/png"/>
  <Override PartName="/word/media/rId89.png" ContentType="image/png"/>
  <Override PartName="/word/media/rId71.png" ContentType="image/png"/>
  <Override PartName="/word/media/rId65.png" ContentType="image/png"/>
  <Override PartName="/word/media/rId76.png" ContentType="image/png"/>
  <Override PartName="/word/media/rId82.png" ContentType="image/png"/>
  <Override PartName="/word/media/rId100.png" ContentType="image/png"/>
  <Override PartName="/word/media/rId106.png" ContentType="image/png"/>
  <Override PartName="/word/media/rId124.png" ContentType="image/png"/>
  <Override PartName="/word/media/rId1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2" w:name="sec-introduction"/>
    <w:p>
      <w:pPr>
        <w:pStyle w:val="Heading1"/>
      </w:pPr>
      <w:r>
        <w:t xml:space="preserve">1. Introduction</w:t>
      </w:r>
    </w:p>
    <w:bookmarkStart w:id="17" w:name="diabetes-and-cardiovascular-disease"/>
    <w:p>
      <w:pPr>
        <w:pStyle w:val="Heading2"/>
      </w:pPr>
      <w:r>
        <w:t xml:space="preserve">1.1 Diabetes and cardiovascular disease</w:t>
      </w:r>
    </w:p>
    <w:p>
      <w:pPr>
        <w:pStyle w:val="Compact"/>
        <w:numPr>
          <w:ilvl w:val="0"/>
          <w:numId w:val="1001"/>
        </w:numPr>
      </w:pPr>
      <w:r>
        <w:t xml:space="preserve">Burden of diabetes</w:t>
      </w:r>
    </w:p>
    <w:p>
      <w:pPr>
        <w:pStyle w:val="Compact"/>
        <w:numPr>
          <w:ilvl w:val="1"/>
          <w:numId w:val="1002"/>
        </w:numPr>
      </w:pPr>
      <w:r>
        <w:t xml:space="preserve">Type 1 diabetes</w:t>
      </w:r>
    </w:p>
    <w:p>
      <w:pPr>
        <w:pStyle w:val="Compact"/>
        <w:numPr>
          <w:ilvl w:val="1"/>
          <w:numId w:val="1002"/>
        </w:numPr>
      </w:pPr>
      <w:r>
        <w:t xml:space="preserve">Type 2 diabetes</w:t>
      </w:r>
    </w:p>
    <w:p>
      <w:pPr>
        <w:pStyle w:val="Compact"/>
        <w:numPr>
          <w:ilvl w:val="0"/>
          <w:numId w:val="1001"/>
        </w:numPr>
      </w:pPr>
      <w:r>
        <w:t xml:space="preserve">Cardiovascular complications</w:t>
      </w:r>
    </w:p>
    <w:p>
      <w:pPr>
        <w:pStyle w:val="Compact"/>
        <w:numPr>
          <w:ilvl w:val="0"/>
          <w:numId w:val="1001"/>
        </w:numPr>
      </w:pPr>
      <w:r>
        <w:t xml:space="preserve">Heart failure in diabetes</w:t>
      </w:r>
    </w:p>
    <w:p>
      <w:pPr>
        <w:pStyle w:val="Compact"/>
        <w:numPr>
          <w:ilvl w:val="0"/>
          <w:numId w:val="1001"/>
        </w:numPr>
      </w:pPr>
      <w:r>
        <w:t xml:space="preserve">NT-proBNP as a biomarker</w:t>
      </w:r>
    </w:p>
    <w:bookmarkEnd w:id="17"/>
    <w:bookmarkStart w:id="18" w:name="glycemic-markers-and-glucose-monitoring"/>
    <w:p>
      <w:pPr>
        <w:pStyle w:val="Heading2"/>
      </w:pPr>
      <w:r>
        <w:t xml:space="preserve">1.2 Glycemic markers and glucose monitoring</w:t>
      </w:r>
    </w:p>
    <w:p>
      <w:pPr>
        <w:pStyle w:val="Compact"/>
        <w:numPr>
          <w:ilvl w:val="0"/>
          <w:numId w:val="1003"/>
        </w:numPr>
      </w:pPr>
      <w:r>
        <w:t xml:space="preserve">HbA1c and its limitations</w:t>
      </w:r>
    </w:p>
    <w:p>
      <w:pPr>
        <w:pStyle w:val="Compact"/>
        <w:numPr>
          <w:ilvl w:val="0"/>
          <w:numId w:val="1003"/>
        </w:numPr>
      </w:pPr>
      <w:r>
        <w:t xml:space="preserve">Continuous glucose monitoring (CGM)</w:t>
      </w:r>
    </w:p>
    <w:p>
      <w:pPr>
        <w:pStyle w:val="Compact"/>
        <w:numPr>
          <w:ilvl w:val="0"/>
          <w:numId w:val="1003"/>
        </w:numPr>
      </w:pPr>
      <w:r>
        <w:t xml:space="preserve">Glycemic variability</w:t>
      </w:r>
    </w:p>
    <w:p>
      <w:pPr>
        <w:pStyle w:val="Compact"/>
        <w:numPr>
          <w:ilvl w:val="1"/>
          <w:numId w:val="1004"/>
        </w:numPr>
      </w:pPr>
      <w:r>
        <w:t xml:space="preserve">Metrics of glycemic variability</w:t>
      </w:r>
    </w:p>
    <w:p>
      <w:pPr>
        <w:pStyle w:val="Compact"/>
        <w:numPr>
          <w:ilvl w:val="1"/>
          <w:numId w:val="1004"/>
        </w:numPr>
      </w:pPr>
      <w:r>
        <w:t xml:space="preserve">Clinical challenges of glycemic variability (Think HbA1c and MBG and variability study)</w:t>
      </w:r>
    </w:p>
    <w:bookmarkEnd w:id="18"/>
    <w:bookmarkStart w:id="19" w:name="X1a3d5560865131951c8bd5fd12d8eec1341c9cf"/>
    <w:p>
      <w:pPr>
        <w:pStyle w:val="Heading2"/>
      </w:pPr>
      <w:r>
        <w:t xml:space="preserve">1.3 Cardiovascular risk prediction in diabetes</w:t>
      </w:r>
    </w:p>
    <w:p>
      <w:pPr>
        <w:pStyle w:val="Compact"/>
        <w:numPr>
          <w:ilvl w:val="0"/>
          <w:numId w:val="1005"/>
        </w:numPr>
      </w:pPr>
      <w:r>
        <w:t xml:space="preserve">Traditional risk models</w:t>
      </w:r>
    </w:p>
    <w:p>
      <w:pPr>
        <w:pStyle w:val="Compact"/>
        <w:numPr>
          <w:ilvl w:val="1"/>
          <w:numId w:val="1006"/>
        </w:numPr>
      </w:pPr>
      <w:r>
        <w:t xml:space="preserve">SCORE2-Diabetes risk score</w:t>
      </w:r>
    </w:p>
    <w:p>
      <w:pPr>
        <w:pStyle w:val="Compact"/>
        <w:numPr>
          <w:ilvl w:val="1"/>
          <w:numId w:val="1006"/>
        </w:numPr>
      </w:pPr>
      <w:r>
        <w:t xml:space="preserve">What is SCORE2-Diabetes 10 year CVD risk score?</w:t>
      </w:r>
    </w:p>
    <w:p>
      <w:pPr>
        <w:pStyle w:val="Compact"/>
        <w:numPr>
          <w:ilvl w:val="1"/>
          <w:numId w:val="1006"/>
        </w:numPr>
      </w:pPr>
      <w:r>
        <w:t xml:space="preserve">☐ What is the SCORE2-diabetes and why was it chosen?</w:t>
      </w:r>
    </w:p>
    <w:p>
      <w:pPr>
        <w:pStyle w:val="Compact"/>
        <w:numPr>
          <w:ilvl w:val="0"/>
          <w:numId w:val="1005"/>
        </w:numPr>
      </w:pPr>
      <w:r>
        <w:t xml:space="preserve">Limitations of conventional predictors</w:t>
      </w:r>
    </w:p>
    <w:bookmarkEnd w:id="19"/>
    <w:bookmarkStart w:id="20" w:name="machine-learning"/>
    <w:p>
      <w:pPr>
        <w:pStyle w:val="Heading2"/>
      </w:pPr>
      <w:r>
        <w:t xml:space="preserve">1.4 Machine learning</w:t>
      </w:r>
    </w:p>
    <w:p>
      <w:pPr>
        <w:pStyle w:val="Compact"/>
        <w:numPr>
          <w:ilvl w:val="0"/>
          <w:numId w:val="1007"/>
        </w:numPr>
      </w:pPr>
      <w:r>
        <w:t xml:space="preserve">Data-driven vs hypothesis-drivenly(knowledge-based) paradigms</w:t>
      </w:r>
    </w:p>
    <w:p>
      <w:pPr>
        <w:pStyle w:val="Compact"/>
        <w:numPr>
          <w:ilvl w:val="0"/>
          <w:numId w:val="1007"/>
        </w:numPr>
      </w:pPr>
      <w:r>
        <w:t xml:space="preserve">Why machine learning in diabetes and cardiovascular risk prediction?</w:t>
      </w:r>
    </w:p>
    <w:p>
      <w:pPr>
        <w:pStyle w:val="Compact"/>
        <w:numPr>
          <w:ilvl w:val="0"/>
          <w:numId w:val="1007"/>
        </w:numPr>
      </w:pPr>
      <w:r>
        <w:t xml:space="preserve">Why are ML fantatic for CGM data?</w:t>
      </w:r>
    </w:p>
    <w:p>
      <w:pPr>
        <w:pStyle w:val="Compact"/>
        <w:numPr>
          <w:ilvl w:val="0"/>
          <w:numId w:val="1007"/>
        </w:numPr>
      </w:pPr>
      <w:r>
        <w:t xml:space="preserve">Types of machine learnin g methods</w:t>
      </w:r>
    </w:p>
    <w:p>
      <w:pPr>
        <w:pStyle w:val="Compact"/>
        <w:numPr>
          <w:ilvl w:val="1"/>
          <w:numId w:val="1008"/>
        </w:numPr>
      </w:pPr>
      <w:r>
        <w:t xml:space="preserve">Logistic regression</w:t>
      </w:r>
    </w:p>
    <w:p>
      <w:pPr>
        <w:pStyle w:val="Compact"/>
        <w:numPr>
          <w:ilvl w:val="1"/>
          <w:numId w:val="1008"/>
        </w:numPr>
      </w:pPr>
      <w:r>
        <w:t xml:space="preserve">LSTM and CNNs</w:t>
      </w:r>
    </w:p>
    <w:p>
      <w:pPr>
        <w:pStyle w:val="Compact"/>
        <w:numPr>
          <w:ilvl w:val="1"/>
          <w:numId w:val="1008"/>
        </w:numPr>
      </w:pPr>
      <w:r>
        <w:t xml:space="preserve">Foundation models</w:t>
      </w:r>
    </w:p>
    <w:p>
      <w:pPr>
        <w:pStyle w:val="Compact"/>
        <w:numPr>
          <w:ilvl w:val="2"/>
          <w:numId w:val="1009"/>
        </w:numPr>
      </w:pPr>
      <w:r>
        <w:t xml:space="preserve">CGM data has been processed and interpreted based on plotting the data and extracting CGM-derived metrics from time series signal sampled every 3-15 minutes. However new techniques within the machine learning field has allowed us to process the whole time series signals like CGM data, which can retain more information from the original CGM data then the derived metrics can. Foundation models are machine learning models that are trained on huge amount of data and thereafter can be retrained to be specialized into a specific task. This is one solution to the limitation of small datasets that are not sufficient enough for the data hungry machine learning models.</w:t>
      </w:r>
    </w:p>
    <w:p>
      <w:pPr>
        <w:pStyle w:val="Compact"/>
        <w:numPr>
          <w:ilvl w:val="2"/>
          <w:numId w:val="1009"/>
        </w:numPr>
      </w:pPr>
      <w:r>
        <w:t xml:space="preserve">The CGMformer is a transformer-based model that was trained on a large dataset of CGM data and is designed to learn representations of glucose dynamics. The model takes in sequences of CGM measurements and outputs embeddings that capture the underlying patterns in the glucose data. These embeddings can then be used for downstream tasks such as predicting cardiovascular risk or other health outcomes.</w:t>
      </w:r>
    </w:p>
    <w:p>
      <w:pPr>
        <w:pStyle w:val="Compact"/>
        <w:numPr>
          <w:ilvl w:val="2"/>
          <w:numId w:val="1009"/>
        </w:numPr>
      </w:pPr>
      <w:r>
        <w:t xml:space="preserve">The embeddings are learned representations that capture the underlying patterns and relationships in the input data, allowing for more efficient and effective downstream tasks such as classification, regression, or clustering.</w:t>
      </w:r>
    </w:p>
    <w:p>
      <w:pPr>
        <w:pStyle w:val="FirstParagraph"/>
      </w:pPr>
      <w:r>
        <w:t xml:space="preserve">The CGMformer is bla bla bla</w:t>
      </w:r>
      <w:r>
        <w:rPr>
          <w:vertAlign w:val="superscript"/>
        </w:rPr>
        <w:t xml:space="preserve">1</w:t>
      </w:r>
      <w:r>
        <w:t xml:space="preserve"> </w:t>
      </w:r>
      <w:r>
        <w:t xml:space="preserve">* Challenges and pitfalls of machine learning in healthcare</w:t>
      </w:r>
      <w:r>
        <w:t xml:space="preserve"> </w:t>
      </w:r>
      <w:r>
        <w:t xml:space="preserve">* Overfitting and generalizability</w:t>
      </w:r>
      <w:r>
        <w:t xml:space="preserve"> </w:t>
      </w:r>
      <w:r>
        <w:t xml:space="preserve">* Interpretability and explainability</w:t>
      </w:r>
    </w:p>
    <w:bookmarkEnd w:id="20"/>
    <w:bookmarkStart w:id="21" w:name="fairness-and-bias-in-machine-learning"/>
    <w:p>
      <w:pPr>
        <w:pStyle w:val="Heading2"/>
      </w:pPr>
      <w:r>
        <w:t xml:space="preserve">1.5 Fairness and bias in machine learning</w:t>
      </w:r>
    </w:p>
    <w:p>
      <w:pPr>
        <w:pStyle w:val="Compact"/>
        <w:numPr>
          <w:ilvl w:val="0"/>
          <w:numId w:val="1010"/>
        </w:numPr>
      </w:pPr>
      <w:r>
        <w:t xml:space="preserve">Define race and ethnicity</w:t>
      </w:r>
    </w:p>
    <w:p>
      <w:pPr>
        <w:pStyle w:val="Compact"/>
        <w:numPr>
          <w:ilvl w:val="0"/>
          <w:numId w:val="1010"/>
        </w:numPr>
      </w:pPr>
      <w:r>
        <w:t xml:space="preserve">Algorithmic bias and group fairness</w:t>
      </w:r>
    </w:p>
    <w:p>
      <w:pPr>
        <w:pStyle w:val="Compact"/>
        <w:numPr>
          <w:ilvl w:val="0"/>
          <w:numId w:val="1010"/>
        </w:numPr>
      </w:pPr>
      <w:r>
        <w:t xml:space="preserve">Fairness metrics and mitigation strategies</w:t>
      </w:r>
    </w:p>
    <w:p>
      <w:pPr>
        <w:pStyle w:val="Compact"/>
        <w:numPr>
          <w:ilvl w:val="0"/>
          <w:numId w:val="1010"/>
        </w:numPr>
      </w:pPr>
      <w:r>
        <w:t xml:space="preserve">Challenges in healthcare applications when using ML</w:t>
      </w:r>
    </w:p>
    <w:bookmarkEnd w:id="21"/>
    <w:bookmarkEnd w:id="22"/>
    <w:bookmarkStart w:id="25" w:name="sec-aims"/>
    <w:p>
      <w:pPr>
        <w:pStyle w:val="Heading1"/>
      </w:pPr>
      <w:r>
        <w:t xml:space="preserve">2. Aims</w:t>
      </w:r>
    </w:p>
    <w:bookmarkStart w:id="23" w:name="overall-aims"/>
    <w:p>
      <w:pPr>
        <w:pStyle w:val="Heading2"/>
      </w:pPr>
      <w:r>
        <w:t xml:space="preserve">2.1 Overall aims</w:t>
      </w:r>
    </w:p>
    <w:p>
      <w:pPr>
        <w:pStyle w:val="FirstParagraph"/>
      </w:pPr>
      <w:r>
        <w:t xml:space="preserve">The overall aim of this PhD dissertation was to investigate the potential of continuous glucose monitoring (CGM) data to improve cardiovascular risk assessment and to evaluate the role of machine learning, including foundation model-derived glucose representations, in extracting clinically relevant information from CGM data.</w:t>
      </w:r>
    </w:p>
    <w:bookmarkEnd w:id="23"/>
    <w:bookmarkStart w:id="24" w:name="specific-aims"/>
    <w:p>
      <w:pPr>
        <w:pStyle w:val="Heading2"/>
      </w:pPr>
      <w:r>
        <w:t xml:space="preserve">2.2 Specific aims</w:t>
      </w:r>
    </w:p>
    <w:p>
      <w:pPr>
        <w:pStyle w:val="FirstParagraph"/>
      </w:pPr>
      <w:r>
        <w:t xml:space="preserve">I. To map the existing literature on the association between glycemic control and cardiovascular outcomes and identify CGM-derived metrics investigated for cardiovascular risk assessment.</w:t>
      </w:r>
    </w:p>
    <w:p>
      <w:pPr>
        <w:numPr>
          <w:ilvl w:val="0"/>
          <w:numId w:val="1011"/>
        </w:numPr>
      </w:pPr>
      <w:r>
        <w:t xml:space="preserve">To determine whether a CGM foundation model captures meaningful and interpretable glucose representations across individuals with type 1 and type 2 diabetes.</w:t>
      </w:r>
    </w:p>
    <w:p>
      <w:pPr>
        <w:numPr>
          <w:ilvl w:val="0"/>
          <w:numId w:val="1011"/>
        </w:numPr>
      </w:pPr>
      <w:r>
        <w:t xml:space="preserve">To evaluate whether conventional CGM-derived metrics and learned glucose representations improve prediction of elevated NT-proBNP beyond established clinical risk factors in individuals with type 2 diabetes.¨</w:t>
      </w:r>
    </w:p>
    <w:p>
      <w:pPr>
        <w:numPr>
          <w:ilvl w:val="0"/>
          <w:numId w:val="1011"/>
        </w:numPr>
      </w:pPr>
      <w:r>
        <w:t xml:space="preserve">To evaluate the fairness of machine learning models for glucose prediction and compare strategies for tailoring prediction models to individual characteristics.</w:t>
      </w:r>
    </w:p>
    <w:bookmarkEnd w:id="24"/>
    <w:bookmarkEnd w:id="25"/>
    <w:bookmarkStart w:id="97" w:name="methods"/>
    <w:p>
      <w:pPr>
        <w:pStyle w:val="Heading1"/>
      </w:pPr>
      <w:r>
        <w:t xml:space="preserve">3. Methods</w:t>
      </w:r>
    </w:p>
    <w:p>
      <w:pPr>
        <w:pStyle w:val="FirstParagraph"/>
      </w:pPr>
      <w:r>
        <w:t xml:space="preserve">In this chapter the three studies included in this PhD will be presented. The data will be described together with the chosen methods of the three studies and the different clinical variables, CGM-derived metrics and relevant cardiovascular outcomes will be explained.</w:t>
      </w:r>
    </w:p>
    <w:p>
      <w:pPr>
        <w:pStyle w:val="Compact"/>
        <w:numPr>
          <w:ilvl w:val="0"/>
          <w:numId w:val="1012"/>
        </w:numPr>
      </w:pPr>
      <w:r>
        <w:t xml:space="preserve">What was done (Description)</w:t>
      </w:r>
    </w:p>
    <w:p>
      <w:pPr>
        <w:pStyle w:val="Compact"/>
        <w:numPr>
          <w:ilvl w:val="0"/>
          <w:numId w:val="1013"/>
        </w:numPr>
      </w:pPr>
      <w:r>
        <w:t xml:space="preserve">Why it was done (Justification)</w:t>
      </w:r>
    </w:p>
    <w:p>
      <w:pPr>
        <w:pStyle w:val="Compact"/>
        <w:numPr>
          <w:ilvl w:val="0"/>
          <w:numId w:val="1014"/>
        </w:numPr>
      </w:pPr>
      <w:r>
        <w:t xml:space="preserve">Add search string?</w:t>
      </w:r>
    </w:p>
    <w:p>
      <w:pPr>
        <w:pStyle w:val="Compact"/>
        <w:numPr>
          <w:ilvl w:val="0"/>
          <w:numId w:val="1015"/>
        </w:numPr>
      </w:pPr>
      <w:r>
        <w:t xml:space="preserve">tell about the 7-point fingerprick?</w:t>
      </w:r>
    </w:p>
    <w:bookmarkStart w:id="26" w:name="overview-of-the-studies"/>
    <w:p>
      <w:pPr>
        <w:pStyle w:val="Heading2"/>
      </w:pPr>
      <w:r>
        <w:t xml:space="preserve">3.1 Overview of the studies</w:t>
      </w:r>
    </w:p>
    <w:tbl>
      <w:tblPr>
        <w:tblStyle w:val="Table"/>
        <w:tblW w:type="pct" w:w="4976"/>
        <w:tblLayout w:type="fixed"/>
        <w:tblLook w:firstRow="1" w:lastRow="0" w:firstColumn="0" w:lastColumn="0" w:noHBand="0" w:noVBand="0" w:val="0020"/>
      </w:tblPr>
      <w:tblGrid>
        <w:gridCol w:w="633"/>
        <w:gridCol w:w="2348"/>
        <w:gridCol w:w="2646"/>
        <w:gridCol w:w="2254"/>
      </w:tblGrid>
      <w:tr>
        <w:trPr>
          <w:tblHeader w:val="on"/>
        </w:trPr>
        <w:tc>
          <w:tcPr/>
          <w:p>
            <w:pPr>
              <w:pStyle w:val="Compact"/>
            </w:pPr>
          </w:p>
        </w:tc>
        <w:tc>
          <w:tcPr/>
          <w:p>
            <w:pPr>
              <w:pStyle w:val="Compact"/>
            </w:pPr>
            <w:r>
              <w:t xml:space="preserve">Study I</w:t>
            </w:r>
          </w:p>
        </w:tc>
        <w:tc>
          <w:tcPr/>
          <w:p>
            <w:pPr>
              <w:pStyle w:val="Compact"/>
            </w:pPr>
            <w:r>
              <w:t xml:space="preserve">Study II</w:t>
            </w:r>
          </w:p>
        </w:tc>
        <w:tc>
          <w:tcPr/>
          <w:p>
            <w:pPr>
              <w:pStyle w:val="Compact"/>
            </w:pPr>
            <w:r>
              <w:t xml:space="preserve">Study III</w:t>
            </w:r>
          </w:p>
        </w:tc>
      </w:tr>
      <w:tr>
        <w:tc>
          <w:tcPr/>
          <w:p>
            <w:pPr>
              <w:pStyle w:val="Compact"/>
            </w:pPr>
            <w:r>
              <w:t xml:space="preserve">Title</w:t>
            </w:r>
          </w:p>
        </w:tc>
        <w:tc>
          <w:tcPr/>
          <w:p>
            <w:pPr>
              <w:pStyle w:val="Compact"/>
            </w:pPr>
            <w:r>
              <w:t xml:space="preserve">Continuous Glucose Monitoring–Derived Metrics and Cardiovascular Risk Among People With Diabetes: Systematic Scoping Review</w:t>
            </w:r>
          </w:p>
        </w:tc>
        <w:tc>
          <w:tcPr>
            <w:gridSpan w:val="2"/>
          </w:tcPr>
          <w:p>
            <w:pPr>
              <w:pStyle w:val="Compact"/>
            </w:pPr>
            <w:r>
              <w:t xml:space="preserve">Foundation model–derived representations of continuous glucose monitoring data: relation to glycemic patterns and cardiovascular risk | Racial disparities in continuous glucose monitoring-based 60-min glucose predictions among people with type 1 diabetes |</w:t>
            </w:r>
          </w:p>
        </w:tc>
      </w:tr>
      <w:tr>
        <w:tc>
          <w:tcPr/>
          <w:p>
            <w:pPr>
              <w:pStyle w:val="Compact"/>
            </w:pPr>
            <w:r>
              <w:t xml:space="preserve">Study Type</w:t>
            </w:r>
          </w:p>
        </w:tc>
        <w:tc>
          <w:tcPr/>
          <w:p>
            <w:pPr>
              <w:pStyle w:val="Compact"/>
            </w:pPr>
            <w:r>
              <w:t xml:space="preserve">Review</w:t>
            </w:r>
          </w:p>
        </w:tc>
        <w:tc>
          <w:tcPr/>
          <w:p>
            <w:pPr>
              <w:pStyle w:val="Compact"/>
            </w:pPr>
            <w:r>
              <w:t xml:space="preserve">CGM foundation model evaluation study</w:t>
            </w:r>
          </w:p>
        </w:tc>
        <w:tc>
          <w:tcPr/>
          <w:p>
            <w:pPr>
              <w:pStyle w:val="Compact"/>
            </w:pPr>
            <w:r>
              <w:t xml:space="preserve">Algorithmic fairness study</w:t>
            </w:r>
          </w:p>
        </w:tc>
      </w:tr>
      <w:tr>
        <w:tc>
          <w:tcPr/>
          <w:p>
            <w:pPr>
              <w:pStyle w:val="Compact"/>
            </w:pPr>
            <w:r>
              <w:t xml:space="preserve">Data Sources</w:t>
            </w:r>
          </w:p>
        </w:tc>
        <w:tc>
          <w:tcPr/>
          <w:p>
            <w:pPr>
              <w:pStyle w:val="Compact"/>
            </w:pPr>
            <w:r>
              <w:t xml:space="preserve">Literature on Embase and MEDLINE</w:t>
            </w:r>
          </w:p>
        </w:tc>
        <w:tc>
          <w:tcPr/>
          <w:p>
            <w:pPr>
              <w:pStyle w:val="Compact"/>
            </w:pPr>
            <w:r>
              <w:t xml:space="preserve">The CANCAN study and the T1D Exchange (T1DX) dataset</w:t>
            </w:r>
          </w:p>
        </w:tc>
        <w:tc>
          <w:tcPr/>
          <w:p>
            <w:pPr>
              <w:pStyle w:val="Compact"/>
            </w:pPr>
            <w:r>
              <w:t xml:space="preserve">T1D Exchange (T1DX) dataset</w:t>
            </w:r>
          </w:p>
        </w:tc>
      </w:tr>
      <w:tr>
        <w:tc>
          <w:tcPr/>
          <w:p>
            <w:pPr>
              <w:pStyle w:val="Compact"/>
            </w:pPr>
            <w:r>
              <w:t xml:space="preserve">Population</w:t>
            </w:r>
          </w:p>
        </w:tc>
        <w:tc>
          <w:tcPr/>
          <w:p>
            <w:pPr>
              <w:pStyle w:val="Compact"/>
            </w:pPr>
            <w:r>
              <w:t xml:space="preserve">Studies including people with type 1 diabetes, type 2 diabetes and/or prediabetes</w:t>
            </w:r>
          </w:p>
        </w:tc>
        <w:tc>
          <w:tcPr/>
          <w:p>
            <w:pPr>
              <w:pStyle w:val="Compact"/>
            </w:pPr>
            <w:r>
              <w:t xml:space="preserve">159 people with type 2 diabetes</w:t>
            </w:r>
            <w:r>
              <w:br/>
            </w:r>
            <w:r>
              <w:t xml:space="preserve">205 people with type 1 Diabetes</w:t>
            </w:r>
          </w:p>
        </w:tc>
        <w:tc>
          <w:tcPr/>
          <w:p>
            <w:pPr>
              <w:pStyle w:val="Compact"/>
            </w:pPr>
            <w:r>
              <w:t xml:space="preserve">205 people with type 1 Diabetes</w:t>
            </w:r>
          </w:p>
        </w:tc>
      </w:tr>
      <w:tr>
        <w:tc>
          <w:tcPr/>
          <w:p>
            <w:pPr>
              <w:pStyle w:val="Compact"/>
            </w:pPr>
            <w:r>
              <w:t xml:space="preserve">Input, predictors and exposures</w:t>
            </w:r>
          </w:p>
        </w:tc>
        <w:tc>
          <w:tcPr/>
          <w:p>
            <w:pPr>
              <w:pStyle w:val="Compact"/>
            </w:pPr>
            <w:r>
              <w:t xml:space="preserve">Search strategy and eligibility criteria</w:t>
            </w:r>
          </w:p>
        </w:tc>
        <w:tc>
          <w:tcPr/>
          <w:p>
            <w:pPr>
              <w:pStyle w:val="Compact"/>
            </w:pPr>
            <w:r>
              <w:t xml:space="preserve">Clinical variables, CGM-derived metrics and continuous CGM data</w:t>
            </w:r>
          </w:p>
        </w:tc>
        <w:tc>
          <w:tcPr/>
          <w:p>
            <w:pPr>
              <w:pStyle w:val="Compact"/>
            </w:pPr>
            <w:r>
              <w:t xml:space="preserve">Continuous CGM data</w:t>
            </w:r>
          </w:p>
        </w:tc>
      </w:tr>
      <w:tr>
        <w:tc>
          <w:tcPr/>
          <w:p>
            <w:pPr>
              <w:pStyle w:val="Compact"/>
            </w:pPr>
            <w:r>
              <w:t xml:space="preserve">Outcome, target</w:t>
            </w:r>
          </w:p>
        </w:tc>
        <w:tc>
          <w:tcPr/>
          <w:p>
            <w:pPr>
              <w:pStyle w:val="Compact"/>
            </w:pPr>
            <w:r>
              <w:t xml:space="preserve">All studies that uses CGM data to say something about cardiovascular disease risk and outcomes</w:t>
            </w:r>
          </w:p>
        </w:tc>
        <w:tc>
          <w:tcPr/>
          <w:p>
            <w:pPr>
              <w:pStyle w:val="Compact"/>
            </w:pPr>
            <w:r>
              <w:t xml:space="preserve">Visualisation of foundation model embeddings and elevated NT-proBNP prediction</w:t>
            </w:r>
          </w:p>
        </w:tc>
        <w:tc>
          <w:tcPr/>
          <w:p>
            <w:pPr>
              <w:pStyle w:val="Compact"/>
            </w:pPr>
            <w:r>
              <w:t xml:space="preserve">Next blood glucose value</w:t>
            </w:r>
          </w:p>
        </w:tc>
      </w:tr>
      <w:tr>
        <w:tc>
          <w:tcPr/>
          <w:p>
            <w:pPr>
              <w:pStyle w:val="Compact"/>
            </w:pPr>
            <w:r>
              <w:t xml:space="preserve">Analysis</w:t>
            </w:r>
          </w:p>
        </w:tc>
        <w:tc>
          <w:tcPr/>
          <w:p>
            <w:pPr>
              <w:pStyle w:val="Compact"/>
            </w:pPr>
            <w:r>
              <w:t xml:space="preserve">Systematic scoping review, study characterization, and narrative synthesis</w:t>
            </w:r>
          </w:p>
        </w:tc>
        <w:tc>
          <w:tcPr/>
          <w:p>
            <w:pPr>
              <w:pStyle w:val="Compact"/>
            </w:pPr>
            <w:r>
              <w:t xml:space="preserve">Foundation models and logistic regression models</w:t>
            </w:r>
          </w:p>
        </w:tc>
        <w:tc>
          <w:tcPr/>
          <w:p>
            <w:pPr>
              <w:pStyle w:val="Compact"/>
            </w:pPr>
            <w:r>
              <w:t xml:space="preserve">Long short term memory models (LSTM) and Linear mixed effect models (LMEM)</w:t>
            </w:r>
          </w:p>
        </w:tc>
      </w:tr>
    </w:tbl>
    <w:bookmarkEnd w:id="26"/>
    <w:bookmarkStart w:id="32" w:name="study-i-a-scoping-review"/>
    <w:p>
      <w:pPr>
        <w:pStyle w:val="Heading2"/>
      </w:pPr>
      <w:r>
        <w:t xml:space="preserve">3.2 Study I: A scoping Review</w:t>
      </w:r>
    </w:p>
    <w:p>
      <w:pPr>
        <w:pStyle w:val="Compact"/>
        <w:numPr>
          <w:ilvl w:val="0"/>
          <w:numId w:val="1016"/>
        </w:numPr>
      </w:pPr>
      <w:r>
        <w:t xml:space="preserve">Explain why scoping review and not a systematic review</w:t>
      </w:r>
    </w:p>
    <w:p>
      <w:pPr>
        <w:pStyle w:val="FirstParagraph"/>
      </w:pPr>
      <w:r>
        <w:t xml:space="preserve">A scoping review was conducted to investigate current knowledge of CGM-data and its possible connection and predictive power to clinical and subclinical cardiovascular outcomes.</w:t>
      </w:r>
      <w:r>
        <w:t xml:space="preserve"> </w:t>
      </w:r>
      <w:r>
        <w:t xml:space="preserve">Given the expected heterogeneity between studies, a scoping review was considered the most appropriate methodology.</w:t>
      </w:r>
      <w:r>
        <w:t xml:space="preserve"> </w:t>
      </w:r>
      <w:r>
        <w:t xml:space="preserve">The scoping review followed the Manual for Evidence Synthesis (Chapter 10 - Scoping reviews) from the Joanna Briggs Institute and reported according to the Preferred Reporting Items for Systematic Reviews and Meta-analyses extension for scoping review (PRISMA-ScR) guidelines.</w:t>
      </w:r>
      <w:r>
        <w:rPr>
          <w:vertAlign w:val="superscript"/>
        </w:rPr>
        <w:t xml:space="preserve">2,3</w:t>
      </w:r>
    </w:p>
    <w:bookmarkStart w:id="28" w:name="concepts-and-definitions"/>
    <w:p>
      <w:pPr>
        <w:pStyle w:val="Heading3"/>
      </w:pPr>
      <w:r>
        <w:t xml:space="preserve">Concepts and Definitions</w:t>
      </w:r>
    </w:p>
    <w:p>
      <w:pPr>
        <w:pStyle w:val="FirstParagraph"/>
      </w:pPr>
      <w:r>
        <w:t xml:space="preserve">The review focused solely on CGM-data for the input to any association or prediction models in the literature. This meant that studies only investigating self-monitored blood glucose with finger-prick measurements or blood sample measurements such as HbA1c were not considered in this review. CVD outcomes were divided into subclinical or clinical For the clinical CVD, the following outcomes were considered: cardiovascular mortality, major adverse cardiovascular events, coronary artery disease, heart failure, stroke, and peripheral artery disease with synonymous terms included (e.g., ischemic heart diseases) and also clinical events (e.g., undergoing coronary artery bypass surgery). Subclinical CVD was grouped into six subcategories: arterial stiffness, flow resistance, arterial wall thickness, arterial wall composition, cardiac and pulse-related measures, and arterial lumen. CVD outcomes did not include broader risk factors nonspecific to cardiovascular risk (e.g., age or sex). Eligibility criterias for the scoping review</w:t>
      </w:r>
      <w:r>
        <w:rPr>
          <w:vertAlign w:val="superscript"/>
        </w:rPr>
        <w:t xml:space="preserve">4</w:t>
      </w:r>
      <w:r>
        <w:t xml:space="preserve"> </w:t>
      </w:r>
      <w:r>
        <w:t xml:space="preserve">(Study I) can be found in</w:t>
      </w:r>
      <w:r>
        <w:t xml:space="preserve"> </w:t>
      </w:r>
      <w:hyperlink w:anchor="tbl-study1-eligibility-criteria">
        <w:r>
          <w:rPr>
            <w:rStyle w:val="Hyperlink"/>
          </w:rPr>
          <w:t xml:space="preserve">Table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study1-eligibility-criteria"/>
          <w:p>
            <w:pPr>
              <w:jc w:val="center"/>
            </w:pPr>
            <w:pPr>
              <w:jc w:val="left"/>
              <w:spacing w:before="200"/>
              <w:pStyle w:val="ImageCaption"/>
            </w:pPr>
            <w:r>
              <w:t xml:space="preserve">Table 3.1: Eligibility criteria for the scoping review (Study I)</w:t>
            </w:r>
          </w:p>
          <w:tbl>
            <w:tblPr>
              <w:tblStyle w:val="Table"/>
              <w:tblW w:type="pct" w:w="5000"/>
              <w:tblLayout w:type="fixed"/>
              <w:tblLook w:firstRow="1" w:lastRow="0" w:firstColumn="0" w:lastColumn="0" w:noHBand="0" w:noVBand="0" w:val="0020"/>
            </w:tblPr>
            <w:tblGrid>
              <w:gridCol w:w="4428"/>
              <w:gridCol w:w="3491"/>
            </w:tblGrid>
            <w:tr>
              <w:trPr>
                <w:tblHeader w:val="on"/>
              </w:trPr>
              <w:tc>
                <w:tcPr/>
                <w:p>
                  <w:pPr>
                    <w:pStyle w:val="Compact"/>
                    <w:jc w:val="left"/>
                    <w:jc w:val="center"/>
                  </w:pPr>
                  <w:r>
                    <w:t xml:space="preserve">Inclusion Criteria</w:t>
                  </w:r>
                </w:p>
              </w:tc>
              <w:tc>
                <w:tcPr/>
                <w:p>
                  <w:pPr>
                    <w:pStyle w:val="Compact"/>
                    <w:jc w:val="left"/>
                    <w:jc w:val="center"/>
                  </w:pPr>
                  <w:r>
                    <w:t xml:space="preserve">Exclusion Criteria</w:t>
                  </w:r>
                </w:p>
              </w:tc>
            </w:tr>
            <w:tr>
              <w:tc>
                <w:tcPr/>
                <w:p>
                  <w:pPr>
                    <w:jc w:val="left"/>
                    <w:jc w:val="center"/>
                  </w:pPr>
                  <w:r>
                    <w:t xml:space="preserve">Human clinical studies including participants with prediabetes or any type of diabetes except for gestational diabetes, regardless of definitions</w:t>
                  </w:r>
                </w:p>
                <w:p>
                  <w:pPr>
                    <w:jc w:val="left"/>
                    <w:jc w:val="center"/>
                  </w:pPr>
                  <w:r>
                    <w:t xml:space="preserve">Peer-reviewed published original articles (including brief reports).</w:t>
                  </w:r>
                </w:p>
                <w:p>
                  <w:pPr>
                    <w:jc w:val="left"/>
                    <w:jc w:val="center"/>
                  </w:pPr>
                  <w:r>
                    <w:t xml:space="preserve">Studies investigating either:</w:t>
                  </w:r>
                  <w:r>
                    <w:br/>
                  </w:r>
                  <w:r>
                    <w:t xml:space="preserve">  a) The association between CGM-derived metrics of glycemic control and cardiovascular risk markers or cardiovascular diseases (prevalent or incident).</w:t>
                  </w:r>
                  <w:r>
                    <w:br/>
                  </w:r>
                  <w:r>
                    <w:t xml:space="preserve">  b) CGM-derived metrics of glycemic control as predictors of cardiovascular risk markers or cardiovascular diseases (prevalent or incident).</w:t>
                  </w:r>
                </w:p>
              </w:tc>
              <w:tc>
                <w:tcPr/>
                <w:p>
                  <w:pPr>
                    <w:jc w:val="left"/>
                    <w:jc w:val="center"/>
                  </w:pPr>
                  <w:r>
                    <w:t xml:space="preserve">Review articles, editorials, case reports, protocols, conference abstracts, and preprints.</w:t>
                  </w:r>
                </w:p>
                <w:p>
                  <w:pPr>
                    <w:jc w:val="left"/>
                    <w:jc w:val="center"/>
                  </w:pPr>
                  <w:r>
                    <w:t xml:space="preserve">Animal studies not including any human participants.</w:t>
                  </w:r>
                </w:p>
                <w:p>
                  <w:pPr>
                    <w:jc w:val="left"/>
                    <w:jc w:val="center"/>
                  </w:pPr>
                  <w:r>
                    <w:t xml:space="preserve">Studies not including metrics derived from continuous glucose monitoring device data.</w:t>
                  </w:r>
                </w:p>
                <w:p>
                  <w:pPr>
                    <w:jc w:val="left"/>
                    <w:jc w:val="center"/>
                  </w:pPr>
                  <w:r>
                    <w:t xml:space="preserve">Studies including CGM-derived metrics as outcomes.</w:t>
                  </w:r>
                </w:p>
                <w:p>
                  <w:pPr>
                    <w:jc w:val="left"/>
                    <w:jc w:val="center"/>
                  </w:pPr>
                  <w:r>
                    <w:t xml:space="preserve">Studies not focusing on CVD outcomes according to our definition, as outlined in the “Concepts and Definitions” section.</w:t>
                  </w:r>
                </w:p>
                <w:p>
                  <w:pPr>
                    <w:jc w:val="left"/>
                    <w:jc w:val="center"/>
                  </w:pPr>
                  <w:r>
                    <w:t xml:space="preserve">Studies focusing on pregnant women with any form of diabetes including gestational diabetes.</w:t>
                  </w:r>
                </w:p>
                <w:p>
                  <w:pPr>
                    <w:jc w:val="left"/>
                    <w:jc w:val="center"/>
                  </w:pPr>
                  <w:r>
                    <w:t xml:space="preserve">Studies where participants were monitored post-surgery or during hospitalization (e.g. Intensive care unit).</w:t>
                  </w:r>
                </w:p>
                <w:p>
                  <w:pPr>
                    <w:jc w:val="left"/>
                    <w:jc w:val="center"/>
                  </w:pPr>
                  <w:r>
                    <w:t xml:space="preserve">Language not understood by authors</w:t>
                  </w:r>
                </w:p>
              </w:tc>
            </w:tr>
          </w:tbl>
          <w:bookmarkEnd w:id="27"/>
          <w:p/>
        </w:tc>
      </w:tr>
    </w:tbl>
    <w:bookmarkEnd w:id="28"/>
    <w:bookmarkStart w:id="29" w:name="search-and-selection-of-sources"/>
    <w:p>
      <w:pPr>
        <w:pStyle w:val="Heading3"/>
      </w:pPr>
      <w:r>
        <w:t xml:space="preserve">Search and Selection of Sources</w:t>
      </w:r>
    </w:p>
    <w:p>
      <w:pPr>
        <w:pStyle w:val="FirstParagraph"/>
      </w:pPr>
      <w:r>
        <w:t xml:space="preserve">The databases Embase and Medline were searched from inception to March 11, 2025. The seach strategy was tested against 13 articles in the field, found through an initial exploratory search.</w:t>
      </w:r>
      <w:r>
        <w:rPr>
          <w:vertAlign w:val="superscript"/>
        </w:rPr>
        <w:t xml:space="preserve">5–17</w:t>
      </w:r>
      <w:r>
        <w:t xml:space="preserve">.</w:t>
      </w:r>
      <w:r>
        <w:t xml:space="preserve"> </w:t>
      </w:r>
      <w:r>
        <w:t xml:space="preserve">The full search strategy can be found in</w:t>
      </w:r>
      <w:r>
        <w:t xml:space="preserve"> </w:t>
      </w:r>
      <w:hyperlink w:anchor="sec-suppl-search-strings">
        <w:r>
          <w:rPr>
            <w:rStyle w:val="Hyperlink"/>
          </w:rPr>
          <w:t xml:space="preserve">Appendix A</w:t>
        </w:r>
      </w:hyperlink>
      <w:r>
        <w:t xml:space="preserve">.</w:t>
      </w:r>
    </w:p>
    <w:p>
      <w:pPr>
        <w:pStyle w:val="BodyText"/>
      </w:pPr>
      <w:r>
        <w:t xml:space="preserve">All identified records were uploaded into EPPI reviewer 6</w:t>
      </w:r>
      <w:r>
        <w:rPr>
          <w:vertAlign w:val="superscript"/>
        </w:rPr>
        <w:t xml:space="preserve">18</w:t>
      </w:r>
      <w:r>
        <w:t xml:space="preserve"> </w:t>
      </w:r>
      <w:r>
        <w:t xml:space="preserve">and duplicates were removed. Titles and abstracts were screened by at least two independent reviewers and a meeting was held after ~5% of the titles and abstracts had been screened, to resolve disagreements and ensure consistency between reviewers. Afterwards full-text screening was performed by two independent reviewers and held up against eligibility criteria. Disagreements were resolved through discussion at physical meetings between reviewers.</w:t>
      </w:r>
    </w:p>
    <w:p>
      <w:pPr>
        <w:pStyle w:val="BodyText"/>
      </w:pPr>
      <w:r>
        <w:t xml:space="preserve">Backward and forward citation searching was performed on all the included studies after the screening process using citationchaser</w:t>
      </w:r>
      <w:r>
        <w:rPr>
          <w:vertAlign w:val="superscript"/>
        </w:rPr>
        <w:t xml:space="preserve">19</w:t>
      </w:r>
      <w:r>
        <w:t xml:space="preserve"> </w:t>
      </w:r>
      <w:r>
        <w:t xml:space="preserve">and the screen process was repeated until no further new studies were identified through the citationchaser.</w:t>
      </w:r>
    </w:p>
    <w:bookmarkEnd w:id="29"/>
    <w:bookmarkStart w:id="30" w:name="data-charting-process-and-data-items"/>
    <w:p>
      <w:pPr>
        <w:pStyle w:val="Heading3"/>
      </w:pPr>
      <w:r>
        <w:t xml:space="preserve">Data Charting Process and Data Items</w:t>
      </w:r>
    </w:p>
    <w:p>
      <w:pPr>
        <w:pStyle w:val="FirstParagraph"/>
      </w:pPr>
      <w:r>
        <w:t xml:space="preserve">Research questions were defined before the screening process and data was extracted based on these research questions (</w:t>
      </w:r>
      <w:hyperlink w:anchor="nte-study1-research-q">
        <w:r>
          <w:rPr>
            <w:rStyle w:val="Hyperlink"/>
          </w:rPr>
          <w:t xml:space="preserve">Note 3.1</w:t>
        </w:r>
      </w:hyperlink>
      <w:r>
        <w:t xml:space="preserve"> </w:t>
      </w:r>
      <w:r>
        <w:t xml:space="preserve">) and following the requirements from the PRISMA-ScR checklist.</w:t>
      </w:r>
      <w:r>
        <w:rPr>
          <w:vertAlign w:val="superscript"/>
        </w:rPr>
        <w:t xml:space="preserve">2</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Note 3.1: Research Questions (Study 1)</w:t>
            </w:r>
          </w:p>
          <w:p>
            <w:pPr>
              <w:pStyle w:val="Compact"/>
              <w:numPr>
                <w:ilvl w:val="0"/>
                <w:numId w:val="1017"/>
              </w:numPr>
            </w:pPr>
            <w:r>
              <w:t xml:space="preserve">Is there an association between glycemic control and CVD risk?</w:t>
            </w:r>
          </w:p>
          <w:p>
            <w:pPr>
              <w:pStyle w:val="Compact"/>
              <w:numPr>
                <w:ilvl w:val="0"/>
                <w:numId w:val="1017"/>
              </w:numPr>
            </w:pPr>
            <w:r>
              <w:t xml:space="preserve">Can CGM-derived metrics predict CVD risk?</w:t>
            </w:r>
          </w:p>
          <w:p>
            <w:pPr>
              <w:pStyle w:val="Compact"/>
              <w:numPr>
                <w:ilvl w:val="0"/>
                <w:numId w:val="1017"/>
              </w:numPr>
            </w:pPr>
            <w:r>
              <w:t xml:space="preserve">What CGM-derived metrics are used in the literature?</w:t>
            </w:r>
          </w:p>
          <w:p>
            <w:pPr>
              <w:pStyle w:val="Compact"/>
              <w:numPr>
                <w:ilvl w:val="0"/>
                <w:numId w:val="1017"/>
              </w:numPr>
            </w:pPr>
            <w:r>
              <w:t xml:space="preserve">Which cardiovascular markers and diseases are included as outcomes in the studies?</w:t>
            </w:r>
          </w:p>
          <w:p>
            <w:pPr>
              <w:pStyle w:val="Compact"/>
              <w:numPr>
                <w:ilvl w:val="0"/>
                <w:numId w:val="1017"/>
              </w:numPr>
            </w:pPr>
            <w:r>
              <w:t xml:space="preserve">What characterizes study populations (age, sex, ethnicity, geographic location)?</w:t>
            </w:r>
          </w:p>
          <w:p>
            <w:pPr>
              <w:pStyle w:val="Compact"/>
              <w:numPr>
                <w:ilvl w:val="0"/>
                <w:numId w:val="1017"/>
              </w:numPr>
            </w:pPr>
            <w:r>
              <w:t xml:space="preserve">What study designs are used (e.g., longitudinal cohort studies, randomized controlled trials, cross-sectional studies)?</w:t>
            </w:r>
          </w:p>
          <w:p>
            <w:pPr>
              <w:pStyle w:val="Compact"/>
              <w:numPr>
                <w:ilvl w:val="0"/>
                <w:numId w:val="1017"/>
              </w:numPr>
            </w:pPr>
            <w:r>
              <w:t xml:space="preserve">How was data collected (e.g., clinical trial, epidemiological study, routinely collected data)?</w:t>
            </w:r>
          </w:p>
          <w:p>
            <w:pPr>
              <w:pStyle w:val="Compact"/>
              <w:numPr>
                <w:ilvl w:val="0"/>
                <w:numId w:val="1017"/>
              </w:numPr>
            </w:pPr>
            <w:r>
              <w:t xml:space="preserve">What CGM devices were used?</w:t>
            </w:r>
          </w:p>
          <w:p>
            <w:pPr>
              <w:pStyle w:val="Compact"/>
              <w:numPr>
                <w:ilvl w:val="0"/>
                <w:numId w:val="1017"/>
              </w:numPr>
            </w:pPr>
            <w:r>
              <w:t xml:space="preserve">What statistical models were used in the studies?</w:t>
            </w:r>
          </w:p>
          <w:p>
            <w:pPr>
              <w:pStyle w:val="Compact"/>
              <w:numPr>
                <w:ilvl w:val="0"/>
                <w:numId w:val="1017"/>
              </w:numPr>
            </w:pPr>
            <w:r>
              <w:t xml:space="preserve">Is the data openly available?</w:t>
            </w:r>
          </w:p>
          <w:p>
            <w:pPr>
              <w:pStyle w:val="Compact"/>
              <w:numPr>
                <w:ilvl w:val="0"/>
                <w:numId w:val="1017"/>
              </w:numPr>
            </w:pPr>
            <w:r>
              <w:t xml:space="preserve">Is the code openly available?</w:t>
            </w:r>
          </w:p>
        </w:tc>
      </w:tr>
    </w:tbl>
    <w:bookmarkEnd w:id="30"/>
    <w:bookmarkStart w:id="31" w:name="synthesis-of-results"/>
    <w:p>
      <w:pPr>
        <w:pStyle w:val="Heading3"/>
      </w:pPr>
      <w:r>
        <w:t xml:space="preserve">Synthesis of Results</w:t>
      </w:r>
    </w:p>
    <w:p>
      <w:pPr>
        <w:pStyle w:val="FirstParagraph"/>
      </w:pPr>
      <w:r>
        <w:t xml:space="preserve">Study characteristics were synthesized using descriptive statistics and supplemented by a narrative summary. Only the most adjusted models in the main population for each study was considered in this review. This approach was necessary as several studies reported numerous estimates across varying adjustments, different combinations of CGM-derived metrics and CVD outcomes, and/or distinct subgroup stratifications. Given the large volume of literature, studies investigating clinical cardiovascular outcomes were prioritized in the main synthesis. While subclinical markers offer valuable insight into early vascular changes and disease progression, clinical outcomes are more directly relevant to cardiovascular risk prediction and clinical decision-making. The main synthesis of clinical outcomes included both effect estimates and measures of statistical significance whereas the supplementary synthesis on subclinical CVD focused primarily on creating an overview of the chosen CGM-derived metrics and the statistical significance of reported associations. All evaluation metrics mentioned in the studies doing prediction analyses were reported based on what the studies reported.</w:t>
      </w:r>
    </w:p>
    <w:bookmarkEnd w:id="31"/>
    <w:bookmarkEnd w:id="32"/>
    <w:bookmarkStart w:id="40" w:name="study-populations"/>
    <w:p>
      <w:pPr>
        <w:pStyle w:val="Heading2"/>
      </w:pPr>
      <w:r>
        <w:t xml:space="preserve">3.3 Study Populations</w:t>
      </w:r>
    </w:p>
    <w:p>
      <w:pPr>
        <w:pStyle w:val="FirstParagraph"/>
      </w:pPr>
      <w:r>
        <w:t xml:space="preserve">Two datasets were used in this PhD (Study II and study III) which are presented in the following sections</w:t>
      </w:r>
    </w:p>
    <w:bookmarkStart w:id="38" w:name="cancan"/>
    <w:p>
      <w:pPr>
        <w:pStyle w:val="Heading3"/>
      </w:pPr>
      <w:r>
        <w:t xml:space="preserve">CANCAN</w:t>
      </w:r>
    </w:p>
    <w:p>
      <w:pPr>
        <w:pStyle w:val="FirstParagraph"/>
      </w:pPr>
      <w:r>
        <w:t xml:space="preserve">The CANCAN dataset was collected in an observational case-control study from three hospital outpatient clinics (Denmark). The aim of the CANCAN Study was to investigate if cardiac autonomic neuropathy (CAN) assessments, CGM and heart failure indicators could be used in risk stratification in people with T2D. Participants were included if they were adults (&lt; 18 years old) and had T2D for at least a year. Exclusion criteria were atrial fibrillation or laser-treated eye disease within the past three months, were pregnant or lactating, had a life-threatening disease (expected survival &lt; 1 year), or had cognitive disabilities rendering them unable to understand and give consent. Data were collected during a clinical examination, during which blood and urine samples were obtained, and a blinded CGM sensor was inserted. Blood samples to obtain NT-proBNP values were collected when the CGM sensors were returned, after the 2-week CGM data collection period had ended (</w:t>
      </w:r>
      <w:hyperlink w:anchor="fig-cancan-timeline">
        <w:r>
          <w:rPr>
            <w:rStyle w:val="Hyperlink"/>
          </w:rPr>
          <w:t xml:space="preserve">Figure 3.1</w:t>
        </w:r>
      </w:hyperlink>
      <w:r>
        <w:t xml:space="preserve">). In total, 159 participants were incluceded since the rest were missing age, sex, HbA1c, BMI, NT-proBNP, HDL, total cholesterol, or eGFR and these values were needed for the analyses in Study II.</w:t>
      </w:r>
    </w:p>
    <w:tbl>
      <w:tblPr>
        <w:tblStyle w:val="Table"/>
        <w:tblW w:type="pct" w:w="5000"/>
        <w:tblLayout w:type="fixed"/>
        <w:tblLook w:firstRow="0" w:lastRow="0" w:firstColumn="0" w:lastColumn="0" w:noHBand="0" w:noVBand="0" w:val="0000"/>
      </w:tblPr>
      <w:tblGrid>
        <w:gridCol w:w="7920"/>
      </w:tblGrid>
      <w:tr>
        <w:tc>
          <w:tcPr/>
          <w:bookmarkStart w:id="37" w:name="fig-cancan-timeline"/>
          <w:p>
            <w:pPr>
              <w:pStyle w:val="Compact"/>
              <w:jc w:val="center"/>
            </w:pPr>
            <w:hyperlink r:id="rId36">
              <w:r>
                <w:drawing>
                  <wp:inline>
                    <wp:extent cx="4119377" cy="3350426"/>
                    <wp:effectExtent b="0" l="0" r="0" t="0"/>
                    <wp:docPr descr="" title="" id="34" name="Picture"/>
                    <a:graphic>
                      <a:graphicData uri="http://schemas.openxmlformats.org/drawingml/2006/picture">
                        <pic:pic>
                          <pic:nvPicPr>
                            <pic:cNvPr descr="figures/3_methods_fig/cancan_timeline.png" id="35" name="Picture"/>
                            <pic:cNvPicPr>
                              <a:picLocks noChangeArrowheads="1" noChangeAspect="1"/>
                            </pic:cNvPicPr>
                          </pic:nvPicPr>
                          <pic:blipFill>
                            <a:blip r:embed="rId33"/>
                            <a:stretch>
                              <a:fillRect/>
                            </a:stretch>
                          </pic:blipFill>
                          <pic:spPr bwMode="auto">
                            <a:xfrm>
                              <a:off x="0" y="0"/>
                              <a:ext cx="4119377" cy="3350426"/>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3.1: Data collection timeline for the CANCAN Study</w:t>
            </w:r>
          </w:p>
          <w:bookmarkEnd w:id="37"/>
        </w:tc>
      </w:tr>
    </w:tbl>
    <w:bookmarkEnd w:id="38"/>
    <w:bookmarkStart w:id="39" w:name="t1dx"/>
    <w:p>
      <w:pPr>
        <w:pStyle w:val="Heading3"/>
      </w:pPr>
      <w:r>
        <w:t xml:space="preserve">T1DX</w:t>
      </w:r>
    </w:p>
    <w:p>
      <w:pPr>
        <w:pStyle w:val="FirstParagraph"/>
      </w:pPr>
      <w:r>
        <w:t xml:space="preserve">The publicly available T1D Exchange (T1DX) dataset, distributed by the JAEB Center for Health Research under the protocol “Racial Differences in Mean CGM Glucose in Relation to HbA1c, was collected in 10 diabetes centers (US).</w:t>
      </w:r>
      <w:r>
        <w:rPr>
          <w:vertAlign w:val="superscript"/>
        </w:rPr>
        <w:t xml:space="preserve">20</w:t>
      </w:r>
      <w:r>
        <w:t xml:space="preserve"> </w:t>
      </w:r>
      <w:r>
        <w:t xml:space="preserve">The data was collected to determine if there is a racial difference in the association between mean glucose and glycated hemoglobin (HbA1c) between non-Hispanic African Americans or black (Black) and non-Hispanic white (White) people with T1D. In the T1DX study ethnicity and race was defined through self-identified and self-reported ethnicity/race verification forms where ethnicity was defined as Hispanic or Latino as:</w:t>
      </w:r>
      <w:r>
        <w:t xml:space="preserve"> </w:t>
      </w:r>
      <w:r>
        <w:rPr>
          <w:i/>
          <w:iCs/>
        </w:rPr>
        <w:t xml:space="preserve">“a person of Cuban, Mexican, Puerto Rican, South or Central American, or other Spanish culture or origin, regardless of race. The term “Spanish origin” could be used in addition to “Hispanic” or “Latino”“</w:t>
      </w:r>
      <w:r>
        <w:t xml:space="preserve">.</w:t>
      </w:r>
      <w:r>
        <w:rPr>
          <w:vertAlign w:val="superscript"/>
        </w:rPr>
        <w:t xml:space="preserve">21</w:t>
      </w:r>
      <w:r>
        <w:t xml:space="preserve"> </w:t>
      </w:r>
      <w:r>
        <w:t xml:space="preserve">For race a participant defined as White was</w:t>
      </w:r>
      <w:r>
        <w:t xml:space="preserve"> </w:t>
      </w:r>
      <w:r>
        <w:rPr>
          <w:i/>
          <w:iCs/>
        </w:rPr>
        <w:t xml:space="preserve">“a person having origins in any of the original peoples of Europe, the Middle East or North Africa.” and Black or African American as “a person having origins in any of the Black racial groups of Africa. Terms such as “Haitian” or “Negro” can be used in addition to “Black” or “African American””</w:t>
      </w:r>
      <w:r>
        <w:t xml:space="preserve">.</w:t>
      </w:r>
      <w:r>
        <w:rPr>
          <w:vertAlign w:val="superscript"/>
        </w:rPr>
        <w:t xml:space="preserve">21</w:t>
      </w:r>
      <w:r>
        <w:t xml:space="preserve"> </w:t>
      </w:r>
      <w:r>
        <w:t xml:space="preserve">In this thesis, the term race will be used moving forward, as it aligns with the terminology used by Bergenstal et al.</w:t>
      </w:r>
      <w:r>
        <w:rPr>
          <w:vertAlign w:val="superscript"/>
        </w:rPr>
        <w:t xml:space="preserve">21</w:t>
      </w:r>
      <w:r>
        <w:t xml:space="preserve">, it is, however, acknowledge that it is inherently difficult to define race.</w:t>
      </w:r>
      <w:r>
        <w:rPr>
          <w:vertAlign w:val="superscript"/>
        </w:rPr>
        <w:t xml:space="preserve">22</w:t>
      </w:r>
      <w:r>
        <w:t xml:space="preserve"> </w:t>
      </w:r>
      <w:r>
        <w:t xml:space="preserve">The T1DX study adhered to the tenets of the Declaration of Helsinki and was approved by the local institutional review boards and 205 people completed the study by providing written informed consent and assent when applicable.</w:t>
      </w:r>
      <w:r>
        <w:rPr>
          <w:vertAlign w:val="superscript"/>
        </w:rPr>
        <w:t xml:space="preserve">21</w:t>
      </w:r>
      <w:r>
        <w:t xml:space="preserve"> </w:t>
      </w:r>
      <w:r>
        <w:t xml:space="preserve">All 205 participants were included in further analyses. Of the 205 participants, 101 were White and 104 were Black. For each race, two age groups were sampled 8 to &lt;18 years old and &gt;18. Each participant wore a blinded modified investigational version of Abbott Diabetes Care’s Flash Glucose Monitoring System (CGM) as continuously as possible for 12 weeks. CGM data was sampled every 15 minutes in a range between 2.21 - 27.65 mmol/L (40 and 498 mg/dL). Blood samples were taken for measurement at enrollment, at some of the follow-up visits, and at the end of enrollment.</w:t>
      </w:r>
      <w:r>
        <w:t xml:space="preserve"> </w:t>
      </w:r>
    </w:p>
    <w:bookmarkEnd w:id="39"/>
    <w:bookmarkEnd w:id="40"/>
    <w:bookmarkStart w:id="58" w:name="X2eb1b3f1a56fe1a9eef0165a876a83f54231662"/>
    <w:p>
      <w:pPr>
        <w:pStyle w:val="Heading2"/>
      </w:pPr>
      <w:r>
        <w:t xml:space="preserve">3.4 Study II: Foundation models and predictive utility of CGM data</w:t>
      </w:r>
    </w:p>
    <w:p>
      <w:pPr>
        <w:pStyle w:val="FirstParagraph"/>
      </w:pPr>
      <w:r>
        <w:t xml:space="preserve">The second study was focused on investigating the knowledge and predictive utility of CGM data, both extracting a novel CGM-derived metric and the classical known ones found in study I.</w:t>
      </w:r>
      <w:r>
        <w:rPr>
          <w:vertAlign w:val="superscript"/>
        </w:rPr>
        <w:t xml:space="preserve">4</w:t>
      </w:r>
    </w:p>
    <w:bookmarkStart w:id="41" w:name="data-and-participant-selection"/>
    <w:p>
      <w:pPr>
        <w:pStyle w:val="Heading3"/>
      </w:pPr>
      <w:r>
        <w:t xml:space="preserve">Data and Participant Selection</w:t>
      </w:r>
    </w:p>
    <w:p>
      <w:pPr>
        <w:pStyle w:val="FirstParagraph"/>
      </w:pPr>
      <w:r>
        <w:t xml:space="preserve">Both the CANCAN and the T1DX dataset was used for Study II.</w:t>
      </w:r>
      <w:r>
        <w:t xml:space="preserve"> </w:t>
      </w:r>
      <w:r>
        <w:t xml:space="preserve">Participants with missing age, sex, HbA1c or BMI were removed for both cohorts and additional CANCAN participants with missing NT-proBNP, HDL, total cholesterol, and eGFR were also removed, since it was wished to calculate the SCORE2-Diabetes risk score.</w:t>
      </w:r>
      <w:r>
        <w:t xml:space="preserve"> </w:t>
      </w:r>
      <w:r>
        <w:t xml:space="preserve">T1DX participants with missing race data were also removed.</w:t>
      </w:r>
      <w:r>
        <w:t xml:space="preserve"> </w:t>
      </w:r>
      <w:r>
        <w:t xml:space="preserve">Days with less than 70% of CGM data were removed as well as participants with less than one day of data from both datasets to ensure sufficient data for the analyses.</w:t>
      </w:r>
      <w:r>
        <w:t xml:space="preserve"> </w:t>
      </w:r>
      <w:r>
        <w:t xml:space="preserve">The final number of participants included in Study II was 159 from the CANCAN dataset and 205 from the T1DX dataset.</w:t>
      </w:r>
    </w:p>
    <w:bookmarkEnd w:id="41"/>
    <w:bookmarkStart w:id="57" w:name="embeddings"/>
    <w:p>
      <w:pPr>
        <w:pStyle w:val="Heading3"/>
      </w:pPr>
      <w:r>
        <w:t xml:space="preserve">Embeddings</w:t>
      </w:r>
    </w:p>
    <w:p>
      <w:pPr>
        <w:pStyle w:val="FirstParagraph"/>
      </w:pPr>
      <w:r>
        <w:t xml:space="preserve">Two promising CGM specific foundation models exist, both published within the last year.</w:t>
      </w:r>
      <w:r>
        <w:rPr>
          <w:vertAlign w:val="superscript"/>
        </w:rPr>
        <w:t xml:space="preserve">23</w:t>
      </w:r>
      <w:r>
        <w:t xml:space="preserve"> </w:t>
      </w:r>
      <w:r>
        <w:t xml:space="preserve">Of the two foundation models, only one model is fully open access, the CGMformer.</w:t>
      </w:r>
      <w:r>
        <w:rPr>
          <w:vertAlign w:val="superscript"/>
        </w:rPr>
        <w:t xml:space="preserve">1</w:t>
      </w:r>
      <w:r>
        <w:t xml:space="preserve"> </w:t>
      </w:r>
      <w:r>
        <w:t xml:space="preserve">The CGMformer was therefore chosen and the data was organized in 24-hour long-format input to match the input requirements of the CGMformer.</w:t>
      </w:r>
      <w:r>
        <w:t xml:space="preserve"> </w:t>
      </w:r>
      <w:r>
        <w:t xml:space="preserve">The output of the foundation model is an embedding, which is a numerical vector that summarizes the characteristics of the input glucose profile.</w:t>
      </w:r>
      <w:r>
        <w:t xml:space="preserve"> </w:t>
      </w:r>
      <w:r>
        <w:t xml:space="preserve">A simple vector can be drawn as an arrow in a 2-dimensional space as shown in</w:t>
      </w:r>
      <w:r>
        <w:t xml:space="preserve"> </w:t>
      </w:r>
      <w:hyperlink w:anchor="fig-cancan-embedding">
        <w:r>
          <w:rPr>
            <w:rStyle w:val="Hyperlink"/>
          </w:rPr>
          <w:t xml:space="preserve">Figure 3.2</w:t>
        </w:r>
      </w:hyperlink>
      <w:r>
        <w:t xml:space="preserve">, however the CGMformer gives a 128-dimensional embedding vector for each 24-hour CGM data input which is not possible to visualize.</w:t>
      </w:r>
      <w:r>
        <w:t xml:space="preserve"> </w:t>
      </w:r>
      <w:r>
        <w:t xml:space="preserve">Uniform Manifold Approximation and Projection (UMAP) algorithm was used to reduce the dimensionality of the embeddings to two dimensions for visualization purposes and to compare with current literature.</w:t>
      </w:r>
      <w:r>
        <w:rPr>
          <w:vertAlign w:val="superscript"/>
        </w:rPr>
        <w:t xml:space="preserve">1,23,24</w:t>
      </w:r>
      <w:r>
        <w:t xml:space="preserve">. The UMAPs were colored by TIR, and MAGE to investigate if the embeddings were able to capture relevant information about glycemic patterns. History of CVD and elevated NT-proBNPfor the CANCAN embeddings were also used to color the UMAPs to investigate if the embeddings were able to capture relevant information about cardiovascular risk and race was used to color the T1DX embeddings to investigate if the embeddings were able to capture relevant information about racial differences in glycemic patterns.</w:t>
      </w:r>
    </w:p>
    <w:tbl>
      <w:tblPr>
        <w:tblStyle w:val="Table"/>
        <w:tblW w:type="pct" w:w="5000"/>
        <w:tblLayout w:type="fixed"/>
        <w:tblLook w:firstRow="0" w:lastRow="0" w:firstColumn="0" w:lastColumn="0" w:noHBand="0" w:noVBand="0" w:val="0000"/>
      </w:tblPr>
      <w:tblGrid>
        <w:gridCol w:w="7920"/>
      </w:tblGrid>
      <w:tr>
        <w:tc>
          <w:tcPr/>
          <w:bookmarkStart w:id="46" w:name="fig-cancan-embedding"/>
          <w:p>
            <w:pPr>
              <w:pStyle w:val="Compact"/>
              <w:jc w:val="center"/>
            </w:pPr>
            <w:hyperlink r:id="rId45">
              <w:r>
                <w:drawing>
                  <wp:inline>
                    <wp:extent cx="1760048" cy="1760048"/>
                    <wp:effectExtent b="0" l="0" r="0" t="0"/>
                    <wp:docPr descr="" title="" id="43" name="Picture"/>
                    <a:graphic>
                      <a:graphicData uri="http://schemas.openxmlformats.org/drawingml/2006/picture">
                        <pic:pic>
                          <pic:nvPicPr>
                            <pic:cNvPr descr="figures/3_methods_fig/study2_embedding.png" id="44" name="Picture"/>
                            <pic:cNvPicPr>
                              <a:picLocks noChangeArrowheads="1" noChangeAspect="1"/>
                            </pic:cNvPicPr>
                          </pic:nvPicPr>
                          <pic:blipFill>
                            <a:blip r:embed="rId42"/>
                            <a:stretch>
                              <a:fillRect/>
                            </a:stretch>
                          </pic:blipFill>
                          <pic:spPr bwMode="auto">
                            <a:xfrm>
                              <a:off x="0" y="0"/>
                              <a:ext cx="1760048" cy="176004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3.2: Embeddings shown as 2-dimensional vectors with the angle</w:t>
            </w:r>
            <w:r>
              <w:t xml:space="preserve"> </w:t>
            </w:r>
            <m:oMath>
              <m:r>
                <m:t>θ</m:t>
              </m:r>
            </m:oMath>
            <w:r>
              <w:t xml:space="preserve"> </w:t>
            </w:r>
            <w:r>
              <w:t xml:space="preserve">between the two embeddings.</w:t>
            </w:r>
          </w:p>
          <w:bookmarkEnd w:id="46"/>
        </w:tc>
      </w:tr>
    </w:tbl>
    <w:p>
      <w:pPr>
        <w:pStyle w:val="BodyText"/>
      </w:pPr>
      <w:r>
        <w:t xml:space="preserve">Because embeddings are numerical vectors, they can be compared to quantify the similarity between glucose profiles. Cosine similarity was used because it measures the angle between two embedding vectors independent of their magnitude (the length of the vectors).</w:t>
      </w:r>
      <w:r>
        <w:t xml:space="preserve"> </w:t>
      </w:r>
      <w:r>
        <w:t xml:space="preserve">The cosine similarity is calculated by measuring the cosine angle between two vectors as shown by</w:t>
      </w:r>
      <w:r>
        <w:t xml:space="preserve"> </w:t>
      </w:r>
      <m:oMath>
        <m:r>
          <m:t>θ</m:t>
        </m:r>
      </m:oMath>
      <w:r>
        <w:t xml:space="preserve"> </w:t>
      </w:r>
      <w:r>
        <w:t xml:space="preserve">in</w:t>
      </w:r>
      <w:r>
        <w:t xml:space="preserve"> </w:t>
      </w:r>
      <w:hyperlink w:anchor="fig-cancan-embedding">
        <w:r>
          <w:rPr>
            <w:rStyle w:val="Hyperlink"/>
          </w:rPr>
          <w:t xml:space="preserve">Figure 3.2</w:t>
        </w:r>
      </w:hyperlink>
      <w:r>
        <w:t xml:space="preserve">. The cosine similarity is a number between -1 and 1, where 1 means the two vectors are identical, 0 means they are unrelated, and -1 means that they are pointing in opposite directions(</w:t>
      </w:r>
      <w:hyperlink w:anchor="fig-cancan-co_sim_emb">
        <w:r>
          <w:rPr>
            <w:rStyle w:val="Hyperlink"/>
          </w:rPr>
          <w:t xml:space="preserve">Figure 3.3</w:t>
        </w:r>
      </w:hyperlink>
      <w:r>
        <w:t xml:space="preserve">). For the analyses in this study, cosine distance (1 − cosine similarity) was used because it expresses similarity as a distance measure, allowing embeddings with similar orientations to have small distances and facilitating downstream analyses and visualizations. The cosine distances range from 0 to 2 where 0 means the two vectors are identical, 1 means they are unrelated, and 2 means that they are pointing in opposite directions.</w:t>
      </w:r>
    </w:p>
    <w:tbl>
      <w:tblPr>
        <w:tblStyle w:val="Table"/>
        <w:tblW w:type="pct" w:w="5000"/>
        <w:tblLayout w:type="fixed"/>
        <w:tblLook w:firstRow="0" w:lastRow="0" w:firstColumn="0" w:lastColumn="0" w:noHBand="0" w:noVBand="0" w:val="0000"/>
      </w:tblPr>
      <w:tblGrid>
        <w:gridCol w:w="7920"/>
      </w:tblGrid>
      <w:tr>
        <w:tc>
          <w:tcPr/>
          <w:bookmarkStart w:id="51" w:name="fig-cancan-co_sim_emb"/>
          <w:p>
            <w:pPr>
              <w:pStyle w:val="Compact"/>
              <w:jc w:val="center"/>
            </w:pPr>
            <w:hyperlink r:id="rId50">
              <w:r>
                <w:drawing>
                  <wp:inline>
                    <wp:extent cx="5334000" cy="2260979"/>
                    <wp:effectExtent b="0" l="0" r="0" t="0"/>
                    <wp:docPr descr="" title="" id="48" name="Picture"/>
                    <a:graphic>
                      <a:graphicData uri="http://schemas.openxmlformats.org/drawingml/2006/picture">
                        <pic:pic>
                          <pic:nvPicPr>
                            <pic:cNvPr descr="figures/3_methods_fig/study2_co_sim_emb.png" id="49" name="Picture"/>
                            <pic:cNvPicPr>
                              <a:picLocks noChangeArrowheads="1" noChangeAspect="1"/>
                            </pic:cNvPicPr>
                          </pic:nvPicPr>
                          <pic:blipFill>
                            <a:blip r:embed="rId47"/>
                            <a:stretch>
                              <a:fillRect/>
                            </a:stretch>
                          </pic:blipFill>
                          <pic:spPr bwMode="auto">
                            <a:xfrm>
                              <a:off x="0" y="0"/>
                              <a:ext cx="5334000" cy="22609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3.3: Embeddings shown with different cosine similarities. The cosine similarity is calculated as the cosine of the angle (</w:t>
            </w:r>
            <m:oMath>
              <m:r>
                <m:t>θ</m:t>
              </m:r>
            </m:oMath>
            <w:r>
              <w:t xml:space="preserve">) between two embeddings.</w:t>
            </w:r>
          </w:p>
          <w:bookmarkEnd w:id="51"/>
        </w:tc>
      </w:tr>
    </w:tbl>
    <w:p>
      <w:pPr>
        <w:pStyle w:val="BodyText"/>
      </w:pPr>
      <w:r>
        <w:t xml:space="preserve">Kernel density plots were used to visualize the distribution of cosine distances within specific clinical strata and across differing participants (</w:t>
      </w:r>
      <w:hyperlink w:anchor="fig-cancan-clin_strata">
        <w:r>
          <w:rPr>
            <w:rStyle w:val="Hyperlink"/>
          </w:rPr>
          <w:t xml:space="preserve">Figure 3.4</w:t>
        </w:r>
      </w:hyperlink>
      <w:r>
        <w:t xml:space="preserve">).</w:t>
      </w:r>
      <w:r>
        <w:t xml:space="preserve"> </w:t>
      </w:r>
      <w:r>
        <w:t xml:space="preserve">Groupings were made based on days from the same participant, days from different participants with the same clinical strata, and days from different participants with different clinical strata. The main focus was on TIR and HbA1c were the thresholds were as followed: TIR ≥ 70% (70–180 mg/dL, 3.9–10.0 mmol/L) and HbA1c &lt;7.0 % (&lt; 53 mmol/mol).</w:t>
      </w:r>
      <w:r>
        <w:t xml:space="preserve"> </w:t>
      </w:r>
      <w:r>
        <w:t xml:space="preserve">Other UMAPS coloring and groupings were also explored including race, MAGE, previous history of CVD, NT-proBNP, and SCORE2-Diabetes scores.</w:t>
      </w:r>
    </w:p>
    <w:tbl>
      <w:tblPr>
        <w:tblStyle w:val="Table"/>
        <w:tblW w:type="pct" w:w="5000"/>
        <w:tblLayout w:type="fixed"/>
        <w:tblLook w:firstRow="0" w:lastRow="0" w:firstColumn="0" w:lastColumn="0" w:noHBand="0" w:noVBand="0" w:val="0000"/>
      </w:tblPr>
      <w:tblGrid>
        <w:gridCol w:w="7920"/>
      </w:tblGrid>
      <w:tr>
        <w:tc>
          <w:tcPr/>
          <w:bookmarkStart w:id="56" w:name="fig-cancan-clin_strata"/>
          <w:p>
            <w:pPr>
              <w:pStyle w:val="Compact"/>
              <w:jc w:val="center"/>
            </w:pPr>
            <w:hyperlink r:id="rId55">
              <w:r>
                <w:drawing>
                  <wp:inline>
                    <wp:extent cx="5334000" cy="4422285"/>
                    <wp:effectExtent b="0" l="0" r="0" t="0"/>
                    <wp:docPr descr="" title="" id="53" name="Picture"/>
                    <a:graphic>
                      <a:graphicData uri="http://schemas.openxmlformats.org/drawingml/2006/picture">
                        <pic:pic>
                          <pic:nvPicPr>
                            <pic:cNvPr descr="figures/3_methods_fig/study2_clin_strata.png" id="54" name="Picture"/>
                            <pic:cNvPicPr>
                              <a:picLocks noChangeArrowheads="1" noChangeAspect="1"/>
                            </pic:cNvPicPr>
                          </pic:nvPicPr>
                          <pic:blipFill>
                            <a:blip r:embed="rId52"/>
                            <a:stretch>
                              <a:fillRect/>
                            </a:stretch>
                          </pic:blipFill>
                          <pic:spPr bwMode="auto">
                            <a:xfrm>
                              <a:off x="0" y="0"/>
                              <a:ext cx="5334000" cy="442228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3.4: The sex strata is used as an example to illustrate the cosine distance analysis of the within and between cosine distance pairs</w:t>
            </w:r>
          </w:p>
          <w:bookmarkEnd w:id="56"/>
        </w:tc>
      </w:tr>
    </w:tbl>
    <w:bookmarkEnd w:id="57"/>
    <w:bookmarkEnd w:id="58"/>
    <w:bookmarkStart w:id="64" w:name="cardiovascular-risk-assessment"/>
    <w:p>
      <w:pPr>
        <w:pStyle w:val="Heading2"/>
      </w:pPr>
      <w:r>
        <w:t xml:space="preserve">3.5 Cardiovascular risk assessment</w:t>
      </w:r>
    </w:p>
    <w:p>
      <w:pPr>
        <w:pStyle w:val="FirstParagraph"/>
      </w:pPr>
      <w:r>
        <w:t xml:space="preserve">The following section is about cardiovascular risk assessment evaluated predicting NT-proBNP as a binary outcome using a &gt;125 pg/mL threshold.</w:t>
      </w:r>
      <w:r>
        <w:rPr>
          <w:b/>
          <w:bCs/>
          <w:vertAlign w:val="superscript"/>
        </w:rPr>
        <w:t xml:space="preserve">source?</w:t>
      </w:r>
      <w:r>
        <w:t xml:space="preserve"> </w:t>
      </w:r>
      <w:r>
        <w:t xml:space="preserve">The CANCAN dataset was the only dataset used for this CVD risk assessment.</w:t>
      </w:r>
      <w:r>
        <w:t xml:space="preserve"> </w:t>
      </w:r>
      <w:r>
        <w:t xml:space="preserve">The focus was to test the predictive power of CGM data both as represented as embeddings and as well-established CGM-derived metrics. Some models also included clinical predictors to compare up against baseline models.</w:t>
      </w:r>
      <w:r>
        <w:rPr>
          <w:b/>
          <w:bCs/>
          <w:vertAlign w:val="superscript"/>
        </w:rPr>
        <w:t xml:space="preserve">source_kovatchev?orAnotherSourceOnMAGE?</w:t>
      </w:r>
      <w:r>
        <w:t xml:space="preserve"> </w:t>
      </w:r>
      <w:r>
        <w:t xml:space="preserve">Prediction models integrated clinical, standard CGM-derived, and learned representations.</w:t>
      </w:r>
    </w:p>
    <w:bookmarkStart w:id="59" w:name="nt-probnp---the-target"/>
    <w:p>
      <w:pPr>
        <w:pStyle w:val="Heading3"/>
      </w:pPr>
      <w:r>
        <w:t xml:space="preserve">NT-proBNP - The target</w:t>
      </w:r>
    </w:p>
    <w:p>
      <w:pPr>
        <w:pStyle w:val="Compact"/>
        <w:numPr>
          <w:ilvl w:val="0"/>
          <w:numId w:val="1018"/>
        </w:numPr>
      </w:pPr>
      <w:r>
        <w:t xml:space="preserve">What is NT-proBNP (scale, unit and connection with heart failure)</w:t>
      </w:r>
    </w:p>
    <w:bookmarkEnd w:id="59"/>
    <w:bookmarkStart w:id="60" w:name="predictors"/>
    <w:p>
      <w:pPr>
        <w:pStyle w:val="Heading3"/>
      </w:pPr>
      <w:r>
        <w:t xml:space="preserve">Predictors</w:t>
      </w:r>
    </w:p>
    <w:p>
      <w:pPr>
        <w:pStyle w:val="Compact"/>
        <w:numPr>
          <w:ilvl w:val="0"/>
          <w:numId w:val="1019"/>
        </w:numPr>
      </w:pPr>
      <w:r>
        <w:t xml:space="preserve">Add table with CGM derived metrics?</w:t>
      </w:r>
    </w:p>
    <w:p>
      <w:pPr>
        <w:pStyle w:val="FirstParagraph"/>
      </w:pPr>
      <w:r>
        <w:t xml:space="preserve">Inspiration was drawn from the SCORE2-Diabetes risk score, which is a 10-year CVD risk score for european people with diabetes. It was decided to use the input predictors of the SCORE2-Diabetes risk score as the clinical set of predictors used in this study.</w:t>
      </w:r>
      <w:r>
        <w:rPr>
          <w:b/>
          <w:bCs/>
          <w:vertAlign w:val="superscript"/>
        </w:rPr>
        <w:t xml:space="preserve">source?</w:t>
      </w:r>
      <w:r>
        <w:t xml:space="preserve"> </w:t>
      </w:r>
      <w:r>
        <w:t xml:space="preserve">This resulted in set of clinical predictors including age, sex, smoking status, systolic blood pressure, total cholesterol, and HbA1c.</w:t>
      </w:r>
      <w:r>
        <w:rPr>
          <w:b/>
          <w:bCs/>
          <w:vertAlign w:val="superscript"/>
        </w:rPr>
        <w:t xml:space="preserve">source?</w:t>
      </w:r>
      <w:r>
        <w:t xml:space="preserve"> </w:t>
      </w:r>
      <w:r>
        <w:t xml:space="preserve">Initial testing quickly showed that the numbers of predictors had to be limited and the SCORE2-Diabetes risk score was chosen as another way to represent the clinical predictor set while keeping the number of predictors down.</w:t>
      </w:r>
      <w:r>
        <w:t xml:space="preserve"> </w:t>
      </w:r>
      <w:r>
        <w:t xml:space="preserve">Additionally age was tested as a predictor on its own to see if it was a strong predictor of elevated NT-proBNP, since NT-proBNP is known to increase with age.</w:t>
      </w:r>
      <w:r>
        <w:rPr>
          <w:vertAlign w:val="superscript"/>
        </w:rPr>
        <w:t xml:space="preserve">26</w:t>
      </w:r>
      <w:r>
        <w:t xml:space="preserve"> </w:t>
      </w:r>
      <w:r>
        <w:t xml:space="preserve">Time in range (TIR) and mean amplitude of glycemic excursions (MAGE) were chosen as they were the CGM-derived metrics most commonly used in the literature based on the findings from Study I.</w:t>
      </w:r>
      <w:r>
        <w:rPr>
          <w:vertAlign w:val="superscript"/>
        </w:rPr>
        <w:t xml:space="preserve">4</w:t>
      </w:r>
      <w:r>
        <w:t xml:space="preserve"> </w:t>
      </w:r>
      <w:r>
        <w:t xml:space="preserve">All CGM-derived metrics in this thesis were calculated using the IGLU package</w:t>
      </w:r>
      <w:r>
        <w:rPr>
          <w:b/>
          <w:bCs/>
          <w:vertAlign w:val="superscript"/>
        </w:rPr>
        <w:t xml:space="preserve">source?</w:t>
      </w:r>
      <w:r>
        <w:t xml:space="preserve"> </w:t>
      </w:r>
      <w:r>
        <w:t xml:space="preserve">in R with default settings. TIR was calculated as the percentage of time spent in the range of 3.9–10.0 mmol/L (70–180 mg/dL).</w:t>
      </w:r>
      <w:r>
        <w:rPr>
          <w:vertAlign w:val="superscript"/>
        </w:rPr>
        <w:t xml:space="preserve">25</w:t>
      </w:r>
      <w:r>
        <w:t xml:space="preserve"> </w:t>
      </w:r>
      <w:r>
        <w:t xml:space="preserve">MAGE was calculated as the mean amplitude of glucose excursions, where the included excursions were consecutive peak-to-nadir (or nadir-to-peak) glucose differences exceeding one standard deviation of the individual’s glucose measurementsDoes . The iglu implementation computationally reproduces the original manual procedure proposed by Service et al.</w:t>
      </w:r>
      <w:r>
        <w:rPr>
          <w:vertAlign w:val="superscript"/>
        </w:rPr>
        <w:t xml:space="preserve">27</w:t>
      </w:r>
      <w:r>
        <w:t xml:space="preserve"> </w:t>
      </w:r>
      <w:r>
        <w:t xml:space="preserve">To aggregate multiple days into a single observation per participant, daily CGMformer representations were minimum-, maximum-, and mean-pooled, and reduced to two dimensions via UMAP. Maximum pooling was considered the default based on previous work.</w:t>
      </w:r>
      <w:r>
        <w:rPr>
          <w:vertAlign w:val="superscript"/>
        </w:rPr>
        <w:t xml:space="preserve">23</w:t>
      </w:r>
      <w:r>
        <w:t xml:space="preserve"> </w:t>
      </w:r>
      <w:r>
        <w:t xml:space="preserve">The CGMformer generated one 128-dimensional embedding for each 24-hour CGM recording. Because NT-proBNP was measured at the participant level, a single embedding was required for each participant. Therefore, embeddings from multiple recording days were aggregated using pooling to obtain one participant-level embedding. Both minimum, maximum, and mean pooling were explored to determine the most effective aggregation method.</w:t>
      </w:r>
      <w:r>
        <w:t xml:space="preserve"> </w:t>
      </w:r>
      <w:r>
        <w:t xml:space="preserve">The resulting 128-dimensional embeddings were subsequently reduced to two dimensions using UMAP, thereby enabling their use in the prediction models while keeping the number of predictors down to a minimum.</w:t>
      </w:r>
    </w:p>
    <w:bookmarkEnd w:id="60"/>
    <w:bookmarkStart w:id="61" w:name="model-development-and-evaluation"/>
    <w:p>
      <w:pPr>
        <w:pStyle w:val="Heading3"/>
      </w:pPr>
      <w:r>
        <w:t xml:space="preserve">Model development and evaluation</w:t>
      </w:r>
    </w:p>
    <w:p>
      <w:pPr>
        <w:pStyle w:val="Compact"/>
        <w:numPr>
          <w:ilvl w:val="0"/>
          <w:numId w:val="1020"/>
        </w:numPr>
      </w:pPr>
      <w:r>
        <w:t xml:space="preserve">Check if any of the models pulled from supplementary uses ridge anf if yes, then include it here as well and explain why ridge is used</w:t>
      </w:r>
    </w:p>
    <w:p>
      <w:pPr>
        <w:pStyle w:val="FirstParagraph"/>
      </w:pPr>
      <w:r>
        <w:t xml:space="preserve">Prediction models were developed using logistic regression to predict elevated NT-proBNP (&gt;125 pg/mL) as a binary outcome. The models were evaluated using the area under the receiver operating characteristic curve (AUROC) as the primary metric.</w:t>
      </w:r>
      <w:r>
        <w:t xml:space="preserve"> </w:t>
      </w:r>
      <w:r>
        <w:t xml:space="preserve">Bootstrap with optimism correction was employed for internal validation because of the limited sample size and the absence of an external validation cohort. The method repeatedly sampled bootstrap samples by sampling with replacement from the original dataset. For each bootstrap sample, the prediction model is fitted and its performance is evaluated both in the bootstrap sample (apparent performance) and in the original dataset (test performance). The difference between these two performance estimates represents the optimism due to overfitting. Averaging the optimism across all bootstrap samples and subtracting it from the apparent performance of the model fitted to the full dataset yields an optimism-corrected estimate of model performance. Internal validation was performed using 500 bootstrap resamples.</w:t>
      </w:r>
      <w:r>
        <w:rPr>
          <w:vertAlign w:val="superscript"/>
        </w:rPr>
        <w:t xml:space="preserve">28,29</w:t>
      </w:r>
      <w:r>
        <w:t xml:space="preserve"> </w:t>
      </w:r>
      <w:r>
        <w:t xml:space="preserve">Risk distribution plots were reported for each model across all bootstrap samples.</w:t>
      </w:r>
      <w:r>
        <w:rPr>
          <w:vertAlign w:val="superscript"/>
        </w:rPr>
        <w:t xml:space="preserve">29,30</w:t>
      </w:r>
    </w:p>
    <w:bookmarkEnd w:id="61"/>
    <w:bookmarkStart w:id="63" w:name="prediction-scheme-overview"/>
    <w:p>
      <w:pPr>
        <w:pStyle w:val="Heading3"/>
      </w:pPr>
      <w:r>
        <w:t xml:space="preserve">Prediction scheme overview</w:t>
      </w:r>
    </w:p>
    <w:p>
      <w:pPr>
        <w:pStyle w:val="FirstParagraph"/>
      </w:pPr>
      <w:r>
        <w:t xml:space="preserve">The prediction models were structured hierarchically based on clinical variables (Model A) and the calculated SCORE2-Diabetes score (Model B) in the configurations shown in</w:t>
      </w:r>
      <w:r>
        <w:t xml:space="preserve"> </w:t>
      </w:r>
      <w:r>
        <w:rPr>
          <w:b/>
          <w:bCs/>
        </w:rPr>
        <w:t xml:space="preserve">?@tbl-models</w:t>
      </w:r>
    </w:p>
    <w:tbl>
      <w:tblPr>
        <w:tblStyle w:val="Table"/>
        <w:tblW w:type="pct" w:w="5000"/>
        <w:tblLayout w:type="fixed"/>
        <w:tblLook w:firstRow="0" w:lastRow="0" w:firstColumn="0" w:lastColumn="0" w:noHBand="0" w:noVBand="0" w:val="0000"/>
      </w:tblPr>
      <w:tblGrid>
        <w:gridCol w:w="7920"/>
      </w:tblGrid>
      <w:tr>
        <w:tc>
          <w:tcPr/>
          <w:bookmarkStart w:id="62" w:name="tbl-prediction_models"/>
          <w:p>
            <w:pPr>
              <w:jc w:val="center"/>
            </w:pPr>
            <w:pPr>
              <w:jc w:val="left"/>
              <w:spacing w:before="200"/>
              <w:pStyle w:val="ImageCaption"/>
            </w:pPr>
            <w:r>
              <w:t xml:space="preserve">Table 3.2: Overview of models and predictors {#tbl-models}Grr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 family</w:t>
                  </w:r>
                </w:p>
              </w:tc>
              <w:tc>
                <w:tcPr/>
                <w:p>
                  <w:pPr>
                    <w:pStyle w:val="Compact"/>
                    <w:jc w:val="center"/>
                    <w:jc w:val="center"/>
                  </w:pPr>
                  <w:r>
                    <w:t xml:space="preserve">Model</w:t>
                  </w:r>
                </w:p>
              </w:tc>
              <w:tc>
                <w:tcPr/>
                <w:p>
                  <w:pPr>
                    <w:pStyle w:val="Compact"/>
                    <w:jc w:val="left"/>
                    <w:jc w:val="center"/>
                  </w:pPr>
                  <w:r>
                    <w:t xml:space="preserve">Baseline predictors</w:t>
                  </w:r>
                </w:p>
              </w:tc>
              <w:tc>
                <w:tcPr/>
                <w:p>
                  <w:pPr>
                    <w:pStyle w:val="Compact"/>
                    <w:jc w:val="left"/>
                    <w:jc w:val="center"/>
                  </w:pPr>
                  <w:r>
                    <w:t xml:space="preserve">Additional predictors</w:t>
                  </w:r>
                </w:p>
              </w:tc>
            </w:tr>
            <w:tr>
              <w:tc>
                <w:tcPr/>
                <w:p>
                  <w:pPr>
                    <w:pStyle w:val="Compact"/>
                    <w:jc w:val="left"/>
                    <w:jc w:val="center"/>
                  </w:pPr>
                  <w:r>
                    <w:t xml:space="preserve">Clinical</w:t>
                  </w:r>
                </w:p>
              </w:tc>
              <w:tc>
                <w:tcPr/>
                <w:p>
                  <w:pPr>
                    <w:pStyle w:val="Compact"/>
                    <w:jc w:val="center"/>
                    <w:jc w:val="center"/>
                  </w:pPr>
                  <w:r>
                    <w:rPr>
                      <w:b/>
                      <w:bCs/>
                    </w:rPr>
                    <w:t xml:space="preserve">A0</w:t>
                  </w:r>
                </w:p>
              </w:tc>
              <w:tc>
                <w:tcPr/>
                <w:p>
                  <w:pPr>
                    <w:pStyle w:val="Compact"/>
                    <w:jc w:val="left"/>
                    <w:jc w:val="center"/>
                  </w:pPr>
                  <w:r>
                    <w:t xml:space="preserve">Age</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A1</w:t>
                  </w:r>
                </w:p>
              </w:tc>
              <w:tc>
                <w:tcPr/>
                <w:p>
                  <w:pPr>
                    <w:pStyle w:val="Compact"/>
                    <w:jc w:val="left"/>
                    <w:jc w:val="center"/>
                  </w:pPr>
                  <w:r>
                    <w:t xml:space="preserve">Clinical variables*</w:t>
                  </w:r>
                </w:p>
              </w:tc>
              <w:tc>
                <w:tcPr/>
                <w:p>
                  <w:pPr>
                    <w:pStyle w:val="Compact"/>
                    <w:jc w:val="left"/>
                    <w:jc w:val="center"/>
                  </w:pPr>
                  <w:r>
                    <w:t xml:space="preserve">–</w:t>
                  </w:r>
                </w:p>
              </w:tc>
            </w:tr>
            <w:tr>
              <w:tc>
                <w:tcPr/>
                <w:p>
                  <w:pPr>
                    <w:pStyle w:val="Compact"/>
                    <w:jc w:val="left"/>
                    <w:jc w:val="center"/>
                  </w:pPr>
                  <w:r>
                    <w:t xml:space="preserve">Clinical</w:t>
                  </w:r>
                </w:p>
              </w:tc>
              <w:tc>
                <w:tcPr/>
                <w:p>
                  <w:pPr>
                    <w:pStyle w:val="Compact"/>
                    <w:jc w:val="center"/>
                    <w:jc w:val="center"/>
                  </w:pPr>
                  <w:r>
                    <w:rPr>
                      <w:b/>
                      <w:bCs/>
                    </w:rPr>
                    <w:t xml:space="preserve">A2</w:t>
                  </w:r>
                </w:p>
              </w:tc>
              <w:tc>
                <w:tcPr/>
                <w:p>
                  <w:pPr>
                    <w:pStyle w:val="Compact"/>
                    <w:jc w:val="left"/>
                    <w:jc w:val="center"/>
                  </w:pPr>
                  <w:r>
                    <w:t xml:space="preserve">Clinical variables*</w:t>
                  </w:r>
                </w:p>
              </w:tc>
              <w:tc>
                <w:tcPr/>
                <w:p>
                  <w:pPr>
                    <w:pStyle w:val="Compact"/>
                    <w:jc w:val="left"/>
                    <w:jc w:val="center"/>
                  </w:pPr>
                  <w:r>
                    <w:t xml:space="preserve">TIR + MAGE</w:t>
                  </w:r>
                </w:p>
              </w:tc>
            </w:tr>
            <w:tr>
              <w:tc>
                <w:tcPr/>
                <w:p>
                  <w:pPr>
                    <w:pStyle w:val="Compact"/>
                    <w:jc w:val="left"/>
                    <w:jc w:val="center"/>
                  </w:pPr>
                  <w:r>
                    <w:t xml:space="preserve">Clinical</w:t>
                  </w:r>
                </w:p>
              </w:tc>
              <w:tc>
                <w:tcPr/>
                <w:p>
                  <w:pPr>
                    <w:pStyle w:val="Compact"/>
                    <w:jc w:val="center"/>
                    <w:jc w:val="center"/>
                  </w:pPr>
                  <w:r>
                    <w:rPr>
                      <w:b/>
                      <w:bCs/>
                    </w:rPr>
                    <w:t xml:space="preserve">A3</w:t>
                  </w:r>
                </w:p>
              </w:tc>
              <w:tc>
                <w:tcPr/>
                <w:p>
                  <w:pPr>
                    <w:pStyle w:val="Compact"/>
                    <w:jc w:val="left"/>
                    <w:jc w:val="center"/>
                  </w:pPr>
                  <w:r>
                    <w:t xml:space="preserve">Clinical variables*</w:t>
                  </w:r>
                </w:p>
              </w:tc>
              <w:tc>
                <w:tcPr/>
                <w:p>
                  <w:pPr>
                    <w:pStyle w:val="Compact"/>
                    <w:jc w:val="left"/>
                    <w:jc w:val="center"/>
                  </w:pPr>
                  <w:r>
                    <w:t xml:space="preserve">UMAP dimensions</w:t>
                  </w:r>
                </w:p>
              </w:tc>
            </w:tr>
            <w:tr>
              <w:tc>
                <w:tcPr/>
                <w:p>
                  <w:pPr>
                    <w:pStyle w:val="Compact"/>
                    <w:jc w:val="left"/>
                    <w:jc w:val="center"/>
                  </w:pPr>
                  <w:r>
                    <w:t xml:space="preserve">SCORE2-Diabetes</w:t>
                  </w:r>
                </w:p>
              </w:tc>
              <w:tc>
                <w:tcPr/>
                <w:p>
                  <w:pPr>
                    <w:pStyle w:val="Compact"/>
                    <w:jc w:val="center"/>
                    <w:jc w:val="center"/>
                  </w:pPr>
                  <w:r>
                    <w:rPr>
                      <w:b/>
                      <w:bCs/>
                    </w:rPr>
                    <w:t xml:space="preserve">B1</w:t>
                  </w:r>
                </w:p>
              </w:tc>
              <w:tc>
                <w:tcPr/>
                <w:p>
                  <w:pPr>
                    <w:pStyle w:val="Compact"/>
                    <w:jc w:val="left"/>
                    <w:jc w:val="center"/>
                  </w:pPr>
                  <w:r>
                    <w:t xml:space="preserve">SCORE2-Diabetes score</w:t>
                  </w:r>
                </w:p>
              </w:tc>
              <w:tc>
                <w:tcPr/>
                <w:p>
                  <w:pPr>
                    <w:pStyle w:val="Compact"/>
                    <w:jc w:val="left"/>
                    <w:jc w:val="center"/>
                  </w:pPr>
                  <w:r>
                    <w:t xml:space="preserve">–</w:t>
                  </w:r>
                </w:p>
              </w:tc>
            </w:tr>
            <w:tr>
              <w:tc>
                <w:tcPr/>
                <w:p>
                  <w:pPr>
                    <w:pStyle w:val="Compact"/>
                    <w:jc w:val="left"/>
                    <w:jc w:val="center"/>
                  </w:pPr>
                  <w:r>
                    <w:t xml:space="preserve">SCORE2-Diabetes</w:t>
                  </w:r>
                </w:p>
              </w:tc>
              <w:tc>
                <w:tcPr/>
                <w:p>
                  <w:pPr>
                    <w:pStyle w:val="Compact"/>
                    <w:jc w:val="center"/>
                    <w:jc w:val="center"/>
                  </w:pPr>
                  <w:r>
                    <w:rPr>
                      <w:b/>
                      <w:bCs/>
                    </w:rPr>
                    <w:t xml:space="preserve">B2</w:t>
                  </w:r>
                </w:p>
              </w:tc>
              <w:tc>
                <w:tcPr/>
                <w:p>
                  <w:pPr>
                    <w:pStyle w:val="Compact"/>
                    <w:jc w:val="left"/>
                    <w:jc w:val="center"/>
                  </w:pPr>
                  <w:r>
                    <w:t xml:space="preserve">SCORE2-Diabetes score</w:t>
                  </w:r>
                </w:p>
              </w:tc>
              <w:tc>
                <w:tcPr/>
                <w:p>
                  <w:pPr>
                    <w:pStyle w:val="Compact"/>
                    <w:jc w:val="left"/>
                    <w:jc w:val="center"/>
                  </w:pPr>
                  <w:r>
                    <w:t xml:space="preserve">TIR + MAGE</w:t>
                  </w:r>
                </w:p>
              </w:tc>
            </w:tr>
            <w:tr>
              <w:tc>
                <w:tcPr/>
                <w:p>
                  <w:pPr>
                    <w:pStyle w:val="Compact"/>
                    <w:jc w:val="left"/>
                    <w:jc w:val="center"/>
                  </w:pPr>
                  <w:r>
                    <w:t xml:space="preserve">SCORE2-Diabetes</w:t>
                  </w:r>
                </w:p>
              </w:tc>
              <w:tc>
                <w:tcPr/>
                <w:p>
                  <w:pPr>
                    <w:pStyle w:val="Compact"/>
                    <w:jc w:val="center"/>
                    <w:jc w:val="center"/>
                  </w:pPr>
                  <w:r>
                    <w:rPr>
                      <w:b/>
                      <w:bCs/>
                    </w:rPr>
                    <w:t xml:space="preserve">B3</w:t>
                  </w:r>
                </w:p>
              </w:tc>
              <w:tc>
                <w:tcPr/>
                <w:p>
                  <w:pPr>
                    <w:pStyle w:val="Compact"/>
                    <w:jc w:val="left"/>
                    <w:jc w:val="center"/>
                  </w:pPr>
                  <w:r>
                    <w:t xml:space="preserve">SCORE2-Diabetes score</w:t>
                  </w:r>
                </w:p>
              </w:tc>
              <w:tc>
                <w:tcPr/>
                <w:p>
                  <w:pPr>
                    <w:pStyle w:val="Compact"/>
                    <w:jc w:val="left"/>
                    <w:jc w:val="center"/>
                  </w:pPr>
                  <w:r>
                    <w:t xml:space="preserve">UMAP dimensions</w:t>
                  </w:r>
                </w:p>
              </w:tc>
            </w:tr>
            <w:tr>
              <w:tc>
                <w:tcPr/>
                <w:p>
                  <w:pPr>
                    <w:pStyle w:val="Compact"/>
                    <w:jc w:val="left"/>
                    <w:jc w:val="center"/>
                  </w:pPr>
                  <w:r>
                    <w:t xml:space="preserve">CGM only</w:t>
                  </w:r>
                </w:p>
              </w:tc>
              <w:tc>
                <w:tcPr/>
                <w:p>
                  <w:pPr>
                    <w:pStyle w:val="Compact"/>
                    <w:jc w:val="center"/>
                    <w:jc w:val="center"/>
                  </w:pPr>
                  <w:r>
                    <w:rPr>
                      <w:b/>
                      <w:bCs/>
                    </w:rPr>
                    <w:t xml:space="preserve">C1</w:t>
                  </w:r>
                </w:p>
              </w:tc>
              <w:tc>
                <w:tcPr/>
                <w:p>
                  <w:pPr>
                    <w:pStyle w:val="Compact"/>
                    <w:jc w:val="left"/>
                    <w:jc w:val="center"/>
                  </w:pPr>
                  <w:r>
                    <w:t xml:space="preserve">TIR + MAGE</w:t>
                  </w:r>
                </w:p>
              </w:tc>
              <w:tc>
                <w:tcPr/>
                <w:p>
                  <w:pPr>
                    <w:pStyle w:val="Compact"/>
                    <w:jc w:val="left"/>
                    <w:jc w:val="center"/>
                  </w:pPr>
                  <w:r>
                    <w:t xml:space="preserve">–</w:t>
                  </w:r>
                </w:p>
              </w:tc>
            </w:tr>
            <w:tr>
              <w:tc>
                <w:tcPr/>
                <w:p>
                  <w:pPr>
                    <w:pStyle w:val="Compact"/>
                    <w:jc w:val="left"/>
                    <w:jc w:val="center"/>
                  </w:pPr>
                  <w:r>
                    <w:t xml:space="preserve">Embeddings only</w:t>
                  </w:r>
                </w:p>
              </w:tc>
              <w:tc>
                <w:tcPr/>
                <w:p>
                  <w:pPr>
                    <w:pStyle w:val="Compact"/>
                    <w:jc w:val="center"/>
                    <w:jc w:val="center"/>
                  </w:pPr>
                  <w:r>
                    <w:rPr>
                      <w:b/>
                      <w:bCs/>
                    </w:rPr>
                    <w:t xml:space="preserve">D1</w:t>
                  </w:r>
                </w:p>
              </w:tc>
              <w:tc>
                <w:tcPr/>
                <w:p>
                  <w:pPr>
                    <w:pStyle w:val="Compact"/>
                    <w:jc w:val="left"/>
                    <w:jc w:val="center"/>
                  </w:pPr>
                  <w:r>
                    <w:t xml:space="preserve">UMAP dimensions</w:t>
                  </w:r>
                </w:p>
              </w:tc>
              <w:tc>
                <w:tcPr/>
                <w:p>
                  <w:pPr>
                    <w:pStyle w:val="Compact"/>
                  </w:pPr>
                </w:p>
              </w:tc>
            </w:tr>
          </w:tbl>
          <w:p>
            <w:pPr>
              <w:jc w:val="center"/>
            </w:pPr>
            <w:r>
              <w:rPr>
                <w:vertAlign w:val="superscript"/>
              </w:rPr>
              <w:t xml:space="preserve">*</w:t>
            </w:r>
            <w:r>
              <w:rPr>
                <w:i/>
                <w:iCs/>
              </w:rPr>
              <w:t xml:space="preserve">Clinical variables are the same as those included in the SCORE2-Diabetes risk model: Age, sex, smoking status, systolic blood pressure, HDL cholesterol, total cholesterol, diabetes duration, HbA1c, and eGFR.</w:t>
            </w:r>
            <w:r>
              <w:rPr>
                <w:i/>
                <w:iCs/>
                <w:vertAlign w:val="superscript"/>
              </w:rPr>
              <w:t xml:space="preserve">31</w:t>
            </w:r>
            <w:r>
              <w:br/>
            </w:r>
            <w:r>
              <w:rPr>
                <w:i/>
                <w:iCs/>
              </w:rPr>
              <w:t xml:space="preserve">TIR = Time in Range; MAGE = Mean Amplitude of Glycemic Excursions.</w:t>
            </w:r>
          </w:p>
          <w:bookmarkEnd w:id="62"/>
        </w:tc>
      </w:tr>
    </w:tbl>
    <w:bookmarkEnd w:id="63"/>
    <w:bookmarkEnd w:id="64"/>
    <w:bookmarkStart w:id="95" w:name="X09edbc054251a1d7415b167d365fa9133614cf6"/>
    <w:p>
      <w:pPr>
        <w:pStyle w:val="Heading2"/>
      </w:pPr>
      <w:r>
        <w:t xml:space="preserve">3.6 Study III: Algorithmic Fairness in Blood Glucose Forecasting</w:t>
      </w:r>
    </w:p>
    <w:p>
      <w:pPr>
        <w:pStyle w:val="FirstParagraph"/>
      </w:pPr>
      <w:r>
        <w:t xml:space="preserve">The third study was investigating racial bias in a data driven machine learning model only based on blood glucose measurements from a CGM-sensor as this is an important consideration in the path to get ML models into use</w:t>
      </w:r>
    </w:p>
    <w:bookmarkStart w:id="70" w:name="Xce711955e38166110a1f6bdd67a0668dff261f4"/>
    <w:p>
      <w:pPr>
        <w:pStyle w:val="Heading3"/>
      </w:pPr>
      <w:r>
        <w:t xml:space="preserve">Preprocessing of CGM data for Forecasting</w:t>
      </w:r>
    </w:p>
    <w:p>
      <w:pPr>
        <w:pStyle w:val="FirstParagraph"/>
      </w:pPr>
      <w:r>
        <w:t xml:space="preserve">All data was sorted into 60 minutes windows with 4 values to predict 60-minutes into the future as visualized in</w:t>
      </w:r>
      <w:r>
        <w:t xml:space="preserve"> </w:t>
      </w:r>
      <w:hyperlink w:anchor="fig-study3_pred_horizon">
        <w:r>
          <w:rPr>
            <w:rStyle w:val="Hyperlink"/>
          </w:rPr>
          <w:t xml:space="preserve">Figure 3.5</w:t>
        </w:r>
      </w:hyperlink>
      <w:r>
        <w:t xml:space="preserve">.</w:t>
      </w:r>
      <w:r>
        <w:t xml:space="preserve"> </w:t>
      </w:r>
      <w:r>
        <w:t xml:space="preserve">There are no clear answers in the literature about which prediction horizon is the best to choose, however CGM devices measure in the interstitial fluid and there is a physiological delay between the measured blood glucose and the interstitial glucose levels.</w:t>
      </w:r>
      <w:r>
        <w:rPr>
          <w:b/>
          <w:bCs/>
          <w:vertAlign w:val="superscript"/>
        </w:rPr>
        <w:t xml:space="preserve">source?</w:t>
      </w:r>
      <w:r>
        <w:t xml:space="preserve"> </w:t>
      </w:r>
      <w:r>
        <w:t xml:space="preserve">Of the European approved CGM devices it is only the Dexcom that shows trends to the users and since CGM devices mainly focuses on monitoring, the forecasting question is only really interesting when administering insulin in order to catch hypo- and hyperglycemic events ahead of time.</w:t>
      </w:r>
      <w:r>
        <w:rPr>
          <w:b/>
          <w:bCs/>
          <w:vertAlign w:val="superscript"/>
        </w:rPr>
        <w:t xml:space="preserve">source?</w:t>
      </w:r>
      <w:r>
        <w:t xml:space="preserve"> </w:t>
      </w:r>
      <w:r>
        <w:t xml:space="preserve">It is very difficult to figure out how the prediction algorithms in insulin pumps are made and so far I have had very little luck in figuring it out. It is assumed that the companies use linear regression and the last 20 minutes of data to predict the next values which is usually the last four samples since the resolution of the used CGM devices usually are between 1 to 5 minutes.</w:t>
      </w:r>
      <w:r>
        <w:rPr>
          <w:b/>
          <w:bCs/>
          <w:vertAlign w:val="superscript"/>
        </w:rPr>
        <w:t xml:space="preserve">source?</w:t>
      </w:r>
      <w:r>
        <w:t xml:space="preserve"> </w:t>
      </w:r>
      <w:r>
        <w:t xml:space="preserve">With a CGM measurement every 15 minutes and the physiological delay in mind, the 60 minutes were decided to be a good prediction horizon.</w:t>
      </w:r>
      <w:r>
        <w:t xml:space="preserve"> </w:t>
      </w:r>
      <w:r>
        <w:t xml:space="preserve">All samples with missing values were removed.</w:t>
      </w:r>
    </w:p>
    <w:tbl>
      <w:tblPr>
        <w:tblStyle w:val="Table"/>
        <w:tblW w:type="pct" w:w="5000"/>
        <w:tblLayout w:type="fixed"/>
        <w:tblLook w:firstRow="0" w:lastRow="0" w:firstColumn="0" w:lastColumn="0" w:noHBand="0" w:noVBand="0" w:val="0000"/>
      </w:tblPr>
      <w:tblGrid>
        <w:gridCol w:w="7920"/>
      </w:tblGrid>
      <w:tr>
        <w:tc>
          <w:tcPr/>
          <w:bookmarkStart w:id="69" w:name="fig-study3_pred_horizon"/>
          <w:p>
            <w:pPr>
              <w:pStyle w:val="Compact"/>
              <w:jc w:val="center"/>
            </w:pPr>
            <w:hyperlink r:id="rId68">
              <w:r>
                <w:drawing>
                  <wp:inline>
                    <wp:extent cx="5334000" cy="1817162"/>
                    <wp:effectExtent b="0" l="0" r="0" t="0"/>
                    <wp:docPr descr="" title="" id="66" name="Picture"/>
                    <a:graphic>
                      <a:graphicData uri="http://schemas.openxmlformats.org/drawingml/2006/picture">
                        <pic:pic>
                          <pic:nvPicPr>
                            <pic:cNvPr descr="figures/3_methods_fig/study3_pred_horizon.png" id="67" name="Picture"/>
                            <pic:cNvPicPr>
                              <a:picLocks noChangeArrowheads="1" noChangeAspect="1"/>
                            </pic:cNvPicPr>
                          </pic:nvPicPr>
                          <pic:blipFill>
                            <a:blip r:embed="rId65"/>
                            <a:stretch>
                              <a:fillRect/>
                            </a:stretch>
                          </pic:blipFill>
                          <pic:spPr bwMode="auto">
                            <a:xfrm>
                              <a:off x="0" y="0"/>
                              <a:ext cx="5334000" cy="1817162"/>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3.5: The prediction horizon and overview of the creation of samples (predictors and targets).</w:t>
            </w:r>
          </w:p>
          <w:bookmarkEnd w:id="69"/>
        </w:tc>
      </w:tr>
    </w:tbl>
    <w:bookmarkEnd w:id="70"/>
    <w:bookmarkStart w:id="81" w:name="partitioning-of-the-dataset"/>
    <w:p>
      <w:pPr>
        <w:pStyle w:val="Heading3"/>
      </w:pPr>
      <w:r>
        <w:t xml:space="preserve">Partitioning of the Dataset</w:t>
      </w:r>
    </w:p>
    <w:p>
      <w:pPr>
        <w:pStyle w:val="FirstParagraph"/>
      </w:pPr>
      <w:r>
        <w:t xml:space="preserve">The T1DX dataset was randomly resampled without replacement at the participant level to avoid data leakage and to evaluate model performance on independent participants. As illustrated in</w:t>
      </w:r>
      <w:r>
        <w:t xml:space="preserve"> </w:t>
      </w:r>
      <w:hyperlink w:anchor="fig-study3_partitioning">
        <w:r>
          <w:rPr>
            <w:rStyle w:val="Hyperlink"/>
          </w:rPr>
          <w:t xml:space="preserve">Figure 3.6</w:t>
        </w:r>
      </w:hyperlink>
      <w:r>
        <w:t xml:space="preserve">, training subsets with varying proportions of Black and White participants were generated by randomly selecting participants from the original dataset while keeping the train-test split at the participant level. Eleven training set compositions were created, ranging from 100% White/0% Black to 0% White/100% Black in 10% increments.</w:t>
      </w:r>
    </w:p>
    <w:p>
      <w:pPr>
        <w:pStyle w:val="BodyText"/>
      </w:pPr>
      <w:r>
        <w:t xml:space="preserve">Because some training subsets consisted entirely of participants from a single racial group, the maximum training set size was constrained by the size of the smaller racial group minus the participant kept for testing. Consequently, each training subset contained approximately half the number of participants in the original T1DX dataset. Repeating this procedure for each participant resulted in 2,255 training datasets (205 participants × 11 training set compositions) and 205 independent test sets. Throughout all resampling procedures, all CGM recordings from a participant were kept together to prevent data leakage between the training and test sets.</w:t>
      </w:r>
    </w:p>
    <w:tbl>
      <w:tblPr>
        <w:tblStyle w:val="Table"/>
        <w:tblW w:type="pct" w:w="5000"/>
        <w:tblLayout w:type="fixed"/>
        <w:tblLook w:firstRow="0" w:lastRow="0" w:firstColumn="0" w:lastColumn="0" w:noHBand="0" w:noVBand="0" w:val="0000"/>
      </w:tblPr>
      <w:tblGrid>
        <w:gridCol w:w="7920"/>
      </w:tblGrid>
      <w:tr>
        <w:tc>
          <w:tcPr/>
          <w:bookmarkStart w:id="75" w:name="fig-study3_partitioning"/>
          <w:p>
            <w:pPr>
              <w:pStyle w:val="Compact"/>
              <w:jc w:val="center"/>
            </w:pPr>
            <w:hyperlink r:id="rId74">
              <w:r>
                <w:drawing>
                  <wp:inline>
                    <wp:extent cx="5334000" cy="3456188"/>
                    <wp:effectExtent b="0" l="0" r="0" t="0"/>
                    <wp:docPr descr="" title="" id="72" name="Picture"/>
                    <a:graphic>
                      <a:graphicData uri="http://schemas.openxmlformats.org/drawingml/2006/picture">
                        <pic:pic>
                          <pic:nvPicPr>
                            <pic:cNvPr descr="figures/3_methods_fig/study3_partitioning.png" id="73" name="Picture"/>
                            <pic:cNvPicPr>
                              <a:picLocks noChangeArrowheads="1" noChangeAspect="1"/>
                            </pic:cNvPicPr>
                          </pic:nvPicPr>
                          <pic:blipFill>
                            <a:blip r:embed="rId71"/>
                            <a:stretch>
                              <a:fillRect/>
                            </a:stretch>
                          </pic:blipFill>
                          <pic:spPr bwMode="auto">
                            <a:xfrm>
                              <a:off x="0" y="0"/>
                              <a:ext cx="5334000" cy="34561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3.6: The prediction horizon and overview of the creation of subsets for training.</w:t>
            </w:r>
          </w:p>
          <w:bookmarkEnd w:id="75"/>
        </w:tc>
      </w:tr>
    </w:tbl>
    <w:p>
      <w:pPr>
        <w:pStyle w:val="BodyText"/>
      </w:pPr>
      <w:r>
        <w:t xml:space="preserve">Eleven subsets were created for each of the participants and the last weeks worth of data was chosen to test on as illustrated in</w:t>
      </w:r>
      <w:r>
        <w:t xml:space="preserve"> </w:t>
      </w:r>
      <w:hyperlink w:anchor="fig-study3_train_finetune_test_split">
        <w:r>
          <w:rPr>
            <w:rStyle w:val="Hyperlink"/>
          </w:rPr>
          <w:t xml:space="preserve">Figure 3.7</w:t>
        </w:r>
      </w:hyperlink>
      <w:r>
        <w:t xml:space="preserve"> </w:t>
      </w:r>
      <w:r>
        <w:t xml:space="preserve">The one week was chosen because participants had varying amount of CGM data and the participant with the least amount of data had ~ 2 weeks, and all participants were wished to be kept due to the small number of participants in the T1DX dataset.</w:t>
      </w:r>
      <w:r>
        <w:t xml:space="preserve"> </w:t>
      </w:r>
      <w:r>
        <w:t xml:space="preserve">The remaining data were used for training the models.</w:t>
      </w:r>
    </w:p>
    <w:tbl>
      <w:tblPr>
        <w:tblStyle w:val="Table"/>
        <w:tblW w:type="pct" w:w="5000"/>
        <w:tblLayout w:type="fixed"/>
        <w:tblLook w:firstRow="0" w:lastRow="0" w:firstColumn="0" w:lastColumn="0" w:noHBand="0" w:noVBand="0" w:val="0000"/>
      </w:tblPr>
      <w:tblGrid>
        <w:gridCol w:w="7920"/>
      </w:tblGrid>
      <w:tr>
        <w:tc>
          <w:tcPr/>
          <w:bookmarkStart w:id="80" w:name="fig-study3_train_finetune_test_split"/>
          <w:p>
            <w:pPr>
              <w:pStyle w:val="Compact"/>
              <w:jc w:val="center"/>
            </w:pPr>
            <w:hyperlink r:id="rId79">
              <w:r>
                <w:drawing>
                  <wp:inline>
                    <wp:extent cx="4686935" cy="1382279"/>
                    <wp:effectExtent b="0" l="0" r="0" t="0"/>
                    <wp:docPr descr="" title="" id="77" name="Picture"/>
                    <a:graphic>
                      <a:graphicData uri="http://schemas.openxmlformats.org/drawingml/2006/picture">
                        <pic:pic>
                          <pic:nvPicPr>
                            <pic:cNvPr descr="figures/3_methods_fig/study3_train_finetune_test_split.png" id="78" name="Picture"/>
                            <pic:cNvPicPr>
                              <a:picLocks noChangeArrowheads="1" noChangeAspect="1"/>
                            </pic:cNvPicPr>
                          </pic:nvPicPr>
                          <pic:blipFill>
                            <a:blip r:embed="rId76"/>
                            <a:stretch>
                              <a:fillRect/>
                            </a:stretch>
                          </pic:blipFill>
                          <pic:spPr bwMode="auto">
                            <a:xfrm>
                              <a:off x="0" y="0"/>
                              <a:ext cx="4686935" cy="1382279"/>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3.7: The splitting of a participants data to create training, fine-tuning and test sets</w:t>
            </w:r>
          </w:p>
          <w:bookmarkEnd w:id="80"/>
        </w:tc>
      </w:tr>
    </w:tbl>
    <w:bookmarkEnd w:id="81"/>
    <w:bookmarkStart w:id="88" w:name="training-approaches-and-model-selection"/>
    <w:p>
      <w:pPr>
        <w:pStyle w:val="Heading3"/>
      </w:pPr>
      <w:r>
        <w:t xml:space="preserve">Training Approaches and Model Selection</w:t>
      </w:r>
    </w:p>
    <w:p>
      <w:pPr>
        <w:pStyle w:val="FirstParagraph"/>
      </w:pPr>
      <w:r>
        <w:t xml:space="preserve">Four training approaches were developed as illustrated in</w:t>
      </w:r>
      <w:r>
        <w:t xml:space="preserve"> </w:t>
      </w:r>
      <w:hyperlink w:anchor="fig-study3_training_approaches">
        <w:r>
          <w:rPr>
            <w:rStyle w:val="Hyperlink"/>
          </w:rPr>
          <w:t xml:space="preserve">Figure 3.8</w:t>
        </w:r>
      </w:hyperlink>
      <w:r>
        <w:t xml:space="preserve">. The training approaches included a naive baseline and three different machine learning models as described in</w:t>
      </w:r>
      <w:r>
        <w:t xml:space="preserve"> </w:t>
      </w:r>
      <w:hyperlink w:anchor="tbl-study3_training_approaches">
        <w:r>
          <w:rPr>
            <w:rStyle w:val="Hyperlink"/>
          </w:rPr>
          <w:t xml:space="preserve">Table 3.3</w:t>
        </w:r>
      </w:hyperlink>
      <w:r>
        <w:t xml:space="preserve">.</w:t>
      </w:r>
    </w:p>
    <w:p>
      <w:pPr>
        <w:pStyle w:val="BodyText"/>
      </w:pPr>
      <w:r>
        <w:t xml:space="preserve">A long short-term memory model (LSTM) and overall architecture was chosen for the machine learning model, based on a previously described LSTM in van Doorn et al.@vanDoorn2021 (two LSTM layers followed by a dense layer) since there were good performance with this model.</w:t>
      </w:r>
      <w:r>
        <w:t xml:space="preserve"> </w:t>
      </w:r>
      <w:r>
        <w:t xml:space="preserve">All the training data were scaled to be within the range of zero to one.</w:t>
      </w:r>
      <w:r>
        <w:t xml:space="preserve"> </w:t>
      </w:r>
      <w:r>
        <w:t xml:space="preserve">Hyperparameters included the number of neurons in LSTM layers, activation functions, dropout rate, batch size, learning rate, decay rate, and early stopping. These hyperparameters were tuned using a grid search, heatmaps, and manual tuning. Further information is given in in Thomsen et al.</w:t>
      </w:r>
      <w:r>
        <w:rPr>
          <w:vertAlign w:val="superscript"/>
        </w:rPr>
        <w:t xml:space="preserve">32</w:t>
      </w:r>
      <w:r>
        <w:t xml:space="preserve"> </w:t>
      </w:r>
      <w:r>
        <w:t xml:space="preserve">and the code repository</w:t>
      </w:r>
      <w:r>
        <w:rPr>
          <w:vertAlign w:val="superscript"/>
        </w:rPr>
        <w:t xml:space="preserve">33</w:t>
      </w:r>
      <w:r>
        <w:t xml:space="preserve">.</w:t>
      </w:r>
    </w:p>
    <w:tbl>
      <w:tblPr>
        <w:tblStyle w:val="Table"/>
        <w:tblW w:type="pct" w:w="5000"/>
        <w:tblLayout w:type="fixed"/>
        <w:tblLook w:firstRow="0" w:lastRow="0" w:firstColumn="0" w:lastColumn="0" w:noHBand="0" w:noVBand="0" w:val="0000"/>
      </w:tblPr>
      <w:tblGrid>
        <w:gridCol w:w="7920"/>
      </w:tblGrid>
      <w:tr>
        <w:tc>
          <w:tcPr/>
          <w:bookmarkStart w:id="86" w:name="fig-study3_training_approaches"/>
          <w:p>
            <w:pPr>
              <w:pStyle w:val="Compact"/>
              <w:jc w:val="center"/>
            </w:pPr>
            <w:hyperlink r:id="rId85">
              <w:r>
                <w:drawing>
                  <wp:inline>
                    <wp:extent cx="5334000" cy="5134167"/>
                    <wp:effectExtent b="0" l="0" r="0" t="0"/>
                    <wp:docPr descr="" title="" id="83" name="Picture"/>
                    <a:graphic>
                      <a:graphicData uri="http://schemas.openxmlformats.org/drawingml/2006/picture">
                        <pic:pic>
                          <pic:nvPicPr>
                            <pic:cNvPr descr="figures/3_methods_fig/study3_training_approaches.png" id="84" name="Picture"/>
                            <pic:cNvPicPr>
                              <a:picLocks noChangeArrowheads="1" noChangeAspect="1"/>
                            </pic:cNvPicPr>
                          </pic:nvPicPr>
                          <pic:blipFill>
                            <a:blip r:embed="rId82"/>
                            <a:stretch>
                              <a:fillRect/>
                            </a:stretch>
                          </pic:blipFill>
                          <pic:spPr bwMode="auto">
                            <a:xfrm>
                              <a:off x="0" y="0"/>
                              <a:ext cx="5334000" cy="51341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3.8: The four training approaches. The Base-Individual, Base-Generalized, and Transfer Learned models were based on an LSTM architecture. The base layer (green) consisted of two LSTM layers, while the task-specific layer (blue) consisted of a single dense layer.</w:t>
            </w:r>
          </w:p>
          <w:bookmarkEnd w:id="86"/>
        </w:tc>
      </w:tr>
    </w:tbl>
    <w:p>
      <w:pPr>
        <w:pStyle w:val="BodyText"/>
      </w:pPr>
      <w:r>
        <w:t xml:space="preserve">One of the machine learning models were developed using transfer learning. It is a machine learning technique in which knowledge learned from one domain is transferred to another related domain. One common transfer learning approach is fine-tuning, where a pretrained model is further trained using new data.</w:t>
      </w:r>
      <w:r>
        <w:rPr>
          <w:vertAlign w:val="superscript"/>
        </w:rPr>
        <w:t xml:space="preserve">34</w:t>
      </w:r>
      <w:r>
        <w:t xml:space="preserve"> </w:t>
      </w:r>
      <w:r>
        <w:t xml:space="preserve">In this analysis, generalized glucose prediction models were first trained using data from multiple participants (Base-Generalized model) and subsequently fine-tuned using participant-specific data to personalize glucose predictions (Transfer Learned model).</w:t>
      </w:r>
    </w:p>
    <w:tbl>
      <w:tblPr>
        <w:tblStyle w:val="Table"/>
        <w:tblW w:type="pct" w:w="5000"/>
        <w:tblLayout w:type="fixed"/>
        <w:tblLook w:firstRow="0" w:lastRow="0" w:firstColumn="0" w:lastColumn="0" w:noHBand="0" w:noVBand="0" w:val="0000"/>
      </w:tblPr>
      <w:tblGrid>
        <w:gridCol w:w="7920"/>
      </w:tblGrid>
      <w:tr>
        <w:tc>
          <w:tcPr/>
          <w:bookmarkStart w:id="87" w:name="tbl-study3_training_approaches"/>
          <w:p>
            <w:pPr>
              <w:jc w:val="center"/>
            </w:pPr>
            <w:pPr>
              <w:jc w:val="left"/>
              <w:spacing w:before="200"/>
              <w:pStyle w:val="ImageCaption"/>
            </w:pPr>
            <w:r>
              <w:t xml:space="preserve">Table 3.3: The four training approaches used to develop glucose prediction models for each participant in the T1DX dataset.</w:t>
            </w:r>
          </w:p>
          <w:tbl>
            <w:tblPr>
              <w:tblStyle w:val="Table"/>
              <w:tblW w:type="pct" w:w="5000"/>
              <w:tblLayout w:type="fixed"/>
              <w:tblLook w:firstRow="1" w:lastRow="0" w:firstColumn="0" w:lastColumn="0" w:noHBand="0" w:noVBand="0" w:val="0020"/>
            </w:tblPr>
            <w:tblGrid>
              <w:gridCol w:w="1584"/>
              <w:gridCol w:w="4752"/>
              <w:gridCol w:w="1584"/>
            </w:tblGrid>
            <w:tr>
              <w:trPr>
                <w:tblHeader w:val="on"/>
              </w:trPr>
              <w:tc>
                <w:tcPr/>
                <w:p>
                  <w:pPr>
                    <w:pStyle w:val="Compact"/>
                    <w:jc w:val="left"/>
                    <w:jc w:val="center"/>
                  </w:pPr>
                  <w:r>
                    <w:t xml:space="preserve">Model names</w:t>
                  </w:r>
                </w:p>
              </w:tc>
              <w:tc>
                <w:tcPr/>
                <w:p>
                  <w:pPr>
                    <w:pStyle w:val="Compact"/>
                    <w:jc w:val="left"/>
                    <w:jc w:val="center"/>
                  </w:pPr>
                  <w:r>
                    <w:t xml:space="preserve">Description</w:t>
                  </w:r>
                </w:p>
              </w:tc>
              <w:tc>
                <w:tcPr/>
                <w:p>
                  <w:pPr>
                    <w:pStyle w:val="Compact"/>
                    <w:jc w:val="left"/>
                    <w:jc w:val="center"/>
                  </w:pPr>
                  <w:r>
                    <w:t xml:space="preserve">Training data</w:t>
                  </w:r>
                </w:p>
              </w:tc>
            </w:tr>
            <w:tr>
              <w:tc>
                <w:tcPr/>
                <w:p>
                  <w:pPr>
                    <w:pStyle w:val="Compact"/>
                    <w:jc w:val="left"/>
                    <w:jc w:val="center"/>
                  </w:pPr>
                  <w:r>
                    <w:t xml:space="preserve">Last observation carried forward (LOCF)</w:t>
                  </w:r>
                </w:p>
              </w:tc>
              <w:tc>
                <w:tcPr/>
                <w:p>
                  <w:pPr>
                    <w:pStyle w:val="Compact"/>
                    <w:jc w:val="left"/>
                    <w:jc w:val="center"/>
                  </w:pPr>
                  <w:r>
                    <w:t xml:space="preserve">naive baseline: In the LOCF model, a given CGM measurement (x4) was used to predict blood glucose values 60 minutes in advance (x8) in the test set by assuming no change in the last 60 minutes.</w:t>
                  </w:r>
                </w:p>
              </w:tc>
              <w:tc>
                <w:tcPr/>
                <w:p>
                  <w:pPr>
                    <w:pStyle w:val="Compact"/>
                    <w:jc w:val="left"/>
                    <w:jc w:val="center"/>
                  </w:pPr>
                  <w:r>
                    <w:t xml:space="preserve">No training data required</w:t>
                  </w:r>
                </w:p>
              </w:tc>
            </w:tr>
            <w:tr>
              <w:tc>
                <w:tcPr/>
                <w:p>
                  <w:pPr>
                    <w:pStyle w:val="Compact"/>
                    <w:jc w:val="left"/>
                    <w:jc w:val="center"/>
                  </w:pPr>
                  <w:r>
                    <w:t xml:space="preserve">Base-Individual</w:t>
                  </w:r>
                </w:p>
              </w:tc>
              <w:tc>
                <w:tcPr/>
                <w:p>
                  <w:pPr>
                    <w:pStyle w:val="Compact"/>
                    <w:jc w:val="left"/>
                    <w:jc w:val="center"/>
                  </w:pPr>
                  <w:r>
                    <w:t xml:space="preserve">In the Base-Individual model, each participant’s complete CGM data (except for the last week, which was used for the testing data) was used for training.</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3.7</w:t>
                    </w:r>
                  </w:hyperlink>
                </w:p>
              </w:tc>
            </w:tr>
            <w:tr>
              <w:tc>
                <w:tcPr/>
                <w:p>
                  <w:pPr>
                    <w:pStyle w:val="Compact"/>
                    <w:jc w:val="left"/>
                    <w:jc w:val="center"/>
                  </w:pPr>
                  <w:r>
                    <w:t xml:space="preserve">Base-Generalized</w:t>
                  </w:r>
                </w:p>
              </w:tc>
              <w:tc>
                <w:tcPr/>
                <w:p>
                  <w:pPr>
                    <w:pStyle w:val="Compact"/>
                    <w:jc w:val="left"/>
                    <w:jc w:val="center"/>
                  </w:pPr>
                  <w:r>
                    <w:t xml:space="preserve">Here, for each participant, the 11 training corresponding datasets described above were used to generate 11 separate models, which were all subsequently tested on the given participant’s last week of CGM data.</w:t>
                  </w:r>
                </w:p>
              </w:tc>
              <w:tc>
                <w:tcPr/>
                <w:p>
                  <w:pPr>
                    <w:pStyle w:val="Compact"/>
                    <w:jc w:val="left"/>
                    <w:jc w:val="center"/>
                  </w:pPr>
                  <w:r>
                    <w:t xml:space="preserve">All the different subsets of data</w:t>
                  </w:r>
                  <w:r>
                    <w:t xml:space="preserve"> </w:t>
                  </w:r>
                  <w:hyperlink w:anchor="fig-study3_partitioning">
                    <w:r>
                      <w:rPr>
                        <w:rStyle w:val="Hyperlink"/>
                      </w:rPr>
                      <w:t xml:space="preserve">Figure 3.6</w:t>
                    </w:r>
                  </w:hyperlink>
                </w:p>
              </w:tc>
            </w:tr>
            <w:tr>
              <w:tc>
                <w:tcPr/>
                <w:p>
                  <w:pPr>
                    <w:pStyle w:val="Compact"/>
                    <w:jc w:val="left"/>
                    <w:jc w:val="center"/>
                  </w:pPr>
                  <w:r>
                    <w:t xml:space="preserve">Transfer Learned</w:t>
                  </w:r>
                </w:p>
              </w:tc>
              <w:tc>
                <w:tcPr/>
                <w:p>
                  <w:pPr>
                    <w:pStyle w:val="Compact"/>
                    <w:jc w:val="left"/>
                    <w:jc w:val="center"/>
                  </w:pPr>
                  <w:r>
                    <w:t xml:space="preserve">This model mirrored the Base-Generalized Model’s setup. However, the 11 trained models for each participant were subsequently tailored, i.e., fine-tuned with transfer learning to the given participant’s complete CGM data (except for the last week, which was used for the testing data)</w:t>
                  </w:r>
                </w:p>
              </w:tc>
              <w:tc>
                <w:tcPr/>
                <w:p>
                  <w:pPr>
                    <w:pStyle w:val="Compact"/>
                    <w:jc w:val="left"/>
                    <w:jc w:val="center"/>
                  </w:pPr>
                  <w:r>
                    <w:t xml:space="preserve">Only data from 1 participant</w:t>
                  </w:r>
                  <w:r>
                    <w:t xml:space="preserve"> </w:t>
                  </w:r>
                  <w:hyperlink w:anchor="fig-study3_train_finetune_test_split">
                    <w:r>
                      <w:rPr>
                        <w:rStyle w:val="Hyperlink"/>
                      </w:rPr>
                      <w:t xml:space="preserve">Figure 3.7</w:t>
                    </w:r>
                  </w:hyperlink>
                </w:p>
              </w:tc>
            </w:tr>
          </w:tbl>
          <w:bookmarkEnd w:id="87"/>
          <w:p/>
        </w:tc>
      </w:tr>
    </w:tbl>
    <w:bookmarkEnd w:id="88"/>
    <w:bookmarkStart w:id="94" w:name="model-evaluation"/>
    <w:p>
      <w:pPr>
        <w:pStyle w:val="Heading3"/>
      </w:pPr>
      <w:r>
        <w:t xml:space="preserve">Model Evaluation</w:t>
      </w:r>
    </w:p>
    <w:p>
      <w:pPr>
        <w:pStyle w:val="FirstParagraph"/>
      </w:pPr>
      <w:r>
        <w:t xml:space="preserve">To evaluate model performance, each participant’s last weeks worth of data (672 measurements) was reserved for internal testing (</w:t>
      </w:r>
      <w:hyperlink w:anchor="fig-study3_train_finetune_test_split">
        <w:r>
          <w:rPr>
            <w:rStyle w:val="Hyperlink"/>
          </w:rPr>
          <w:t xml:space="preserve">Figure 3.7</w:t>
        </w:r>
      </w:hyperlink>
      <w:r>
        <w:t xml:space="preserve">).</w:t>
      </w:r>
      <w:r>
        <w:t xml:space="preserve"> </w:t>
      </w:r>
      <w:r>
        <w:t xml:space="preserve">Model accuracy was assessed by calculating the root mean squared error (RMSE) for each participant across all four modeling approaches. For the LOCF and Base-Individual models, this yielded one RMSE value for each of the 101 White participants and 104 Black participants.</w:t>
      </w:r>
      <w:r>
        <w:t xml:space="preserve"> </w:t>
      </w:r>
      <w:r>
        <w:t xml:space="preserve">For the Base-Generalized and Transfer Learned models, RMSEs were calculated for each participant across 11 data subsets, each representing a unique proportion of White and Black participants.</w:t>
      </w:r>
      <w:r>
        <w:t xml:space="preserve"> </w:t>
      </w:r>
      <w:r>
        <w:t xml:space="preserve">Performance was summarized as the mean RMSE with corresponding 95% confidence intervals (CIs) for each racial group.</w:t>
      </w:r>
    </w:p>
    <w:p>
      <w:pPr>
        <w:pStyle w:val="BodyText"/>
      </w:pPr>
      <w:r>
        <w:t xml:space="preserve">To evaluate the predictive performance across different ratios for the Base-Generalized and Transfer Learned models a linear mixed effect model (LMEM) was used since data was dependent due to participants having an RMSE value for each subset with varying proportions of White and Black participants.</w:t>
      </w:r>
      <w:r>
        <w:t xml:space="preserve"> </w:t>
      </w:r>
      <w:r>
        <w:t xml:space="preserve">It was assumed that RMSE values would vary between individuals and therefore a random intercept was included and the following covariates were included: ratio (proportion of White and Black), race, age, sex, and training data sample size. (Categorical: Race, age, and sex; continuous: RMSE, ratio, and sample size)</w:t>
      </w:r>
      <w:r>
        <w:t xml:space="preserve"> </w:t>
      </w:r>
      <w:r>
        <w:t xml:space="preserve">It was further assumed that the varying proportions of Black and White participants in the training data subsets would affect the performance and an interaction term was therefore added. The interaction term allowed for different slopes in the LMEM which allowed us to test the hypothesis</w:t>
      </w:r>
    </w:p>
    <w:p>
      <w:pPr>
        <w:pStyle w:val="BodyText"/>
      </w:pPr>
      <w:r>
        <w:t xml:space="preserve">Surveillance error grids (SEG) were used to get a general idea of the clinical risk of the prediction models.</w:t>
      </w:r>
      <w:r>
        <w:rPr>
          <w:vertAlign w:val="superscript"/>
        </w:rPr>
        <w:t xml:space="preserve">35</w:t>
      </w:r>
      <w:r>
        <w:t xml:space="preserve"> </w:t>
      </w:r>
      <w:r>
        <w:t xml:space="preserve">The error grids are originally developed for the regulatory bodies to asses clinical accuracy of blood glucose monitoring in post-surveillance before the wide spread use of CGM devices.</w:t>
      </w:r>
      <w:r>
        <w:rPr>
          <w:vertAlign w:val="superscript"/>
        </w:rPr>
        <w:t xml:space="preserve">36</w:t>
      </w:r>
      <w:r>
        <w:t xml:space="preserve"> </w:t>
      </w:r>
      <w:r>
        <w:t xml:space="preserve">and the results should therefore be interpreted with caution when using CGM data. The SEG is a 600x600 grid assigned an individual risk score to each datapoint with 15 colored zones, each indicating severity of a monitoring error that is acted upon in regards to risk of hypoglycemia or hyperglycemia (</w:t>
      </w:r>
      <w:hyperlink w:anchor="fig-study3_SEG">
        <w:r>
          <w:rPr>
            <w:rStyle w:val="Hyperlink"/>
          </w:rPr>
          <w:t xml:space="preserve">Figure 3.9</w:t>
        </w:r>
      </w:hyperlink>
      <w:r>
        <w:t xml:space="preserve">).</w:t>
      </w:r>
      <w:r>
        <w:rPr>
          <w:vertAlign w:val="superscript"/>
        </w:rPr>
        <w:t xml:space="preserve">36</w:t>
      </w:r>
      <w:r>
        <w:t xml:space="preserve"> </w:t>
      </w:r>
      <w:r>
        <w:t xml:space="preserve">To facilitate interpretation, the 15 surveillance error grid zones were collapsed into the five broader risk zones (</w:t>
      </w:r>
      <w:r>
        <w:t xml:space="preserve">“No”</w:t>
      </w:r>
      <w:r>
        <w:t xml:space="preserve">,</w:t>
      </w:r>
      <w:r>
        <w:t xml:space="preserve"> </w:t>
      </w:r>
      <w:r>
        <w:t xml:space="preserve">“Slight”</w:t>
      </w:r>
      <w:r>
        <w:t xml:space="preserve">,</w:t>
      </w:r>
      <w:r>
        <w:t xml:space="preserve"> </w:t>
      </w:r>
      <w:r>
        <w:t xml:space="preserve">“Moderate”</w:t>
      </w:r>
      <w:r>
        <w:t xml:space="preserve">,</w:t>
      </w:r>
      <w:r>
        <w:t xml:space="preserve"> </w:t>
      </w:r>
      <w:r>
        <w:t xml:space="preserve">“High”</w:t>
      </w:r>
      <w:r>
        <w:t xml:space="preserve">, and</w:t>
      </w:r>
      <w:r>
        <w:t xml:space="preserve"> </w:t>
      </w:r>
      <w:r>
        <w:t xml:space="preserve">“Extreme”</w:t>
      </w:r>
      <w:r>
        <w:t xml:space="preserve">), as previously suggested in the literature.</w:t>
      </w:r>
      <w:r>
        <w:rPr>
          <w:vertAlign w:val="superscript"/>
        </w:rPr>
        <w:t xml:space="preserve">35</w:t>
      </w:r>
      <w:r>
        <w:t xml:space="preserve"> </w:t>
      </w:r>
      <w:r>
        <w:t xml:space="preserve">Predictions outside of 0–33 mmol/L were changed to 0 or 33 mmol/L to keep within the upper and lower bounds of the surveillance error grid.</w:t>
      </w:r>
    </w:p>
    <w:tbl>
      <w:tblPr>
        <w:tblStyle w:val="Table"/>
        <w:tblW w:type="pct" w:w="5000"/>
        <w:tblLayout w:type="fixed"/>
        <w:tblLook w:firstRow="0" w:lastRow="0" w:firstColumn="0" w:lastColumn="0" w:noHBand="0" w:noVBand="0" w:val="0000"/>
      </w:tblPr>
      <w:tblGrid>
        <w:gridCol w:w="7920"/>
      </w:tblGrid>
      <w:tr>
        <w:tc>
          <w:tcPr/>
          <w:bookmarkStart w:id="93" w:name="fig-study3_SEG"/>
          <w:p>
            <w:pPr>
              <w:pStyle w:val="Compact"/>
              <w:jc w:val="center"/>
            </w:pPr>
            <w:hyperlink r:id="rId92">
              <w:r>
                <w:drawing>
                  <wp:inline>
                    <wp:extent cx="5334000" cy="3561445"/>
                    <wp:effectExtent b="0" l="0" r="0" t="0"/>
                    <wp:docPr descr="" title="" id="90" name="Picture"/>
                    <a:graphic>
                      <a:graphicData uri="http://schemas.openxmlformats.org/drawingml/2006/picture">
                        <pic:pic>
                          <pic:nvPicPr>
                            <pic:cNvPr descr="figures/3_methods_fig/study3_SEG_empty.png" id="91" name="Picture"/>
                            <pic:cNvPicPr>
                              <a:picLocks noChangeArrowheads="1" noChangeAspect="1"/>
                            </pic:cNvPicPr>
                          </pic:nvPicPr>
                          <pic:blipFill>
                            <a:blip r:embed="rId89"/>
                            <a:stretch>
                              <a:fillRect/>
                            </a:stretch>
                          </pic:blipFill>
                          <pic:spPr bwMode="auto">
                            <a:xfrm>
                              <a:off x="0" y="0"/>
                              <a:ext cx="5334000" cy="3561445"/>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3.9: An empty surveillance error grid</w:t>
            </w:r>
          </w:p>
          <w:bookmarkEnd w:id="93"/>
        </w:tc>
      </w:tr>
    </w:tbl>
    <w:bookmarkEnd w:id="94"/>
    <w:bookmarkEnd w:id="95"/>
    <w:bookmarkStart w:id="96" w:name="X874f3acf93b0569a1904a8be53cc704ee1eb7cb"/>
    <w:p>
      <w:pPr>
        <w:pStyle w:val="Heading2"/>
      </w:pPr>
      <w:r>
        <w:t xml:space="preserve">3.7 Bias in machine learning models (Study III)</w:t>
      </w:r>
    </w:p>
    <w:p>
      <w:pPr>
        <w:pStyle w:val="Compact"/>
        <w:numPr>
          <w:ilvl w:val="0"/>
          <w:numId w:val="1021"/>
        </w:numPr>
      </w:pPr>
      <w:r>
        <w:t xml:space="preserve">Fairness metrics</w:t>
      </w:r>
    </w:p>
    <w:p>
      <w:pPr>
        <w:pStyle w:val="Compact"/>
        <w:numPr>
          <w:ilvl w:val="0"/>
          <w:numId w:val="1022"/>
        </w:numPr>
      </w:pPr>
      <w:r>
        <w:t xml:space="preserve">Mitigation strategies -&gt; Fine-tuning LSTM</w:t>
      </w:r>
    </w:p>
    <w:p>
      <w:pPr>
        <w:pStyle w:val="Compact"/>
        <w:numPr>
          <w:ilvl w:val="0"/>
          <w:numId w:val="1023"/>
        </w:numPr>
      </w:pPr>
      <w:r>
        <w:t xml:space="preserve">Regression analysis and coefficients?</w:t>
      </w:r>
    </w:p>
    <w:p>
      <w:pPr>
        <w:pStyle w:val="Compact"/>
        <w:numPr>
          <w:ilvl w:val="0"/>
          <w:numId w:val="1024"/>
        </w:numPr>
      </w:pPr>
      <w:r>
        <w:t xml:space="preserve">Evaluate bias when output is not binary (e.g., LMEM models)</w:t>
      </w:r>
    </w:p>
    <w:p>
      <w:pPr>
        <w:pStyle w:val="Compact"/>
        <w:numPr>
          <w:ilvl w:val="0"/>
          <w:numId w:val="1025"/>
        </w:numPr>
      </w:pPr>
      <w:r>
        <w:t xml:space="preserve">CGM specific error grids</w:t>
      </w:r>
    </w:p>
    <w:bookmarkEnd w:id="96"/>
    <w:bookmarkEnd w:id="97"/>
    <w:bookmarkStart w:id="98" w:name="helenes-notes"/>
    <w:p>
      <w:pPr>
        <w:pStyle w:val="Heading1"/>
      </w:pPr>
      <w:r>
        <w:t xml:space="preserve">4. Helenes Notes**</w:t>
      </w:r>
    </w:p>
    <w:p>
      <w:pPr>
        <w:pStyle w:val="Compact"/>
        <w:numPr>
          <w:ilvl w:val="0"/>
          <w:numId w:val="1026"/>
        </w:numPr>
      </w:pPr>
      <w:r>
        <w:t xml:space="preserve">Study I</w:t>
      </w:r>
    </w:p>
    <w:p>
      <w:pPr>
        <w:pStyle w:val="Compact"/>
        <w:numPr>
          <w:ilvl w:val="0"/>
          <w:numId w:val="1027"/>
        </w:numPr>
      </w:pPr>
      <w:r>
        <w:t xml:space="preserve">Study II</w:t>
      </w:r>
    </w:p>
    <w:p>
      <w:pPr>
        <w:pStyle w:val="Compact"/>
        <w:numPr>
          <w:ilvl w:val="0"/>
          <w:numId w:val="1028"/>
        </w:numPr>
      </w:pPr>
      <w:r>
        <w:t xml:space="preserve">NT-proBNP as a biomarker of cardiovascular risk</w:t>
      </w:r>
    </w:p>
    <w:p>
      <w:pPr>
        <w:pStyle w:val="Compact"/>
        <w:numPr>
          <w:ilvl w:val="0"/>
          <w:numId w:val="1029"/>
        </w:numPr>
      </w:pPr>
      <w:r>
        <w:t xml:space="preserve">Present CGM-derived metrics</w:t>
      </w:r>
    </w:p>
    <w:p>
      <w:pPr>
        <w:pStyle w:val="Compact"/>
        <w:numPr>
          <w:ilvl w:val="0"/>
          <w:numId w:val="1030"/>
        </w:numPr>
      </w:pPr>
      <w:r>
        <w:t xml:space="preserve">Study II</w:t>
      </w:r>
    </w:p>
    <w:bookmarkEnd w:id="98"/>
    <w:bookmarkStart w:id="131" w:name="results"/>
    <w:p>
      <w:pPr>
        <w:pStyle w:val="Heading1"/>
      </w:pPr>
      <w:r>
        <w:t xml:space="preserve">5. Results</w:t>
      </w:r>
    </w:p>
    <w:bookmarkStart w:id="99" w:name="Xbf25bf600eb8fd4e16b146de30b0e51e7883a82"/>
    <w:p>
      <w:pPr>
        <w:pStyle w:val="Heading2"/>
      </w:pPr>
      <w:r>
        <w:t xml:space="preserve">5.1 metrics used in the papers - Study 1 - Scoping review</w:t>
      </w:r>
    </w:p>
    <w:p>
      <w:pPr>
        <w:pStyle w:val="Compact"/>
        <w:numPr>
          <w:ilvl w:val="0"/>
          <w:numId w:val="1031"/>
        </w:numPr>
      </w:pPr>
      <w:r>
        <w:t xml:space="preserve">CGM metrics and CVD definitions’</w:t>
      </w:r>
    </w:p>
    <w:p>
      <w:pPr>
        <w:pStyle w:val="Compact"/>
        <w:numPr>
          <w:ilvl w:val="0"/>
          <w:numId w:val="1032"/>
        </w:numPr>
      </w:pPr>
      <w:r>
        <w:t xml:space="preserve">Demographics</w:t>
      </w:r>
    </w:p>
    <w:p>
      <w:pPr>
        <w:pStyle w:val="Compact"/>
        <w:numPr>
          <w:ilvl w:val="0"/>
          <w:numId w:val="1033"/>
        </w:numPr>
      </w:pPr>
      <w:r>
        <w:t xml:space="preserve">Study designs / cohorts</w:t>
      </w:r>
    </w:p>
    <w:p>
      <w:pPr>
        <w:pStyle w:val="Compact"/>
        <w:numPr>
          <w:ilvl w:val="0"/>
          <w:numId w:val="1034"/>
        </w:numPr>
      </w:pPr>
      <w:r>
        <w:t xml:space="preserve">Diabetes types</w:t>
      </w:r>
    </w:p>
    <w:p>
      <w:pPr>
        <w:pStyle w:val="Compact"/>
        <w:numPr>
          <w:ilvl w:val="0"/>
          <w:numId w:val="1035"/>
        </w:numPr>
      </w:pPr>
      <w:r>
        <w:t xml:space="preserve">CGM metrics</w:t>
      </w:r>
    </w:p>
    <w:p>
      <w:pPr>
        <w:pStyle w:val="Compact"/>
        <w:numPr>
          <w:ilvl w:val="0"/>
          <w:numId w:val="1036"/>
        </w:numPr>
      </w:pPr>
      <w:r>
        <w:t xml:space="preserve">CVD risk factors</w:t>
      </w:r>
    </w:p>
    <w:p>
      <w:pPr>
        <w:pStyle w:val="Compact"/>
        <w:numPr>
          <w:ilvl w:val="0"/>
          <w:numId w:val="1037"/>
        </w:numPr>
      </w:pPr>
      <w:r>
        <w:t xml:space="preserve">Statistical methods used</w:t>
      </w:r>
    </w:p>
    <w:p>
      <w:pPr>
        <w:pStyle w:val="Compact"/>
        <w:numPr>
          <w:ilvl w:val="0"/>
          <w:numId w:val="1038"/>
        </w:numPr>
      </w:pPr>
      <w:r>
        <w:t xml:space="preserve">Check big and small letters in headers (uppercase/lowercase beginnings)</w:t>
      </w:r>
    </w:p>
    <w:bookmarkEnd w:id="99"/>
    <w:bookmarkStart w:id="117" w:name="study-i-results-from-a-scoping-review"/>
    <w:p>
      <w:pPr>
        <w:pStyle w:val="Heading2"/>
      </w:pPr>
      <w:r>
        <w:t xml:space="preserve">5.2 Study I: Results from a Scoping Review</w:t>
      </w:r>
    </w:p>
    <w:bookmarkStart w:id="105" w:name="study-selection"/>
    <w:p>
      <w:pPr>
        <w:pStyle w:val="Heading3"/>
      </w:pPr>
      <w:r>
        <w:t xml:space="preserve">Study Selection</w:t>
      </w:r>
    </w:p>
    <w:tbl>
      <w:tblPr>
        <w:tblStyle w:val="Table"/>
        <w:tblW w:type="pct" w:w="5000"/>
        <w:tblLayout w:type="fixed"/>
        <w:tblLook w:firstRow="0" w:lastRow="0" w:firstColumn="0" w:lastColumn="0" w:noHBand="0" w:noVBand="0" w:val="0000"/>
      </w:tblPr>
      <w:tblGrid>
        <w:gridCol w:w="7920"/>
      </w:tblGrid>
      <w:tr>
        <w:tc>
          <w:tcPr/>
          <w:bookmarkStart w:id="104" w:name="fig-prisma"/>
          <w:p>
            <w:pPr>
              <w:pStyle w:val="Compact"/>
              <w:jc w:val="center"/>
            </w:pPr>
            <w:hyperlink r:id="rId103">
              <w:r>
                <w:drawing>
                  <wp:inline>
                    <wp:extent cx="5334000" cy="4601367"/>
                    <wp:effectExtent b="0" l="0" r="0" t="0"/>
                    <wp:docPr descr="" title="" id="101" name="Picture"/>
                    <a:graphic>
                      <a:graphicData uri="http://schemas.openxmlformats.org/drawingml/2006/picture">
                        <pic:pic>
                          <pic:nvPicPr>
                            <pic:cNvPr descr="figures/4_results_fig/study_1_prisma.png" id="102" name="Picture"/>
                            <pic:cNvPicPr>
                              <a:picLocks noChangeArrowheads="1" noChangeAspect="1"/>
                            </pic:cNvPicPr>
                          </pic:nvPicPr>
                          <pic:blipFill>
                            <a:blip r:embed="rId100"/>
                            <a:stretch>
                              <a:fillRect/>
                            </a:stretch>
                          </pic:blipFill>
                          <pic:spPr bwMode="auto">
                            <a:xfrm>
                              <a:off x="0" y="0"/>
                              <a:ext cx="5334000" cy="4601367"/>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5.1: Flow diagram of study selection</w:t>
            </w:r>
          </w:p>
          <w:bookmarkEnd w:id="104"/>
        </w:tc>
      </w:tr>
    </w:tbl>
    <w:bookmarkEnd w:id="105"/>
    <w:bookmarkStart w:id="110" w:name="study-populations-1"/>
    <w:p>
      <w:pPr>
        <w:pStyle w:val="Heading3"/>
      </w:pPr>
      <w:r>
        <w:t xml:space="preserve">Study Populations</w:t>
      </w:r>
    </w:p>
    <w:p>
      <w:pPr>
        <w:pStyle w:val="Compact"/>
        <w:numPr>
          <w:ilvl w:val="0"/>
          <w:numId w:val="1039"/>
        </w:numPr>
      </w:pPr>
      <w:r>
        <w:t xml:space="preserve">[] Add mapchart.net to the refernecelist and cite it in this figure text</w:t>
      </w:r>
    </w:p>
    <w:p>
      <w:pPr>
        <w:pStyle w:val="Compact"/>
        <w:numPr>
          <w:ilvl w:val="0"/>
          <w:numId w:val="1039"/>
        </w:numPr>
      </w:pPr>
      <w:r>
        <w:t xml:space="preserve">[] If timer permits it then change colorscale to viridis or AU blue</w:t>
      </w:r>
      <w:r>
        <w:t xml:space="preserve"> </w:t>
      </w:r>
      <w:r>
        <w:t xml:space="preserve">::: {#fig-prisma}</w:t>
      </w:r>
      <w:r>
        <w:t xml:space="preserve"> </w:t>
      </w:r>
      <w:hyperlink r:id="rId109">
        <w:r>
          <w:drawing>
            <wp:inline>
              <wp:extent cx="5334000" cy="2694429"/>
              <wp:effectExtent b="0" l="0" r="0" t="0"/>
              <wp:docPr descr="" title="" id="107" name="Picture"/>
              <a:graphic>
                <a:graphicData uri="http://schemas.openxmlformats.org/drawingml/2006/picture">
                  <pic:pic>
                    <pic:nvPicPr>
                      <pic:cNvPr descr="figures/4_results_fig/study_1_world_map.png" id="108" name="Picture"/>
                      <pic:cNvPicPr>
                        <a:picLocks noChangeArrowheads="1" noChangeAspect="1"/>
                      </pic:cNvPicPr>
                    </pic:nvPicPr>
                    <pic:blipFill>
                      <a:blip r:embed="rId106"/>
                      <a:stretch>
                        <a:fillRect/>
                      </a:stretch>
                    </pic:blipFill>
                    <pic:spPr bwMode="auto">
                      <a:xfrm>
                        <a:off x="0" y="0"/>
                        <a:ext cx="5334000" cy="2694429"/>
                      </a:xfrm>
                      <a:prstGeom prst="rect">
                        <a:avLst/>
                      </a:prstGeom>
                      <a:noFill/>
                      <a:ln w="9525">
                        <a:noFill/>
                        <a:headEnd/>
                        <a:tailEnd/>
                      </a:ln>
                    </pic:spPr>
                  </pic:pic>
                </a:graphicData>
              </a:graphic>
            </wp:inline>
          </w:drawing>
        </w:r>
      </w:hyperlink>
    </w:p>
    <w:p>
      <w:pPr>
        <w:pStyle w:val="FirstParagraph"/>
      </w:pPr>
      <w:r>
        <w:t xml:space="preserve">Geographical location of the studies (colored in red) were found based on the hospitals and centers where data was collected or by the first author’s affiliation when the other option was not available. Illustration was created with mapchart.net</w:t>
      </w:r>
    </w:p>
    <w:p>
      <w:pPr>
        <w:pStyle w:val="BodyText"/>
      </w:pPr>
      <w:r>
        <w:t xml:space="preserve">Geographic distribution of the studies</w:t>
      </w:r>
      <w:r>
        <w:t xml:space="preserve"> </w:t>
      </w:r>
      <w:r>
        <w:t xml:space="preserve">:::</w:t>
      </w:r>
    </w:p>
    <w:bookmarkEnd w:id="110"/>
    <w:bookmarkStart w:id="112" w:name="study-designs-and-demographics"/>
    <w:p>
      <w:pPr>
        <w:pStyle w:val="Heading3"/>
      </w:pPr>
      <w:r>
        <w:t xml:space="preserve">Study Designs and Demographics</w:t>
      </w:r>
    </w:p>
    <w:p>
      <w:pPr>
        <w:pStyle w:val="Compact"/>
        <w:numPr>
          <w:ilvl w:val="0"/>
          <w:numId w:val="1040"/>
        </w:numPr>
      </w:pPr>
      <w:r>
        <w:t xml:space="preserve">Check table is correct with the published article</w:t>
      </w:r>
    </w:p>
    <w:p>
      <w:pPr>
        <w:pStyle w:val="Compact"/>
        <w:numPr>
          <w:ilvl w:val="0"/>
          <w:numId w:val="1041"/>
        </w:numPr>
      </w:pPr>
      <w:r>
        <w:t xml:space="preserve">Add a raised letter to each abbreviation and include it in the table when relevant</w:t>
      </w:r>
    </w:p>
    <w:p>
      <w:pPr>
        <w:pStyle w:val="Compact"/>
        <w:numPr>
          <w:ilvl w:val="0"/>
          <w:numId w:val="1042"/>
        </w:numPr>
      </w:pPr>
      <w:r>
        <w:t xml:space="preserve">Add references to all citations</w:t>
      </w:r>
    </w:p>
    <w:p>
      <w:pPr>
        <w:sectPr/>
      </w:pPr>
    </w:p>
    <w:tbl>
      <w:tblPr>
        <w:tblStyle w:val="Table"/>
        <w:tblW w:type="pct" w:w="5000"/>
        <w:tblLayout w:type="fixed"/>
        <w:tblLook w:firstRow="0" w:lastRow="0" w:firstColumn="0" w:lastColumn="0" w:noHBand="0" w:noVBand="0" w:val="0000"/>
      </w:tblPr>
      <w:tblGrid>
        <w:gridCol w:w="7920"/>
      </w:tblGrid>
      <w:tr>
        <w:tc>
          <w:tcPr/>
          <w:bookmarkStart w:id="111" w:name="tbl-study1-overview"/>
          <w:p>
            <w:pPr>
              <w:jc w:val="center"/>
            </w:pPr>
            <w:pPr>
              <w:jc w:val="left"/>
              <w:spacing w:before="200"/>
              <w:pStyle w:val="ImageCaption"/>
            </w:pPr>
            <w:r>
              <w:t xml:space="preserve">Table 5.1: Study design and demographics of the included clinical cardiovascular outcome studies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Author, year</w:t>
                  </w:r>
                </w:p>
              </w:tc>
              <w:tc>
                <w:tcPr/>
                <w:p>
                  <w:pPr>
                    <w:pStyle w:val="Compact"/>
                    <w:jc w:val="left"/>
                    <w:jc w:val="center"/>
                  </w:pPr>
                  <w:r>
                    <w:t xml:space="preserve">Study Design</w:t>
                  </w:r>
                </w:p>
              </w:tc>
              <w:tc>
                <w:tcPr/>
                <w:p>
                  <w:pPr>
                    <w:pStyle w:val="Compact"/>
                    <w:jc w:val="left"/>
                    <w:jc w:val="center"/>
                  </w:pPr>
                  <w:r>
                    <w:t xml:space="preserve">Population</w:t>
                  </w:r>
                </w:p>
              </w:tc>
              <w:tc>
                <w:tcPr/>
                <w:p>
                  <w:pPr>
                    <w:pStyle w:val="Compact"/>
                    <w:jc w:val="left"/>
                    <w:jc w:val="center"/>
                  </w:pPr>
                  <w:r>
                    <w:t xml:space="preserve">Size</w:t>
                  </w:r>
                </w:p>
              </w:tc>
              <w:tc>
                <w:tcPr/>
                <w:p>
                  <w:pPr>
                    <w:pStyle w:val="Compact"/>
                    <w:jc w:val="left"/>
                    <w:jc w:val="center"/>
                  </w:pPr>
                  <w:r>
                    <w:t xml:space="preserve">Age (Years)</w:t>
                  </w:r>
                </w:p>
              </w:tc>
              <w:tc>
                <w:tcPr/>
                <w:p>
                  <w:pPr>
                    <w:pStyle w:val="Compact"/>
                    <w:jc w:val="left"/>
                    <w:jc w:val="center"/>
                  </w:pPr>
                  <w:r>
                    <w:t xml:space="preserve">Diabetes duration (Years)</w:t>
                  </w:r>
                </w:p>
              </w:tc>
              <w:tc>
                <w:tcPr/>
                <w:p>
                  <w:pPr>
                    <w:pStyle w:val="Compact"/>
                    <w:jc w:val="left"/>
                    <w:jc w:val="center"/>
                  </w:pPr>
                  <w:r>
                    <w:t xml:space="preserve">HbA1c, mmol/mol (%)</w:t>
                  </w:r>
                </w:p>
              </w:tc>
              <w:tc>
                <w:tcPr/>
                <w:p>
                  <w:pPr>
                    <w:pStyle w:val="Compact"/>
                    <w:jc w:val="left"/>
                    <w:jc w:val="center"/>
                  </w:pPr>
                  <w:r>
                    <w:t xml:space="preserve">CGM duration</w:t>
                  </w:r>
                </w:p>
              </w:tc>
            </w:tr>
            <w:tr>
              <w:tc>
                <w:tcPr/>
                <w:p>
                  <w:pPr>
                    <w:pStyle w:val="Compact"/>
                    <w:jc w:val="left"/>
                    <w:jc w:val="center"/>
                  </w:pPr>
                  <w:r>
                    <w:t xml:space="preserve">Chen, 2020</w:t>
                  </w:r>
                  <m:oMath>
                    <m:sSup>
                      <m:e>
                        <m:r>
                          <m:t>​</m:t>
                        </m:r>
                      </m:e>
                      <m:sup>
                        <m:r>
                          <m:rPr>
                            <m:sty m:val="p"/>
                          </m:rPr>
                          <m:t>†</m:t>
                        </m:r>
                      </m:sup>
                    </m:sSup>
                  </m:oMath>
                </w:p>
              </w:tc>
              <w:tc>
                <w:tcPr/>
                <w:p>
                  <w:pPr>
                    <w:pStyle w:val="Compact"/>
                    <w:jc w:val="left"/>
                    <w:jc w:val="center"/>
                  </w:pPr>
                  <w:r>
                    <w:t xml:space="preserve">Longitudinal (prospective) and cross-sectional (retrospective)</w:t>
                  </w:r>
                  <w:r>
                    <w:t xml:space="preserve">FU: in-hospital or within 3 months after discharge from hospital</w:t>
                  </w:r>
                </w:p>
              </w:tc>
              <w:tc>
                <w:tcPr/>
                <w:p>
                  <w:pPr>
                    <w:pStyle w:val="Compact"/>
                    <w:jc w:val="left"/>
                    <w:jc w:val="center"/>
                  </w:pPr>
                  <w:r>
                    <w:t xml:space="preserve">T2D with CAD (Only male)</w:t>
                  </w:r>
                  <w:r>
                    <w:t xml:space="preserve">BG control, n = 90</w:t>
                  </w:r>
                  <w:r>
                    <w:t xml:space="preserve">BG fluctuation, n = 120</w:t>
                  </w:r>
                </w:p>
              </w:tc>
              <w:tc>
                <w:tcPr/>
                <w:p>
                  <w:pPr>
                    <w:pStyle w:val="Compact"/>
                    <w:jc w:val="left"/>
                    <w:jc w:val="center"/>
                  </w:pPr>
                  <w:r>
                    <w:t xml:space="preserve">210</w:t>
                  </w:r>
                </w:p>
              </w:tc>
              <w:tc>
                <w:tcPr/>
                <w:p>
                  <w:pPr>
                    <w:pStyle w:val="Compact"/>
                    <w:jc w:val="left"/>
                    <w:jc w:val="center"/>
                  </w:pPr>
                  <w:r>
                    <w:t xml:space="preserve">BG controls: 55.53</w:t>
                  </w:r>
                  <w:r>
                    <w:t xml:space="preserve"> </w:t>
                  </w:r>
                  <m:oMath>
                    <m:r>
                      <m:rPr>
                        <m:sty m:val="p"/>
                      </m:rPr>
                      <m:t>±</m:t>
                    </m:r>
                  </m:oMath>
                  <w:r>
                    <w:t xml:space="preserve"> </w:t>
                  </w:r>
                  <w:r>
                    <w:t xml:space="preserve">7.30</w:t>
                  </w:r>
                  <w:r>
                    <w:t xml:space="preserve">BG fluctuation: 56.41</w:t>
                  </w:r>
                  <w:r>
                    <w:t xml:space="preserve"> </w:t>
                  </w:r>
                  <m:oMath>
                    <m:r>
                      <m:rPr>
                        <m:sty m:val="p"/>
                      </m:rPr>
                      <m:t>±</m:t>
                    </m:r>
                  </m:oMath>
                  <w:r>
                    <w:t xml:space="preserve"> </w:t>
                  </w:r>
                  <w:r>
                    <w:t xml:space="preserve">7.67</w:t>
                  </w:r>
                </w:p>
              </w:tc>
              <w:tc>
                <w:tcPr/>
                <w:p>
                  <w:pPr>
                    <w:pStyle w:val="Compact"/>
                    <w:jc w:val="left"/>
                    <w:jc w:val="center"/>
                  </w:pPr>
                  <w:r>
                    <w:t xml:space="preserve">BG controls: 6.59</w:t>
                  </w:r>
                  <w:r>
                    <w:t xml:space="preserve"> </w:t>
                  </w:r>
                  <m:oMath>
                    <m:r>
                      <m:rPr>
                        <m:sty m:val="p"/>
                      </m:rPr>
                      <m:t>±</m:t>
                    </m:r>
                  </m:oMath>
                  <w:r>
                    <w:t xml:space="preserve"> </w:t>
                  </w:r>
                  <w:r>
                    <w:t xml:space="preserve">2.30</w:t>
                  </w:r>
                  <w:r>
                    <w:t xml:space="preserve">BG fluctuation group: 6.92</w:t>
                  </w:r>
                  <w:r>
                    <w:t xml:space="preserve"> </w:t>
                  </w:r>
                  <m:oMath>
                    <m:r>
                      <m:rPr>
                        <m:sty m:val="p"/>
                      </m:rPr>
                      <m:t>±</m:t>
                    </m:r>
                  </m:oMath>
                  <w:r>
                    <w:t xml:space="preserve"> </w:t>
                  </w:r>
                  <w:r>
                    <w:t xml:space="preserve">2.25</w:t>
                  </w:r>
                </w:p>
              </w:tc>
              <w:tc>
                <w:tcPr/>
                <w:p>
                  <w:pPr>
                    <w:pStyle w:val="Compact"/>
                    <w:jc w:val="left"/>
                    <w:jc w:val="center"/>
                  </w:pPr>
                  <w:r>
                    <w:t xml:space="preserve">nr</w:t>
                  </w:r>
                </w:p>
              </w:tc>
              <w:tc>
                <w:tcPr/>
                <w:p>
                  <w:pPr>
                    <w:pStyle w:val="Compact"/>
                    <w:jc w:val="left"/>
                    <w:jc w:val="center"/>
                  </w:pPr>
                  <w:r>
                    <w:t xml:space="preserve">2 days</w:t>
                  </w:r>
                </w:p>
              </w:tc>
            </w:tr>
            <w:tr>
              <w:tc>
                <w:tcPr/>
                <w:p>
                  <w:pPr>
                    <w:pStyle w:val="Compact"/>
                    <w:jc w:val="left"/>
                    <w:jc w:val="center"/>
                  </w:pPr>
                  <w:r>
                    <w:t xml:space="preserve">He, 2023</w:t>
                  </w:r>
                </w:p>
              </w:tc>
              <w:tc>
                <w:tcPr/>
                <w:p>
                  <w:pPr>
                    <w:pStyle w:val="Compact"/>
                    <w:jc w:val="left"/>
                    <w:jc w:val="center"/>
                  </w:pPr>
                  <w:r>
                    <w:t xml:space="preserve">Longitudinal (prospective)</w:t>
                  </w:r>
                  <w:r>
                    <w:t xml:space="preserve">FU: 1 year</w:t>
                  </w:r>
                </w:p>
              </w:tc>
              <w:tc>
                <w:tcPr/>
                <w:p>
                  <w:pPr>
                    <w:pStyle w:val="Compact"/>
                    <w:jc w:val="left"/>
                    <w:jc w:val="center"/>
                  </w:pPr>
                  <w:r>
                    <w:t xml:space="preserve">T2D with kidney disease on hemodialysis</w:t>
                  </w:r>
                  <w:r>
                    <w:t xml:space="preserve">High TIR, n = 12</w:t>
                  </w:r>
                  <w:r>
                    <w:t xml:space="preserve">Low TIR, n = 15</w:t>
                  </w:r>
                </w:p>
              </w:tc>
              <w:tc>
                <w:tcPr/>
                <w:p>
                  <w:pPr>
                    <w:pStyle w:val="Compact"/>
                    <w:jc w:val="left"/>
                    <w:jc w:val="center"/>
                  </w:pPr>
                  <w:r>
                    <w:t xml:space="preserve">27</w:t>
                  </w:r>
                </w:p>
              </w:tc>
              <w:tc>
                <w:tcPr/>
                <w:p>
                  <w:pPr>
                    <w:pStyle w:val="Compact"/>
                    <w:jc w:val="left"/>
                    <w:jc w:val="center"/>
                  </w:pPr>
                  <w:r>
                    <w:t xml:space="preserve">High TIR: 66 [63, 73]</w:t>
                  </w:r>
                  <w:r>
                    <w:t xml:space="preserve">Low TIR: 70 [64, 75]</w:t>
                  </w:r>
                </w:p>
              </w:tc>
              <w:tc>
                <w:tcPr/>
                <w:p>
                  <w:pPr>
                    <w:pStyle w:val="Compact"/>
                    <w:jc w:val="left"/>
                    <w:jc w:val="center"/>
                  </w:pPr>
                  <w:r>
                    <w:t xml:space="preserve">High TIR: 2 [1.7, 10]</w:t>
                  </w:r>
                  <w:r>
                    <w:t xml:space="preserve">Low TIR: 5 [0.75, 20]</w:t>
                  </w:r>
                </w:p>
              </w:tc>
              <w:tc>
                <w:tcPr/>
                <w:p>
                  <w:pPr>
                    <w:pStyle w:val="Compact"/>
                    <w:jc w:val="left"/>
                    <w:jc w:val="center"/>
                  </w:pPr>
                  <w:r>
                    <w:t xml:space="preserve">High TIR: 43 [37, 51] mmol/mol (6.1 [5.5, 6.8]%)</w:t>
                  </w:r>
                  <w:r>
                    <w:t xml:space="preserve">Low TIR: 66 [46, 70] mmol/mol (8.2 [6.4, 8.6]%)</w:t>
                  </w:r>
                </w:p>
              </w:tc>
              <w:tc>
                <w:tcPr/>
                <w:p>
                  <w:pPr>
                    <w:pStyle w:val="Compact"/>
                    <w:jc w:val="left"/>
                    <w:jc w:val="center"/>
                  </w:pPr>
                  <w:r>
                    <w:t xml:space="preserve">14 days</w:t>
                  </w:r>
                </w:p>
              </w:tc>
            </w:tr>
            <w:tr>
              <w:tc>
                <w:tcPr/>
                <w:p>
                  <w:pPr>
                    <w:pStyle w:val="Compact"/>
                    <w:jc w:val="left"/>
                    <w:jc w:val="center"/>
                  </w:pPr>
                  <w:r>
                    <w:t xml:space="preserve">Lu, 2021</w:t>
                  </w:r>
                </w:p>
              </w:tc>
              <w:tc>
                <w:tcPr/>
                <w:p>
                  <w:pPr>
                    <w:pStyle w:val="Compact"/>
                    <w:jc w:val="left"/>
                    <w:jc w:val="center"/>
                  </w:pPr>
                  <w:r>
                    <w:t xml:space="preserve">Longitudinal (prospective)</w:t>
                  </w:r>
                  <w:r>
                    <w:t xml:space="preserve">FU: until death occurred or 3–13 years</w:t>
                  </w:r>
                  <w:r>
                    <w:t xml:space="preserve">Median: 6.9 years</w:t>
                  </w:r>
                </w:p>
              </w:tc>
              <w:tc>
                <w:tcPr/>
                <w:p>
                  <w:pPr>
                    <w:pStyle w:val="Compact"/>
                    <w:jc w:val="left"/>
                    <w:jc w:val="center"/>
                  </w:pPr>
                  <w:r>
                    <w:t xml:space="preserve">T2D, hospitalized</w:t>
                  </w:r>
                </w:p>
              </w:tc>
              <w:tc>
                <w:tcPr/>
                <w:p>
                  <w:pPr>
                    <w:pStyle w:val="Compact"/>
                    <w:jc w:val="left"/>
                    <w:jc w:val="center"/>
                  </w:pPr>
                  <w:r>
                    <w:t xml:space="preserve">6225</w:t>
                  </w:r>
                </w:p>
              </w:tc>
              <w:tc>
                <w:tcPr/>
                <w:p>
                  <w:pPr>
                    <w:pStyle w:val="Compact"/>
                    <w:jc w:val="left"/>
                    <w:jc w:val="center"/>
                  </w:pPr>
                  <w:r>
                    <w:t xml:space="preserve">mean age = 61.7 years</w:t>
                  </w:r>
                </w:p>
              </w:tc>
              <w:tc>
                <w:tcPr/>
                <w:p>
                  <w:pPr>
                    <w:pStyle w:val="Compact"/>
                    <w:jc w:val="left"/>
                    <w:jc w:val="center"/>
                  </w:pPr>
                  <w:r>
                    <w:t xml:space="preserve">mean: 9.7 years</w:t>
                  </w:r>
                </w:p>
              </w:tc>
              <w:tc>
                <w:tcPr/>
                <w:p>
                  <w:pPr>
                    <w:pStyle w:val="Compact"/>
                    <w:jc w:val="left"/>
                    <w:jc w:val="center"/>
                  </w:pPr>
                  <w:r>
                    <w:t xml:space="preserve">74.0</w:t>
                  </w:r>
                  <w:r>
                    <w:t xml:space="preserve"> </w:t>
                  </w:r>
                  <m:oMath>
                    <m:r>
                      <m:rPr>
                        <m:sty m:val="p"/>
                      </m:rPr>
                      <m:t>±</m:t>
                    </m:r>
                  </m:oMath>
                  <w:r>
                    <w:t xml:space="preserve"> </w:t>
                  </w:r>
                  <w:r>
                    <w:t xml:space="preserve">24.0 mmol/mol (8.9</w:t>
                  </w:r>
                  <w:r>
                    <w:t xml:space="preserve"> </w:t>
                  </w:r>
                  <m:oMath>
                    <m:r>
                      <m:rPr>
                        <m:sty m:val="p"/>
                      </m:rPr>
                      <m:t>±</m:t>
                    </m:r>
                  </m:oMath>
                  <w:r>
                    <w:t xml:space="preserve"> </w:t>
                  </w:r>
                  <w:r>
                    <w:t xml:space="preserve">2.2%)</w:t>
                  </w:r>
                </w:p>
              </w:tc>
              <w:tc>
                <w:tcPr/>
                <w:p>
                  <w:pPr>
                    <w:pStyle w:val="Compact"/>
                    <w:jc w:val="left"/>
                    <w:jc w:val="center"/>
                  </w:pPr>
                  <w:r>
                    <w:t xml:space="preserve">72 hours</w:t>
                  </w:r>
                </w:p>
              </w:tc>
            </w:tr>
            <w:tr>
              <w:tc>
                <w:tcPr/>
                <w:p>
                  <w:pPr>
                    <w:pStyle w:val="Compact"/>
                    <w:jc w:val="left"/>
                    <w:jc w:val="center"/>
                  </w:pPr>
                  <w:r>
                    <w:t xml:space="preserve">Wei, 2019</w:t>
                  </w:r>
                </w:p>
              </w:tc>
              <w:tc>
                <w:tcPr/>
                <w:p>
                  <w:pPr>
                    <w:pStyle w:val="Compact"/>
                    <w:jc w:val="left"/>
                    <w:jc w:val="center"/>
                  </w:pPr>
                  <w:r>
                    <w:t xml:space="preserve">Longitudinal (prospective)</w:t>
                  </w:r>
                  <w:r>
                    <w:t xml:space="preserve">Median FU [IQR]: 31 months (22, 56)</w:t>
                  </w:r>
                </w:p>
              </w:tc>
              <w:tc>
                <w:tcPr/>
                <w:p>
                  <w:pPr>
                    <w:pStyle w:val="Compact"/>
                    <w:jc w:val="left"/>
                    <w:jc w:val="center"/>
                  </w:pPr>
                  <w:r>
                    <w:t xml:space="preserve">T2D Divided into three groups:</w:t>
                  </w:r>
                  <w:r>
                    <w:t xml:space="preserve">1) No hypo, n = 1173</w:t>
                  </w:r>
                  <w:r>
                    <w:t xml:space="preserve">2) Mild hypo (lvl1), n = 323</w:t>
                  </w:r>
                  <w:r>
                    <w:t xml:space="preserve">3) Severe hypo (lvl3), n = 24</w:t>
                  </w:r>
                </w:p>
              </w:tc>
              <w:tc>
                <w:tcPr/>
                <w:p>
                  <w:pPr>
                    <w:pStyle w:val="Compact"/>
                    <w:jc w:val="left"/>
                    <w:jc w:val="center"/>
                  </w:pPr>
                  <w:r>
                    <w:t xml:space="preserve">1520</w:t>
                  </w:r>
                </w:p>
              </w:tc>
              <w:tc>
                <w:tcPr/>
                <w:p>
                  <w:pPr>
                    <w:pStyle w:val="Compact"/>
                    <w:jc w:val="left"/>
                    <w:jc w:val="center"/>
                  </w:pPr>
                  <w:r>
                    <w:t xml:space="preserve">No hypoglycemia: 58.59</w:t>
                  </w:r>
                  <w:r>
                    <w:t xml:space="preserve"> </w:t>
                  </w:r>
                  <m:oMath>
                    <m:r>
                      <m:rPr>
                        <m:sty m:val="p"/>
                      </m:rPr>
                      <m:t>±</m:t>
                    </m:r>
                  </m:oMath>
                  <w:r>
                    <w:t xml:space="preserve"> </w:t>
                  </w:r>
                  <w:r>
                    <w:t xml:space="preserve">11.26</w:t>
                  </w:r>
                  <w:r>
                    <w:t xml:space="preserve">Hypoglycemia: 62.27</w:t>
                  </w:r>
                  <w:r>
                    <w:t xml:space="preserve"> </w:t>
                  </w:r>
                  <m:oMath>
                    <m:r>
                      <m:rPr>
                        <m:sty m:val="p"/>
                      </m:rPr>
                      <m:t>±</m:t>
                    </m:r>
                  </m:oMath>
                  <w:r>
                    <w:t xml:space="preserve"> </w:t>
                  </w:r>
                  <w:r>
                    <w:t xml:space="preserve">11.58</w:t>
                  </w:r>
                </w:p>
              </w:tc>
              <w:tc>
                <w:tcPr/>
                <w:p>
                  <w:pPr>
                    <w:pStyle w:val="Compact"/>
                    <w:jc w:val="left"/>
                    <w:jc w:val="center"/>
                  </w:pPr>
                  <w:r>
                    <w:t xml:space="preserve">No hypoglycemia: 6.46</w:t>
                  </w:r>
                  <w:r>
                    <w:t xml:space="preserve"> </w:t>
                  </w:r>
                  <m:oMath>
                    <m:r>
                      <m:rPr>
                        <m:sty m:val="p"/>
                      </m:rPr>
                      <m:t>±</m:t>
                    </m:r>
                  </m:oMath>
                  <w:r>
                    <w:t xml:space="preserve"> </w:t>
                  </w:r>
                  <w:r>
                    <w:t xml:space="preserve">6.00</w:t>
                  </w:r>
                  <w:r>
                    <w:t xml:space="preserve">Hypoglycemia: 7.78</w:t>
                  </w:r>
                  <w:r>
                    <w:t xml:space="preserve"> </w:t>
                  </w:r>
                  <m:oMath>
                    <m:r>
                      <m:rPr>
                        <m:sty m:val="p"/>
                      </m:rPr>
                      <m:t>±</m:t>
                    </m:r>
                  </m:oMath>
                  <w:r>
                    <w:t xml:space="preserve"> </w:t>
                  </w:r>
                  <w:r>
                    <w:t xml:space="preserve">7.37</w:t>
                  </w:r>
                </w:p>
              </w:tc>
              <w:tc>
                <w:tcPr/>
                <w:p>
                  <w:pPr>
                    <w:pStyle w:val="Compact"/>
                    <w:jc w:val="left"/>
                    <w:jc w:val="center"/>
                  </w:pPr>
                  <w:r>
                    <w:t xml:space="preserve">No hypoglycemia: (8.19</w:t>
                  </w:r>
                  <w:r>
                    <w:t xml:space="preserve"> </w:t>
                  </w:r>
                  <m:oMath>
                    <m:r>
                      <m:rPr>
                        <m:sty m:val="p"/>
                      </m:rPr>
                      <m:t>±</m:t>
                    </m:r>
                  </m:oMath>
                  <w:r>
                    <w:t xml:space="preserve"> </w:t>
                  </w:r>
                  <w:r>
                    <w:t xml:space="preserve">2.10%)</w:t>
                  </w:r>
                  <w:r>
                    <w:t xml:space="preserve">Hypoglycemia: (7.73</w:t>
                  </w:r>
                  <w:r>
                    <w:t xml:space="preserve"> </w:t>
                  </w:r>
                  <m:oMath>
                    <m:r>
                      <m:rPr>
                        <m:sty m:val="p"/>
                      </m:rPr>
                      <m:t>±</m:t>
                    </m:r>
                  </m:oMath>
                  <w:r>
                    <w:t xml:space="preserve"> </w:t>
                  </w:r>
                  <w:r>
                    <w:t xml:space="preserve">1.96%)</w:t>
                  </w:r>
                </w:p>
              </w:tc>
              <w:tc>
                <w:tcPr/>
                <w:p>
                  <w:pPr>
                    <w:pStyle w:val="Compact"/>
                    <w:jc w:val="left"/>
                    <w:jc w:val="center"/>
                  </w:pPr>
                  <w:r>
                    <w:t xml:space="preserve">3 days</w:t>
                  </w:r>
                </w:p>
              </w:tc>
            </w:tr>
            <w:tr>
              <w:tc>
                <w:tcPr/>
                <w:p>
                  <w:pPr>
                    <w:pStyle w:val="Compact"/>
                    <w:jc w:val="left"/>
                    <w:jc w:val="center"/>
                  </w:pPr>
                  <w:r>
                    <w:t xml:space="preserve">Bezerra, 2023</w:t>
                  </w:r>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161</w:t>
                  </w:r>
                </w:p>
              </w:tc>
              <w:tc>
                <w:tcPr/>
                <w:p>
                  <w:pPr>
                    <w:pStyle w:val="Compact"/>
                    <w:jc w:val="left"/>
                    <w:jc w:val="center"/>
                  </w:pPr>
                  <w:r>
                    <w:t xml:space="preserve">37.4</w:t>
                  </w:r>
                  <w:r>
                    <w:t xml:space="preserve"> </w:t>
                  </w:r>
                  <m:oMath>
                    <m:r>
                      <m:rPr>
                        <m:sty m:val="p"/>
                      </m:rPr>
                      <m:t>±</m:t>
                    </m:r>
                  </m:oMath>
                  <w:r>
                    <w:t xml:space="preserve"> </w:t>
                  </w:r>
                  <w:r>
                    <w:t xml:space="preserve">13.4</w:t>
                  </w:r>
                </w:p>
              </w:tc>
              <w:tc>
                <w:tcPr/>
                <w:p>
                  <w:pPr>
                    <w:pStyle w:val="Compact"/>
                    <w:jc w:val="left"/>
                    <w:jc w:val="center"/>
                  </w:pPr>
                  <w:r>
                    <w:t xml:space="preserve">17.7</w:t>
                  </w:r>
                  <w:r>
                    <w:t xml:space="preserve"> </w:t>
                  </w:r>
                  <m:oMath>
                    <m:r>
                      <m:rPr>
                        <m:sty m:val="p"/>
                      </m:rPr>
                      <m:t>±</m:t>
                    </m:r>
                  </m:oMath>
                  <w:r>
                    <w:t xml:space="preserve"> </w:t>
                  </w:r>
                  <w:r>
                    <w:t xml:space="preserve">10.6</w:t>
                  </w:r>
                </w:p>
              </w:tc>
              <w:tc>
                <w:tcPr/>
                <w:p>
                  <w:pPr>
                    <w:pStyle w:val="Compact"/>
                    <w:jc w:val="left"/>
                    <w:jc w:val="center"/>
                  </w:pPr>
                  <w:r>
                    <w:t xml:space="preserve">(7.5</w:t>
                  </w:r>
                  <w:r>
                    <w:t xml:space="preserve"> </w:t>
                  </w:r>
                  <m:oMath>
                    <m:r>
                      <m:rPr>
                        <m:sty m:val="p"/>
                      </m:rPr>
                      <m:t>±</m:t>
                    </m:r>
                  </m:oMath>
                  <w:r>
                    <w:t xml:space="preserve"> </w:t>
                  </w:r>
                  <w:r>
                    <w:t xml:space="preserve">1.1%)</w:t>
                  </w:r>
                </w:p>
              </w:tc>
              <w:tc>
                <w:tcPr/>
                <w:p>
                  <w:pPr>
                    <w:pStyle w:val="Compact"/>
                    <w:jc w:val="left"/>
                    <w:jc w:val="center"/>
                  </w:pPr>
                  <w:r>
                    <w:t xml:space="preserve">14 days</w:t>
                  </w:r>
                </w:p>
              </w:tc>
            </w:tr>
            <w:tr>
              <w:tc>
                <w:tcPr/>
                <w:p>
                  <w:pPr>
                    <w:pStyle w:val="Compact"/>
                    <w:jc w:val="left"/>
                    <w:jc w:val="center"/>
                  </w:pPr>
                  <w:r>
                    <w:t xml:space="preserve">De Meulemeester, 2024</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T1D</w:t>
                  </w:r>
                </w:p>
              </w:tc>
              <w:tc>
                <w:tcPr/>
                <w:p>
                  <w:pPr>
                    <w:pStyle w:val="Compact"/>
                    <w:jc w:val="left"/>
                    <w:jc w:val="center"/>
                  </w:pPr>
                  <w:r>
                    <w:t xml:space="preserve">808</w:t>
                  </w:r>
                </w:p>
              </w:tc>
              <w:tc>
                <w:tcPr/>
                <w:p>
                  <w:pPr>
                    <w:pStyle w:val="Compact"/>
                    <w:jc w:val="left"/>
                    <w:jc w:val="center"/>
                  </w:pPr>
                  <w:r>
                    <w:t xml:space="preserve">44.8</w:t>
                  </w:r>
                  <w:r>
                    <w:t xml:space="preserve"> </w:t>
                  </w:r>
                  <m:oMath>
                    <m:r>
                      <m:rPr>
                        <m:sty m:val="p"/>
                      </m:rPr>
                      <m:t>±</m:t>
                    </m:r>
                  </m:oMath>
                  <w:r>
                    <w:t xml:space="preserve"> </w:t>
                  </w:r>
                  <w:r>
                    <w:t xml:space="preserve">15.2</w:t>
                  </w:r>
                </w:p>
              </w:tc>
              <w:tc>
                <w:tcPr/>
                <w:p>
                  <w:pPr>
                    <w:pStyle w:val="Compact"/>
                    <w:jc w:val="left"/>
                    <w:jc w:val="center"/>
                  </w:pPr>
                  <w:r>
                    <w:t xml:space="preserve">23.1</w:t>
                  </w:r>
                  <w:r>
                    <w:t xml:space="preserve"> </w:t>
                  </w:r>
                  <m:oMath>
                    <m:r>
                      <m:rPr>
                        <m:sty m:val="p"/>
                      </m:rPr>
                      <m:t>±</m:t>
                    </m:r>
                  </m:oMath>
                  <w:r>
                    <w:t xml:space="preserve"> </w:t>
                  </w:r>
                  <w:r>
                    <w:t xml:space="preserve">13.6</w:t>
                  </w:r>
                </w:p>
              </w:tc>
              <w:tc>
                <w:tcPr/>
                <w:p>
                  <w:pPr>
                    <w:pStyle w:val="Compact"/>
                    <w:jc w:val="left"/>
                    <w:jc w:val="center"/>
                  </w:pPr>
                  <w:r>
                    <w:t xml:space="preserve">63</w:t>
                  </w:r>
                  <w:r>
                    <w:t xml:space="preserve"> </w:t>
                  </w:r>
                  <m:oMath>
                    <m:r>
                      <m:rPr>
                        <m:sty m:val="p"/>
                      </m:rPr>
                      <m:t>±</m:t>
                    </m:r>
                  </m:oMath>
                  <w:r>
                    <w:t xml:space="preserve"> </w:t>
                  </w:r>
                  <w:r>
                    <w:t xml:space="preserve">13 mmol/mol (7.9</w:t>
                  </w:r>
                  <w:r>
                    <w:t xml:space="preserve"> </w:t>
                  </w:r>
                  <m:oMath>
                    <m:r>
                      <m:rPr>
                        <m:sty m:val="p"/>
                      </m:rPr>
                      <m:t>±</m:t>
                    </m:r>
                  </m:oMath>
                  <w:r>
                    <w:t xml:space="preserve"> </w:t>
                  </w:r>
                  <w:r>
                    <w:t xml:space="preserve">1.2%)</w:t>
                  </w:r>
                </w:p>
              </w:tc>
              <w:tc>
                <w:tcPr/>
                <w:p>
                  <w:pPr>
                    <w:pStyle w:val="Compact"/>
                    <w:jc w:val="left"/>
                    <w:jc w:val="center"/>
                  </w:pPr>
                  <w:r>
                    <w:t xml:space="preserve">2 weeks</w:t>
                  </w:r>
                </w:p>
              </w:tc>
            </w:tr>
            <w:tr>
              <w:tc>
                <w:tcPr/>
                <w:p>
                  <w:pPr>
                    <w:pStyle w:val="Compact"/>
                    <w:jc w:val="left"/>
                    <w:jc w:val="center"/>
                  </w:pPr>
                  <w:r>
                    <w:t xml:space="preserve">Deng, 2023</w:t>
                  </w:r>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860</w:t>
                  </w:r>
                </w:p>
              </w:tc>
              <w:tc>
                <w:tcPr/>
                <w:p>
                  <w:pPr>
                    <w:pStyle w:val="Compact"/>
                    <w:jc w:val="left"/>
                    <w:jc w:val="center"/>
                  </w:pPr>
                  <w:r>
                    <w:t xml:space="preserve">HP 1 carriers: 53.5</w:t>
                  </w:r>
                  <w:r>
                    <w:t xml:space="preserve"> </w:t>
                  </w:r>
                  <m:oMath>
                    <m:r>
                      <m:rPr>
                        <m:sty m:val="p"/>
                      </m:rPr>
                      <m:t>±</m:t>
                    </m:r>
                  </m:oMath>
                  <w:r>
                    <w:t xml:space="preserve"> </w:t>
                  </w:r>
                  <w:r>
                    <w:t xml:space="preserve">13.3</w:t>
                  </w:r>
                  <w:r>
                    <w:t xml:space="preserve">HP 2-2: 51.7</w:t>
                  </w:r>
                  <w:r>
                    <w:t xml:space="preserve"> </w:t>
                  </w:r>
                  <m:oMath>
                    <m:r>
                      <m:rPr>
                        <m:sty m:val="p"/>
                      </m:rPr>
                      <m:t>±</m:t>
                    </m:r>
                  </m:oMath>
                  <w:r>
                    <w:t xml:space="preserve"> </w:t>
                  </w:r>
                  <w:r>
                    <w:t xml:space="preserve">14.6</w:t>
                  </w:r>
                </w:p>
              </w:tc>
              <w:tc>
                <w:tcPr/>
                <w:p>
                  <w:pPr>
                    <w:pStyle w:val="Compact"/>
                    <w:jc w:val="left"/>
                    <w:jc w:val="center"/>
                  </w:pPr>
                  <w:r>
                    <w:t xml:space="preserve">HP 1 carriers: 8.6</w:t>
                  </w:r>
                  <w:r>
                    <w:t xml:space="preserve"> </w:t>
                  </w:r>
                  <m:oMath>
                    <m:r>
                      <m:rPr>
                        <m:sty m:val="p"/>
                      </m:rPr>
                      <m:t>±</m:t>
                    </m:r>
                  </m:oMath>
                  <w:r>
                    <w:t xml:space="preserve"> </w:t>
                  </w:r>
                  <w:r>
                    <w:t xml:space="preserve">6.4</w:t>
                  </w:r>
                  <w:r>
                    <w:t xml:space="preserve">HP 2-2: 8.6</w:t>
                  </w:r>
                  <w:r>
                    <w:t xml:space="preserve"> </w:t>
                  </w:r>
                  <m:oMath>
                    <m:r>
                      <m:rPr>
                        <m:sty m:val="p"/>
                      </m:rPr>
                      <m:t>±</m:t>
                    </m:r>
                  </m:oMath>
                  <w:r>
                    <w:t xml:space="preserve"> </w:t>
                  </w:r>
                  <w:r>
                    <w:t xml:space="preserve">6.7</w:t>
                  </w:r>
                </w:p>
              </w:tc>
              <w:tc>
                <w:tcPr/>
                <w:p>
                  <w:pPr>
                    <w:pStyle w:val="Compact"/>
                    <w:jc w:val="left"/>
                    <w:jc w:val="center"/>
                  </w:pPr>
                  <w:r>
                    <w:t xml:space="preserve">HP1 carriers: 73.0</w:t>
                  </w:r>
                  <w:r>
                    <w:t xml:space="preserve"> </w:t>
                  </w:r>
                  <m:oMath>
                    <m:r>
                      <m:rPr>
                        <m:sty m:val="p"/>
                      </m:rPr>
                      <m:t>±</m:t>
                    </m:r>
                  </m:oMath>
                  <w:r>
                    <w:t xml:space="preserve"> </w:t>
                  </w:r>
                  <w:r>
                    <w:t xml:space="preserve">24.0 mmol/mol (8.8</w:t>
                  </w:r>
                  <w:r>
                    <w:t xml:space="preserve"> </w:t>
                  </w:r>
                  <m:oMath>
                    <m:r>
                      <m:rPr>
                        <m:sty m:val="p"/>
                      </m:rPr>
                      <m:t>±</m:t>
                    </m:r>
                  </m:oMath>
                  <w:r>
                    <w:t xml:space="preserve"> </w:t>
                  </w:r>
                  <w:r>
                    <w:t xml:space="preserve">2.2%)</w:t>
                  </w:r>
                  <w:r>
                    <w:t xml:space="preserve">Hp2-2: 72.0</w:t>
                  </w:r>
                  <w:r>
                    <w:t xml:space="preserve"> </w:t>
                  </w:r>
                  <m:oMath>
                    <m:r>
                      <m:rPr>
                        <m:sty m:val="p"/>
                      </m:rPr>
                      <m:t>±</m:t>
                    </m:r>
                  </m:oMath>
                  <w:r>
                    <w:t xml:space="preserve"> </w:t>
                  </w:r>
                  <w:r>
                    <w:t xml:space="preserve">23.0 mmol/mol (8.7</w:t>
                  </w:r>
                  <w:r>
                    <w:t xml:space="preserve"> </w:t>
                  </w:r>
                  <m:oMath>
                    <m:r>
                      <m:rPr>
                        <m:sty m:val="p"/>
                      </m:rPr>
                      <m:t>±</m:t>
                    </m:r>
                  </m:oMath>
                  <w:r>
                    <w:t xml:space="preserve"> </w:t>
                  </w:r>
                  <w:r>
                    <w:t xml:space="preserve">2.1)</w:t>
                  </w:r>
                </w:p>
              </w:tc>
              <w:tc>
                <w:tcPr/>
                <w:p>
                  <w:pPr>
                    <w:pStyle w:val="Compact"/>
                    <w:jc w:val="left"/>
                    <w:jc w:val="center"/>
                  </w:pPr>
                  <w:r>
                    <w:t xml:space="preserve">3 days</w:t>
                  </w:r>
                </w:p>
              </w:tc>
            </w:tr>
            <w:tr>
              <w:tc>
                <w:tcPr/>
                <w:p>
                  <w:pPr>
                    <w:pStyle w:val="Compact"/>
                    <w:jc w:val="left"/>
                    <w:jc w:val="center"/>
                  </w:pPr>
                  <w:r>
                    <w:t xml:space="preserve">El Malahi, 2022</w:t>
                  </w:r>
                </w:p>
              </w:tc>
              <w:tc>
                <w:tcPr/>
                <w:p>
                  <w:pPr>
                    <w:pStyle w:val="Compact"/>
                    <w:jc w:val="left"/>
                    <w:jc w:val="center"/>
                  </w:pPr>
                  <w:r>
                    <w:t xml:space="preserve">Cross-sectional</w:t>
                  </w:r>
                </w:p>
              </w:tc>
              <w:tc>
                <w:tcPr/>
                <w:p>
                  <w:pPr>
                    <w:pStyle w:val="Compact"/>
                    <w:jc w:val="left"/>
                    <w:jc w:val="center"/>
                  </w:pPr>
                  <w:r>
                    <w:t xml:space="preserve">T1D starting on sensor-augmented pump therapy</w:t>
                  </w:r>
                </w:p>
              </w:tc>
              <w:tc>
                <w:tcPr/>
                <w:p>
                  <w:pPr>
                    <w:pStyle w:val="Compact"/>
                    <w:jc w:val="left"/>
                    <w:jc w:val="center"/>
                  </w:pPr>
                  <w:r>
                    <w:t xml:space="preserve">515</w:t>
                  </w:r>
                </w:p>
              </w:tc>
              <w:tc>
                <w:tcPr/>
                <w:p>
                  <w:pPr>
                    <w:pStyle w:val="Compact"/>
                    <w:jc w:val="left"/>
                    <w:jc w:val="center"/>
                  </w:pPr>
                  <w:r>
                    <w:t xml:space="preserve">Mean</w:t>
                  </w:r>
                  <w:r>
                    <w:t xml:space="preserve"> </w:t>
                  </w:r>
                  <m:oMath>
                    <m:r>
                      <m:rPr>
                        <m:sty m:val="p"/>
                      </m:rPr>
                      <m:t>±</m:t>
                    </m:r>
                  </m:oMath>
                  <w:r>
                    <w:t xml:space="preserve"> </w:t>
                  </w:r>
                  <w:r>
                    <w:t xml:space="preserve">SD [years]:</w:t>
                  </w:r>
                  <w:r>
                    <w:t xml:space="preserve">42.2</w:t>
                  </w:r>
                  <w:r>
                    <w:t xml:space="preserve"> </w:t>
                  </w:r>
                  <m:oMath>
                    <m:r>
                      <m:rPr>
                        <m:sty m:val="p"/>
                      </m:rPr>
                      <m:t>±</m:t>
                    </m:r>
                  </m:oMath>
                  <w:r>
                    <w:t xml:space="preserve"> </w:t>
                  </w:r>
                  <w:r>
                    <w:t xml:space="preserve">12.5</w:t>
                  </w:r>
                </w:p>
              </w:tc>
              <w:tc>
                <w:tcPr/>
                <w:p>
                  <w:pPr>
                    <w:pStyle w:val="Compact"/>
                    <w:jc w:val="left"/>
                    <w:jc w:val="center"/>
                  </w:pPr>
                  <w:r>
                    <w:t xml:space="preserve">22.3</w:t>
                  </w:r>
                  <w:r>
                    <w:t xml:space="preserve"> </w:t>
                  </w:r>
                  <m:oMath>
                    <m:r>
                      <m:rPr>
                        <m:sty m:val="p"/>
                      </m:rPr>
                      <m:t>±</m:t>
                    </m:r>
                  </m:oMath>
                  <w:r>
                    <w:t xml:space="preserve"> </w:t>
                  </w:r>
                  <w:r>
                    <w:t xml:space="preserve">11.6</w:t>
                  </w:r>
                </w:p>
              </w:tc>
              <w:tc>
                <w:tcPr/>
                <w:p>
                  <w:pPr>
                    <w:pStyle w:val="Compact"/>
                    <w:jc w:val="left"/>
                    <w:jc w:val="center"/>
                  </w:pPr>
                  <w:r>
                    <w:t xml:space="preserve">60</w:t>
                  </w:r>
                  <w:r>
                    <w:t xml:space="preserve"> </w:t>
                  </w:r>
                  <m:oMath>
                    <m:r>
                      <m:rPr>
                        <m:sty m:val="p"/>
                      </m:rPr>
                      <m:t>±</m:t>
                    </m:r>
                  </m:oMath>
                  <w:r>
                    <w:t xml:space="preserve"> </w:t>
                  </w:r>
                  <w:r>
                    <w:t xml:space="preserve">9.8 mmol/mol (7.6</w:t>
                  </w:r>
                  <w:r>
                    <w:t xml:space="preserve"> </w:t>
                  </w:r>
                  <m:oMath>
                    <m:r>
                      <m:rPr>
                        <m:sty m:val="p"/>
                      </m:rPr>
                      <m:t>±</m:t>
                    </m:r>
                  </m:oMath>
                  <w:r>
                    <w:t xml:space="preserve"> </w:t>
                  </w:r>
                  <w:r>
                    <w:t xml:space="preserve">0.9 %)</w:t>
                  </w:r>
                </w:p>
              </w:tc>
              <w:tc>
                <w:tcPr/>
                <w:p>
                  <w:pPr>
                    <w:pStyle w:val="Compact"/>
                    <w:jc w:val="left"/>
                    <w:jc w:val="center"/>
                  </w:pPr>
                  <w:r>
                    <w:t xml:space="preserve">2 weeks</w:t>
                  </w:r>
                </w:p>
              </w:tc>
            </w:tr>
            <w:tr>
              <w:tc>
                <w:tcPr/>
                <w:p>
                  <w:pPr>
                    <w:pStyle w:val="Compact"/>
                    <w:jc w:val="left"/>
                    <w:jc w:val="center"/>
                  </w:pPr>
                  <w:r>
                    <w:t xml:space="preserve">Guo, 2021</w:t>
                  </w:r>
                </w:p>
              </w:tc>
              <w:tc>
                <w:tcPr/>
                <w:p>
                  <w:pPr>
                    <w:pStyle w:val="Compact"/>
                    <w:jc w:val="left"/>
                    <w:jc w:val="center"/>
                  </w:pPr>
                  <w:r>
                    <w:t xml:space="preserve">Cross-sectional</w:t>
                  </w:r>
                </w:p>
              </w:tc>
              <w:tc>
                <w:tcPr/>
                <w:p>
                  <w:pPr>
                    <w:pStyle w:val="Compact"/>
                    <w:jc w:val="left"/>
                    <w:jc w:val="center"/>
                  </w:pPr>
                  <w:r>
                    <w:t xml:space="preserve">T1D or T2D with atrial fibrillation</w:t>
                  </w:r>
                  <w:r>
                    <w:t xml:space="preserve">With Stroke, n = 48</w:t>
                  </w:r>
                  <w:r>
                    <w:t xml:space="preserve">Without Stroke, n = 462</w:t>
                  </w:r>
                </w:p>
              </w:tc>
              <w:tc>
                <w:tcPr/>
                <w:p>
                  <w:pPr>
                    <w:pStyle w:val="Compact"/>
                    <w:jc w:val="left"/>
                    <w:jc w:val="center"/>
                  </w:pPr>
                  <w:r>
                    <w:t xml:space="preserve">510</w:t>
                  </w:r>
                </w:p>
              </w:tc>
              <w:tc>
                <w:tcPr/>
                <w:p>
                  <w:pPr>
                    <w:pStyle w:val="Compact"/>
                    <w:jc w:val="left"/>
                    <w:jc w:val="center"/>
                  </w:pPr>
                  <w:r>
                    <w:t xml:space="preserve">Stroke: 70.3</w:t>
                  </w:r>
                  <w:r>
                    <w:t xml:space="preserve"> </w:t>
                  </w:r>
                  <m:oMath>
                    <m:r>
                      <m:rPr>
                        <m:sty m:val="p"/>
                      </m:rPr>
                      <m:t>±</m:t>
                    </m:r>
                  </m:oMath>
                  <w:r>
                    <w:t xml:space="preserve"> </w:t>
                  </w:r>
                  <w:r>
                    <w:t xml:space="preserve">12.1</w:t>
                  </w:r>
                  <w:r>
                    <w:t xml:space="preserve">No stroke: 68.1</w:t>
                  </w:r>
                  <w:r>
                    <w:t xml:space="preserve"> </w:t>
                  </w:r>
                  <m:oMath>
                    <m:r>
                      <m:rPr>
                        <m:sty m:val="p"/>
                      </m:rPr>
                      <m:t>±</m:t>
                    </m:r>
                  </m:oMath>
                  <w:r>
                    <w:t xml:space="preserve"> </w:t>
                  </w:r>
                  <w:r>
                    <w:t xml:space="preserve">9.4</w:t>
                  </w:r>
                </w:p>
              </w:tc>
              <w:tc>
                <w:tcPr/>
                <w:p>
                  <w:pPr>
                    <w:pStyle w:val="Compact"/>
                    <w:jc w:val="left"/>
                    <w:jc w:val="center"/>
                  </w:pPr>
                  <w:r>
                    <w:t xml:space="preserve">nr</w:t>
                  </w:r>
                </w:p>
              </w:tc>
              <w:tc>
                <w:tcPr/>
                <w:p>
                  <w:pPr>
                    <w:pStyle w:val="Compact"/>
                    <w:jc w:val="left"/>
                    <w:jc w:val="center"/>
                  </w:pPr>
                  <w:r>
                    <w:t xml:space="preserve">No Stroke: 7.4</w:t>
                  </w:r>
                  <w:r>
                    <w:t xml:space="preserve"> </w:t>
                  </w:r>
                  <m:oMath>
                    <m:r>
                      <m:rPr>
                        <m:sty m:val="p"/>
                      </m:rPr>
                      <m:t>±</m:t>
                    </m:r>
                  </m:oMath>
                  <w:r>
                    <w:t xml:space="preserve"> </w:t>
                  </w:r>
                  <w:r>
                    <w:t xml:space="preserve">2.1</w:t>
                  </w:r>
                  <w:r>
                    <w:t xml:space="preserve">Stroke: 8.2</w:t>
                  </w:r>
                  <w:r>
                    <w:t xml:space="preserve"> </w:t>
                  </w:r>
                  <m:oMath>
                    <m:r>
                      <m:rPr>
                        <m:sty m:val="p"/>
                      </m:rPr>
                      <m:t>±</m:t>
                    </m:r>
                  </m:oMath>
                  <w:r>
                    <w:t xml:space="preserve"> </w:t>
                  </w:r>
                  <w:r>
                    <w:t xml:space="preserve">1.7</w:t>
                  </w:r>
                </w:p>
              </w:tc>
              <w:tc>
                <w:tcPr/>
                <w:p>
                  <w:pPr>
                    <w:pStyle w:val="Compact"/>
                    <w:jc w:val="left"/>
                    <w:jc w:val="center"/>
                  </w:pPr>
                  <w:r>
                    <w:t xml:space="preserve">72 hour</w:t>
                  </w:r>
                </w:p>
              </w:tc>
            </w:tr>
            <w:tr>
              <w:tc>
                <w:tcPr/>
                <w:p>
                  <w:pPr>
                    <w:pStyle w:val="Compact"/>
                    <w:jc w:val="left"/>
                    <w:jc w:val="center"/>
                  </w:pPr>
                  <w:r>
                    <w:t xml:space="preserve">Li, 2020</w:t>
                  </w:r>
                </w:p>
              </w:tc>
              <w:tc>
                <w:tcPr/>
                <w:p>
                  <w:pPr>
                    <w:pStyle w:val="Compact"/>
                    <w:jc w:val="left"/>
                    <w:jc w:val="center"/>
                  </w:pPr>
                  <w:r>
                    <w:t xml:space="preserve">Cross-sectional</w:t>
                  </w:r>
                </w:p>
              </w:tc>
              <w:tc>
                <w:tcPr/>
                <w:p>
                  <w:pPr>
                    <w:pStyle w:val="Compact"/>
                    <w:jc w:val="left"/>
                    <w:jc w:val="center"/>
                  </w:pPr>
                  <w:r>
                    <w:t xml:space="preserve">T2D with LEAD, n = 179</w:t>
                  </w:r>
                  <w:r>
                    <w:t xml:space="preserve">T2D without LEAD, n = 157</w:t>
                  </w:r>
                </w:p>
              </w:tc>
              <w:tc>
                <w:tcPr/>
                <w:p>
                  <w:pPr>
                    <w:pStyle w:val="Compact"/>
                    <w:jc w:val="left"/>
                    <w:jc w:val="center"/>
                  </w:pPr>
                  <w:r>
                    <w:t xml:space="preserve">336</w:t>
                  </w:r>
                </w:p>
              </w:tc>
              <w:tc>
                <w:tcPr/>
                <w:p>
                  <w:pPr>
                    <w:pStyle w:val="Compact"/>
                    <w:jc w:val="left"/>
                    <w:jc w:val="center"/>
                  </w:pPr>
                  <w:r>
                    <w:t xml:space="preserve">Without LEAD: 55.94</w:t>
                  </w:r>
                  <w:r>
                    <w:t xml:space="preserve"> </w:t>
                  </w:r>
                  <m:oMath>
                    <m:r>
                      <m:rPr>
                        <m:sty m:val="p"/>
                      </m:rPr>
                      <m:t>±</m:t>
                    </m:r>
                  </m:oMath>
                  <w:r>
                    <w:t xml:space="preserve"> </w:t>
                  </w:r>
                  <w:r>
                    <w:t xml:space="preserve">12.45</w:t>
                  </w:r>
                  <w:r>
                    <w:t xml:space="preserve">With LEAD: 65.56</w:t>
                  </w:r>
                  <w:r>
                    <w:t xml:space="preserve"> </w:t>
                  </w:r>
                  <m:oMath>
                    <m:r>
                      <m:rPr>
                        <m:sty m:val="p"/>
                      </m:rPr>
                      <m:t>±</m:t>
                    </m:r>
                  </m:oMath>
                  <w:r>
                    <w:t xml:space="preserve"> </w:t>
                  </w:r>
                  <w:r>
                    <w:t xml:space="preserve">11.99</w:t>
                  </w:r>
                </w:p>
              </w:tc>
              <w:tc>
                <w:tcPr/>
                <w:p>
                  <w:pPr>
                    <w:pStyle w:val="Compact"/>
                    <w:jc w:val="left"/>
                    <w:jc w:val="center"/>
                  </w:pPr>
                  <w:r>
                    <w:t xml:space="preserve">Without LEAD: 6.92</w:t>
                  </w:r>
                  <w:r>
                    <w:t xml:space="preserve"> </w:t>
                  </w:r>
                  <m:oMath>
                    <m:r>
                      <m:rPr>
                        <m:sty m:val="p"/>
                      </m:rPr>
                      <m:t>±</m:t>
                    </m:r>
                  </m:oMath>
                  <w:r>
                    <w:t xml:space="preserve"> </w:t>
                  </w:r>
                  <w:r>
                    <w:t xml:space="preserve">3.54</w:t>
                  </w:r>
                  <w:r>
                    <w:t xml:space="preserve">With LEAD: 10.32</w:t>
                  </w:r>
                  <w:r>
                    <w:t xml:space="preserve"> </w:t>
                  </w:r>
                  <m:oMath>
                    <m:r>
                      <m:rPr>
                        <m:sty m:val="p"/>
                      </m:rPr>
                      <m:t>±</m:t>
                    </m:r>
                  </m:oMath>
                  <w:r>
                    <w:t xml:space="preserve"> </w:t>
                  </w:r>
                  <w:r>
                    <w:t xml:space="preserve">4.14</w:t>
                  </w:r>
                </w:p>
              </w:tc>
              <w:tc>
                <w:tcPr/>
                <w:p>
                  <w:pPr>
                    <w:pStyle w:val="Compact"/>
                    <w:jc w:val="left"/>
                    <w:jc w:val="center"/>
                  </w:pPr>
                  <w:r>
                    <w:t xml:space="preserve">Without LEAD: 7.85</w:t>
                  </w:r>
                  <w:r>
                    <w:t xml:space="preserve"> </w:t>
                  </w:r>
                  <m:oMath>
                    <m:r>
                      <m:rPr>
                        <m:sty m:val="p"/>
                      </m:rPr>
                      <m:t>±</m:t>
                    </m:r>
                  </m:oMath>
                  <w:r>
                    <w:t xml:space="preserve"> </w:t>
                  </w:r>
                  <w:r>
                    <w:t xml:space="preserve">1.41%</w:t>
                  </w:r>
                  <w:r>
                    <w:t xml:space="preserve">With LEAD: 8.97</w:t>
                  </w:r>
                  <w:r>
                    <w:t xml:space="preserve"> </w:t>
                  </w:r>
                  <m:oMath>
                    <m:r>
                      <m:rPr>
                        <m:sty m:val="p"/>
                      </m:rPr>
                      <m:t>±</m:t>
                    </m:r>
                  </m:oMath>
                  <w:r>
                    <w:t xml:space="preserve"> </w:t>
                  </w:r>
                  <w:r>
                    <w:t xml:space="preserve">1.63%</w:t>
                  </w:r>
                </w:p>
              </w:tc>
              <w:tc>
                <w:tcPr/>
                <w:p>
                  <w:pPr>
                    <w:pStyle w:val="Compact"/>
                    <w:jc w:val="left"/>
                    <w:jc w:val="center"/>
                  </w:pPr>
                  <w:r>
                    <w:t xml:space="preserve">72 hours</w:t>
                  </w:r>
                </w:p>
              </w:tc>
            </w:tr>
            <w:tr>
              <w:tc>
                <w:tcPr/>
                <w:p>
                  <w:pPr>
                    <w:pStyle w:val="Compact"/>
                    <w:jc w:val="left"/>
                    <w:jc w:val="center"/>
                  </w:pPr>
                  <w:r>
                    <w:t xml:space="preserve">Magri, 2018</w:t>
                  </w:r>
                  <m:oMath>
                    <m:sSup>
                      <m:e>
                        <m:r>
                          <m:t>​</m:t>
                        </m:r>
                      </m:e>
                      <m:sup>
                        <m:r>
                          <m:rPr>
                            <m:sty m:val="p"/>
                          </m:rPr>
                          <m:t>†</m:t>
                        </m:r>
                      </m:sup>
                    </m:sSup>
                  </m:oMath>
                </w:p>
              </w:tc>
              <w:tc>
                <w:tcPr/>
                <w:p>
                  <w:pPr>
                    <w:pStyle w:val="Compact"/>
                    <w:jc w:val="left"/>
                    <w:jc w:val="center"/>
                  </w:pPr>
                  <w:r>
                    <w:t xml:space="preserve">Cross-sectional</w:t>
                  </w:r>
                </w:p>
              </w:tc>
              <w:tc>
                <w:tcPr/>
                <w:p>
                  <w:pPr>
                    <w:pStyle w:val="Compact"/>
                    <w:jc w:val="left"/>
                    <w:jc w:val="center"/>
                  </w:pPr>
                  <w:r>
                    <w:t xml:space="preserve">T2D</w:t>
                  </w:r>
                </w:p>
              </w:tc>
              <w:tc>
                <w:tcPr/>
                <w:p>
                  <w:pPr>
                    <w:pStyle w:val="Compact"/>
                    <w:jc w:val="left"/>
                    <w:jc w:val="center"/>
                  </w:pPr>
                  <w:r>
                    <w:t xml:space="preserve">121</w:t>
                  </w:r>
                </w:p>
              </w:tc>
              <w:tc>
                <w:tcPr/>
                <w:p>
                  <w:pPr>
                    <w:pStyle w:val="Compact"/>
                    <w:jc w:val="left"/>
                    <w:jc w:val="center"/>
                  </w:pPr>
                  <w:r>
                    <w:t xml:space="preserve">64 [57, 68]</w:t>
                  </w:r>
                </w:p>
              </w:tc>
              <w:tc>
                <w:tcPr/>
                <w:p>
                  <w:pPr>
                    <w:pStyle w:val="Compact"/>
                    <w:jc w:val="left"/>
                    <w:jc w:val="center"/>
                  </w:pPr>
                  <w:r>
                    <w:t xml:space="preserve">3 [2, 5]</w:t>
                  </w:r>
                </w:p>
              </w:tc>
              <w:tc>
                <w:tcPr/>
                <w:p>
                  <w:pPr>
                    <w:pStyle w:val="Compact"/>
                    <w:jc w:val="left"/>
                    <w:jc w:val="center"/>
                  </w:pPr>
                  <w:r>
                    <w:t xml:space="preserve">median: 45 mmol/mol (6.8%)</w:t>
                  </w:r>
                </w:p>
              </w:tc>
              <w:tc>
                <w:tcPr/>
                <w:p>
                  <w:pPr>
                    <w:pStyle w:val="Compact"/>
                    <w:jc w:val="left"/>
                    <w:jc w:val="center"/>
                  </w:pPr>
                  <w:r>
                    <w:t xml:space="preserve">72 hours</w:t>
                  </w:r>
                </w:p>
              </w:tc>
            </w:tr>
            <w:tr>
              <w:tc>
                <w:tcPr/>
                <w:p>
                  <w:pPr>
                    <w:pStyle w:val="Compact"/>
                    <w:jc w:val="left"/>
                    <w:jc w:val="center"/>
                  </w:pPr>
                  <w:r>
                    <w:t xml:space="preserve">Mi, 2012</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202</w:t>
                  </w:r>
                  <w:r>
                    <w:t xml:space="preserve">With CAD, n = 84</w:t>
                  </w:r>
                </w:p>
              </w:tc>
              <w:tc>
                <w:tcPr/>
                <w:p>
                  <w:pPr>
                    <w:pStyle w:val="Compact"/>
                    <w:jc w:val="left"/>
                    <w:jc w:val="center"/>
                  </w:pPr>
                  <w:r>
                    <w:t xml:space="preserve">286</w:t>
                  </w:r>
                </w:p>
              </w:tc>
              <w:tc>
                <w:tcPr/>
                <w:p>
                  <w:pPr>
                    <w:pStyle w:val="Compact"/>
                    <w:jc w:val="left"/>
                    <w:jc w:val="center"/>
                  </w:pPr>
                  <w:r>
                    <w:t xml:space="preserve">Without CAD: 62.8</w:t>
                  </w:r>
                  <w:r>
                    <w:t xml:space="preserve"> </w:t>
                  </w:r>
                  <m:oMath>
                    <m:r>
                      <m:rPr>
                        <m:sty m:val="p"/>
                      </m:rPr>
                      <m:t>±</m:t>
                    </m:r>
                  </m:oMath>
                  <w:r>
                    <w:t xml:space="preserve"> </w:t>
                  </w:r>
                  <w:r>
                    <w:t xml:space="preserve">8.7</w:t>
                  </w:r>
                  <w:r>
                    <w:t xml:space="preserve">With CAD: 66.6</w:t>
                  </w:r>
                  <w:r>
                    <w:t xml:space="preserve"> </w:t>
                  </w:r>
                  <m:oMath>
                    <m:r>
                      <m:rPr>
                        <m:sty m:val="p"/>
                      </m:rPr>
                      <m:t>±</m:t>
                    </m:r>
                  </m:oMath>
                  <w:r>
                    <w:t xml:space="preserve"> </w:t>
                  </w:r>
                  <w:r>
                    <w:t xml:space="preserve">9.2</w:t>
                  </w:r>
                </w:p>
              </w:tc>
              <w:tc>
                <w:tcPr/>
                <w:p>
                  <w:pPr>
                    <w:pStyle w:val="Compact"/>
                    <w:jc w:val="left"/>
                    <w:jc w:val="center"/>
                  </w:pPr>
                  <w:r>
                    <w:t xml:space="preserve">nr</w:t>
                  </w:r>
                </w:p>
              </w:tc>
              <w:tc>
                <w:tcPr/>
                <w:p>
                  <w:pPr>
                    <w:pStyle w:val="Compact"/>
                    <w:jc w:val="left"/>
                    <w:jc w:val="center"/>
                  </w:pPr>
                  <w:r>
                    <w:t xml:space="preserve">Non-CAD: 7.51</w:t>
                  </w:r>
                  <w:r>
                    <w:t xml:space="preserve"> </w:t>
                  </w:r>
                  <m:oMath>
                    <m:r>
                      <m:rPr>
                        <m:sty m:val="p"/>
                      </m:rPr>
                      <m:t>±</m:t>
                    </m:r>
                  </m:oMath>
                  <w:r>
                    <w:t xml:space="preserve"> </w:t>
                  </w:r>
                  <w:r>
                    <w:t xml:space="preserve">0.80%</w:t>
                  </w:r>
                  <w:r>
                    <w:t xml:space="preserve">CAD: 7.75</w:t>
                  </w:r>
                  <w:r>
                    <w:t xml:space="preserve"> </w:t>
                  </w:r>
                  <m:oMath>
                    <m:r>
                      <m:rPr>
                        <m:sty m:val="p"/>
                      </m:rPr>
                      <m:t>±</m:t>
                    </m:r>
                  </m:oMath>
                  <w:r>
                    <w:t xml:space="preserve"> </w:t>
                  </w:r>
                  <w:r>
                    <w:t xml:space="preserve">0.92%</w:t>
                  </w:r>
                </w:p>
              </w:tc>
              <w:tc>
                <w:tcPr/>
                <w:p>
                  <w:pPr>
                    <w:pStyle w:val="Compact"/>
                    <w:jc w:val="left"/>
                    <w:jc w:val="center"/>
                  </w:pPr>
                  <w:r>
                    <w:t xml:space="preserve">72 hours (Only intermediate 48 hours were used)</w:t>
                  </w:r>
                </w:p>
              </w:tc>
            </w:tr>
            <w:tr>
              <w:tc>
                <w:tcPr/>
                <w:p>
                  <w:pPr>
                    <w:pStyle w:val="Compact"/>
                    <w:jc w:val="left"/>
                    <w:jc w:val="center"/>
                  </w:pPr>
                  <w:r>
                    <w:t xml:space="preserve">Sheng, 2023</w:t>
                  </w:r>
                </w:p>
              </w:tc>
              <w:tc>
                <w:tcPr/>
                <w:p>
                  <w:pPr>
                    <w:pStyle w:val="Compact"/>
                    <w:jc w:val="left"/>
                    <w:jc w:val="center"/>
                  </w:pPr>
                  <w:r>
                    <w:t xml:space="preserve">Cross-sectional</w:t>
                  </w:r>
                </w:p>
              </w:tc>
              <w:tc>
                <w:tcPr/>
                <w:p>
                  <w:pPr>
                    <w:pStyle w:val="Compact"/>
                    <w:jc w:val="left"/>
                    <w:jc w:val="center"/>
                  </w:pPr>
                  <w:r>
                    <w:t xml:space="preserve">T2D, hospitalized</w:t>
                  </w:r>
                </w:p>
              </w:tc>
              <w:tc>
                <w:tcPr/>
                <w:p>
                  <w:pPr>
                    <w:pStyle w:val="Compact"/>
                    <w:jc w:val="left"/>
                    <w:jc w:val="center"/>
                  </w:pPr>
                  <w:r>
                    <w:t xml:space="preserve">545</w:t>
                  </w:r>
                </w:p>
              </w:tc>
              <w:tc>
                <w:tcPr/>
                <w:p>
                  <w:pPr>
                    <w:pStyle w:val="Compact"/>
                    <w:jc w:val="left"/>
                    <w:jc w:val="center"/>
                  </w:pPr>
                  <w:r>
                    <w:t xml:space="preserve">mean age of (61.22</w:t>
                  </w:r>
                  <w:r>
                    <w:t xml:space="preserve"> </w:t>
                  </w:r>
                  <m:oMath>
                    <m:r>
                      <m:rPr>
                        <m:sty m:val="p"/>
                      </m:rPr>
                      <m:t>±</m:t>
                    </m:r>
                  </m:oMath>
                  <w:r>
                    <w:t xml:space="preserve"> </w:t>
                  </w:r>
                  <w:r>
                    <w:t xml:space="preserve">11.21) years</w:t>
                  </w:r>
                </w:p>
              </w:tc>
              <w:tc>
                <w:tcPr/>
                <w:p>
                  <w:pPr>
                    <w:pStyle w:val="Compact"/>
                    <w:jc w:val="left"/>
                    <w:jc w:val="center"/>
                  </w:pPr>
                  <w:r>
                    <w:t xml:space="preserve">nr</w:t>
                  </w:r>
                </w:p>
              </w:tc>
              <w:tc>
                <w:tcPr/>
                <w:p>
                  <w:pPr>
                    <w:pStyle w:val="Compact"/>
                    <w:jc w:val="left"/>
                    <w:jc w:val="center"/>
                  </w:pPr>
                  <w:r>
                    <w:t xml:space="preserve">8.51</w:t>
                  </w:r>
                  <w:r>
                    <w:t xml:space="preserve"> </w:t>
                  </w:r>
                  <m:oMath>
                    <m:r>
                      <m:rPr>
                        <m:sty m:val="p"/>
                      </m:rPr>
                      <m:t>±</m:t>
                    </m:r>
                  </m:oMath>
                  <w:r>
                    <w:t xml:space="preserve"> </w:t>
                  </w:r>
                  <w:r>
                    <w:t xml:space="preserve">1.85%</w:t>
                  </w:r>
                </w:p>
              </w:tc>
              <w:tc>
                <w:tcPr/>
                <w:p>
                  <w:pPr>
                    <w:pStyle w:val="Compact"/>
                    <w:jc w:val="left"/>
                    <w:jc w:val="center"/>
                  </w:pPr>
                  <w:r>
                    <w:t xml:space="preserve">7-14 days</w:t>
                  </w:r>
                </w:p>
              </w:tc>
            </w:tr>
            <w:tr>
              <w:tc>
                <w:tcPr/>
                <w:p>
                  <w:pPr>
                    <w:pStyle w:val="Compact"/>
                    <w:jc w:val="left"/>
                    <w:jc w:val="center"/>
                  </w:pPr>
                  <w:r>
                    <w:t xml:space="preserve">Su, 2011</w:t>
                  </w:r>
                </w:p>
              </w:tc>
              <w:tc>
                <w:tcPr/>
                <w:p>
                  <w:pPr>
                    <w:pStyle w:val="Compact"/>
                    <w:jc w:val="left"/>
                    <w:jc w:val="center"/>
                  </w:pPr>
                  <w:r>
                    <w:t xml:space="preserve">Cross-sectional</w:t>
                  </w:r>
                </w:p>
              </w:tc>
              <w:tc>
                <w:tcPr/>
                <w:p>
                  <w:pPr>
                    <w:pStyle w:val="Compact"/>
                    <w:jc w:val="left"/>
                    <w:jc w:val="center"/>
                  </w:pPr>
                  <w:r>
                    <w:t xml:space="preserve">T2D with chest pain</w:t>
                  </w:r>
                  <w:r>
                    <w:t xml:space="preserve">Without CAD, n = 92</w:t>
                  </w:r>
                  <w:r>
                    <w:t xml:space="preserve">With CAD, n = 252</w:t>
                  </w:r>
                </w:p>
              </w:tc>
              <w:tc>
                <w:tcPr/>
                <w:p>
                  <w:pPr>
                    <w:pStyle w:val="Compact"/>
                    <w:jc w:val="left"/>
                    <w:jc w:val="center"/>
                  </w:pPr>
                  <w:r>
                    <w:t xml:space="preserve">344</w:t>
                  </w:r>
                </w:p>
              </w:tc>
              <w:tc>
                <w:tcPr/>
                <w:p>
                  <w:pPr>
                    <w:pStyle w:val="Compact"/>
                    <w:jc w:val="left"/>
                    <w:jc w:val="center"/>
                  </w:pPr>
                  <w:r>
                    <w:t xml:space="preserve">Without CAD: 61</w:t>
                  </w:r>
                  <w:r>
                    <w:t xml:space="preserve"> </w:t>
                  </w:r>
                  <m:oMath>
                    <m:r>
                      <m:rPr>
                        <m:sty m:val="p"/>
                      </m:rPr>
                      <m:t>±</m:t>
                    </m:r>
                  </m:oMath>
                  <w:r>
                    <w:t xml:space="preserve"> </w:t>
                  </w:r>
                  <w:r>
                    <w:t xml:space="preserve">9</w:t>
                  </w:r>
                  <w:r>
                    <w:t xml:space="preserve">With CAD: 65</w:t>
                  </w:r>
                  <w:r>
                    <w:t xml:space="preserve"> </w:t>
                  </w:r>
                  <m:oMath>
                    <m:r>
                      <m:rPr>
                        <m:sty m:val="p"/>
                      </m:rPr>
                      <m:t>±</m:t>
                    </m:r>
                  </m:oMath>
                  <w:r>
                    <w:t xml:space="preserve"> </w:t>
                  </w:r>
                  <w:r>
                    <w:t xml:space="preserve">9</w:t>
                  </w:r>
                </w:p>
              </w:tc>
              <w:tc>
                <w:tcPr/>
                <w:p>
                  <w:pPr>
                    <w:pStyle w:val="Compact"/>
                    <w:jc w:val="left"/>
                    <w:jc w:val="center"/>
                  </w:pPr>
                  <w:r>
                    <w:t xml:space="preserve">Without CAD: 4.8</w:t>
                  </w:r>
                  <w:r>
                    <w:t xml:space="preserve"> </w:t>
                  </w:r>
                  <m:oMath>
                    <m:r>
                      <m:rPr>
                        <m:sty m:val="p"/>
                      </m:rPr>
                      <m:t>±</m:t>
                    </m:r>
                  </m:oMath>
                  <w:r>
                    <w:t xml:space="preserve"> </w:t>
                  </w:r>
                  <w:r>
                    <w:t xml:space="preserve">5.7</w:t>
                  </w:r>
                  <w:r>
                    <w:t xml:space="preserve">With CAD: 6.5</w:t>
                  </w:r>
                  <w:r>
                    <w:t xml:space="preserve"> </w:t>
                  </w:r>
                  <m:oMath>
                    <m:r>
                      <m:rPr>
                        <m:sty m:val="p"/>
                      </m:rPr>
                      <m:t>±</m:t>
                    </m:r>
                  </m:oMath>
                  <w:r>
                    <w:t xml:space="preserve"> </w:t>
                  </w:r>
                  <w:r>
                    <w:t xml:space="preserve">6.4</w:t>
                  </w:r>
                </w:p>
              </w:tc>
              <w:tc>
                <w:tcPr/>
                <w:p>
                  <w:pPr>
                    <w:pStyle w:val="Compact"/>
                    <w:jc w:val="left"/>
                    <w:jc w:val="center"/>
                  </w:pPr>
                  <w:r>
                    <w:t xml:space="preserve">non-CAD: 7.5</w:t>
                  </w:r>
                  <w:r>
                    <w:t xml:space="preserve"> </w:t>
                  </w:r>
                  <m:oMath>
                    <m:r>
                      <m:rPr>
                        <m:sty m:val="p"/>
                      </m:rPr>
                      <m:t>±</m:t>
                    </m:r>
                  </m:oMath>
                  <w:r>
                    <w:t xml:space="preserve"> </w:t>
                  </w:r>
                  <w:r>
                    <w:t xml:space="preserve">1.4%</w:t>
                  </w:r>
                  <w:r>
                    <w:t xml:space="preserve">CAD: 7.6</w:t>
                  </w:r>
                  <w:r>
                    <w:t xml:space="preserve"> </w:t>
                  </w:r>
                  <m:oMath>
                    <m:r>
                      <m:rPr>
                        <m:sty m:val="p"/>
                      </m:rPr>
                      <m:t>±</m:t>
                    </m:r>
                  </m:oMath>
                  <w:r>
                    <w:t xml:space="preserve"> </w:t>
                  </w:r>
                  <w:r>
                    <w:t xml:space="preserve">1.5%</w:t>
                  </w:r>
                </w:p>
              </w:tc>
              <w:tc>
                <w:tcPr/>
                <w:p>
                  <w:pPr>
                    <w:pStyle w:val="Compact"/>
                    <w:jc w:val="left"/>
                    <w:jc w:val="center"/>
                  </w:pPr>
                  <w:r>
                    <w:t xml:space="preserve">72 hours (only 48 hours used)</w:t>
                  </w:r>
                </w:p>
              </w:tc>
            </w:tr>
            <w:tr>
              <w:tc>
                <w:tcPr/>
                <w:p>
                  <w:pPr>
                    <w:pStyle w:val="Compact"/>
                    <w:jc w:val="left"/>
                    <w:jc w:val="center"/>
                  </w:pPr>
                  <w:r>
                    <w:t xml:space="preserve">Watanabe, 2017</w:t>
                  </w:r>
                </w:p>
              </w:tc>
              <w:tc>
                <w:tcPr/>
                <w:p>
                  <w:pPr>
                    <w:pStyle w:val="Compact"/>
                    <w:jc w:val="left"/>
                    <w:jc w:val="center"/>
                  </w:pPr>
                  <w:r>
                    <w:t xml:space="preserve">Cross-sectional</w:t>
                  </w:r>
                </w:p>
              </w:tc>
              <w:tc>
                <w:tcPr/>
                <w:p>
                  <w:pPr>
                    <w:pStyle w:val="Compact"/>
                    <w:jc w:val="left"/>
                    <w:jc w:val="center"/>
                  </w:pPr>
                  <w:r>
                    <w:t xml:space="preserve">Prediabetes, hospitalized</w:t>
                  </w:r>
                </w:p>
              </w:tc>
              <w:tc>
                <w:tcPr/>
                <w:p>
                  <w:pPr>
                    <w:pStyle w:val="Compact"/>
                    <w:jc w:val="left"/>
                    <w:jc w:val="center"/>
                  </w:pPr>
                  <w:r>
                    <w:t xml:space="preserve">28</w:t>
                  </w:r>
                </w:p>
              </w:tc>
              <w:tc>
                <w:tcPr/>
                <w:p>
                  <w:pPr>
                    <w:pStyle w:val="Compact"/>
                    <w:jc w:val="left"/>
                    <w:jc w:val="center"/>
                  </w:pPr>
                  <w:r>
                    <w:t xml:space="preserve">64.3</w:t>
                  </w:r>
                  <w:r>
                    <w:t xml:space="preserve"> </w:t>
                  </w:r>
                  <m:oMath>
                    <m:r>
                      <m:rPr>
                        <m:sty m:val="p"/>
                      </m:rPr>
                      <m:t>±</m:t>
                    </m:r>
                  </m:oMath>
                  <w:r>
                    <w:t xml:space="preserve"> </w:t>
                  </w:r>
                  <w:r>
                    <w:t xml:space="preserve">12.8</w:t>
                  </w:r>
                </w:p>
              </w:tc>
              <w:tc>
                <w:tcPr/>
                <w:p>
                  <w:pPr>
                    <w:pStyle w:val="Compact"/>
                    <w:jc w:val="left"/>
                    <w:jc w:val="center"/>
                  </w:pPr>
                  <w:r>
                    <w:t xml:space="preserve">nr</w:t>
                  </w:r>
                </w:p>
              </w:tc>
              <w:tc>
                <w:tcPr/>
                <w:p>
                  <w:pPr>
                    <w:pStyle w:val="Compact"/>
                    <w:jc w:val="left"/>
                    <w:jc w:val="center"/>
                  </w:pPr>
                  <w:r>
                    <w:t xml:space="preserve">5.41</w:t>
                  </w:r>
                  <w:r>
                    <w:t xml:space="preserve"> </w:t>
                  </w:r>
                  <m:oMath>
                    <m:r>
                      <m:rPr>
                        <m:sty m:val="p"/>
                      </m:rPr>
                      <m:t>±</m:t>
                    </m:r>
                  </m:oMath>
                  <w:r>
                    <w:t xml:space="preserve"> </w:t>
                  </w:r>
                  <w:r>
                    <w:t xml:space="preserve">0.35%</w:t>
                  </w:r>
                </w:p>
              </w:tc>
              <w:tc>
                <w:tcPr/>
                <w:p>
                  <w:pPr>
                    <w:pStyle w:val="Compact"/>
                    <w:jc w:val="left"/>
                    <w:jc w:val="center"/>
                  </w:pPr>
                  <w:r>
                    <w:t xml:space="preserve">72 hours (Only used the middle 48 hours)</w:t>
                  </w:r>
                </w:p>
              </w:tc>
            </w:tr>
            <w:tr>
              <w:tc>
                <w:tcPr/>
                <w:p>
                  <w:pPr>
                    <w:pStyle w:val="Compact"/>
                    <w:jc w:val="left"/>
                    <w:jc w:val="center"/>
                  </w:pPr>
                  <w:r>
                    <w:t xml:space="preserve">Zhang, 2013</w:t>
                  </w:r>
                </w:p>
              </w:tc>
              <w:tc>
                <w:tcPr/>
                <w:p>
                  <w:pPr>
                    <w:pStyle w:val="Compact"/>
                    <w:jc w:val="left"/>
                    <w:jc w:val="center"/>
                  </w:pPr>
                  <w:r>
                    <w:t xml:space="preserve">Cross-sectional</w:t>
                  </w:r>
                </w:p>
              </w:tc>
              <w:tc>
                <w:tcPr/>
                <w:p>
                  <w:pPr>
                    <w:pStyle w:val="Compact"/>
                    <w:jc w:val="left"/>
                    <w:jc w:val="center"/>
                  </w:pPr>
                  <w:r>
                    <w:t xml:space="preserve">T2D with cardiovascular complications</w:t>
                  </w:r>
                  <w:r>
                    <w:t xml:space="preserve">Group A: healthy individuals</w:t>
                  </w:r>
                  <w:r>
                    <w:t xml:space="preserve">Group B: T2D without cardiovascular complications</w:t>
                  </w:r>
                  <w:r>
                    <w:t xml:space="preserve">Group C: T2D with cardiovascular complications</w:t>
                  </w:r>
                </w:p>
              </w:tc>
              <w:tc>
                <w:tcPr/>
                <w:p>
                  <w:pPr>
                    <w:pStyle w:val="Compact"/>
                    <w:jc w:val="left"/>
                    <w:jc w:val="center"/>
                  </w:pPr>
                  <w:r>
                    <w:t xml:space="preserve">92</w:t>
                  </w:r>
                </w:p>
              </w:tc>
              <w:tc>
                <w:tcPr/>
                <w:p>
                  <w:pPr>
                    <w:pStyle w:val="Compact"/>
                    <w:jc w:val="left"/>
                    <w:jc w:val="center"/>
                  </w:pPr>
                  <w:r>
                    <w:t xml:space="preserve">Group A: 56.3</w:t>
                  </w:r>
                  <w:r>
                    <w:t xml:space="preserve"> </w:t>
                  </w:r>
                  <m:oMath>
                    <m:r>
                      <m:rPr>
                        <m:sty m:val="p"/>
                      </m:rPr>
                      <m:t>±</m:t>
                    </m:r>
                  </m:oMath>
                  <w:r>
                    <w:t xml:space="preserve"> </w:t>
                  </w:r>
                  <w:r>
                    <w:t xml:space="preserve">6.1</w:t>
                  </w:r>
                  <w:r>
                    <w:t xml:space="preserve">Group B: 56.1</w:t>
                  </w:r>
                  <w:r>
                    <w:t xml:space="preserve"> </w:t>
                  </w:r>
                  <m:oMath>
                    <m:r>
                      <m:rPr>
                        <m:sty m:val="p"/>
                      </m:rPr>
                      <m:t>±</m:t>
                    </m:r>
                  </m:oMath>
                  <w:r>
                    <w:t xml:space="preserve"> </w:t>
                  </w:r>
                  <w:r>
                    <w:t xml:space="preserve">6.6</w:t>
                  </w:r>
                  <w:r>
                    <w:t xml:space="preserve">Group C: 61.7</w:t>
                  </w:r>
                  <w:r>
                    <w:t xml:space="preserve"> </w:t>
                  </w:r>
                  <m:oMath>
                    <m:r>
                      <m:rPr>
                        <m:sty m:val="p"/>
                      </m:rPr>
                      <m:t>±</m:t>
                    </m:r>
                  </m:oMath>
                  <w:r>
                    <w:t xml:space="preserve"> </w:t>
                  </w:r>
                  <w:r>
                    <w:t xml:space="preserve">7.2</w:t>
                  </w:r>
                </w:p>
              </w:tc>
              <w:tc>
                <w:tcPr/>
                <w:p>
                  <w:pPr>
                    <w:pStyle w:val="Compact"/>
                    <w:jc w:val="left"/>
                    <w:jc w:val="center"/>
                  </w:pPr>
                  <w:r>
                    <w:t xml:space="preserve">nr</w:t>
                  </w:r>
                </w:p>
              </w:tc>
              <w:tc>
                <w:tcPr/>
                <w:p>
                  <w:pPr>
                    <w:pStyle w:val="Compact"/>
                    <w:jc w:val="left"/>
                    <w:jc w:val="center"/>
                  </w:pPr>
                  <w:r>
                    <w:t xml:space="preserve">Group A: 5.3</w:t>
                  </w:r>
                  <w:r>
                    <w:t xml:space="preserve"> </w:t>
                  </w:r>
                  <m:oMath>
                    <m:r>
                      <m:rPr>
                        <m:sty m:val="p"/>
                      </m:rPr>
                      <m:t>±</m:t>
                    </m:r>
                  </m:oMath>
                  <w:r>
                    <w:t xml:space="preserve"> </w:t>
                  </w:r>
                  <w:r>
                    <w:t xml:space="preserve">0.3%</w:t>
                  </w:r>
                  <w:r>
                    <w:t xml:space="preserve">Group B: 6.6</w:t>
                  </w:r>
                  <w:r>
                    <w:t xml:space="preserve"> </w:t>
                  </w:r>
                  <m:oMath>
                    <m:r>
                      <m:rPr>
                        <m:sty m:val="p"/>
                      </m:rPr>
                      <m:t>±</m:t>
                    </m:r>
                  </m:oMath>
                  <w:r>
                    <w:t xml:space="preserve"> </w:t>
                  </w:r>
                  <w:r>
                    <w:t xml:space="preserve">1.2%</w:t>
                  </w:r>
                  <w:r>
                    <w:t xml:space="preserve">Group C: 7.5</w:t>
                  </w:r>
                  <w:r>
                    <w:t xml:space="preserve"> </w:t>
                  </w:r>
                  <m:oMath>
                    <m:r>
                      <m:rPr>
                        <m:sty m:val="p"/>
                      </m:rPr>
                      <m:t>±</m:t>
                    </m:r>
                  </m:oMath>
                  <w:r>
                    <w:t xml:space="preserve"> </w:t>
                  </w:r>
                  <w:r>
                    <w:t xml:space="preserve">1.4%</w:t>
                  </w:r>
                </w:p>
              </w:tc>
              <w:tc>
                <w:tcPr/>
                <w:p>
                  <w:pPr>
                    <w:pStyle w:val="Compact"/>
                    <w:jc w:val="left"/>
                    <w:jc w:val="center"/>
                  </w:pPr>
                  <w:r>
                    <w:t xml:space="preserve">72 hours</w:t>
                  </w:r>
                </w:p>
              </w:tc>
            </w:tr>
          </w:tbl>
          <w:p>
            <w:r>
              <w:pict>
                <v:rect style="width:0;height:1.5pt" o:hralign="center" o:hrstd="t" o:hr="t"/>
              </w:pict>
            </w:r>
          </w:p>
          <w:p>
            <w:pPr>
              <w:jc w:val="center"/>
            </w:pPr>
            <m:oMath>
              <m:sSup>
                <m:e>
                  <m:r>
                    <m:t>​</m:t>
                  </m:r>
                </m:e>
                <m:sup>
                  <m:r>
                    <m:rPr>
                      <m:sty m:val="p"/>
                    </m:rPr>
                    <m:t>†</m:t>
                  </m:r>
                </m:sup>
              </m:sSup>
            </m:oMath>
            <w:r>
              <w:t xml:space="preserve"> </w:t>
            </w:r>
            <w:r>
              <w:t xml:space="preserve">This study appears both in the clinical and subclinical disease outcome tables due to investigating multiple CVD outcomes.</w:t>
            </w:r>
          </w:p>
          <w:p>
            <w:pPr>
              <w:jc w:val="center"/>
            </w:pPr>
            <w:r>
              <w:rPr>
                <w:i/>
                <w:iCs/>
              </w:rPr>
              <w:t xml:space="preserve">Note:</w:t>
            </w:r>
            <w:r>
              <w:t xml:space="preserve"> </w:t>
            </w:r>
            <w:r>
              <w:t xml:space="preserve">Age is reported in years either as an interval, mean</w:t>
            </w:r>
            <w:r>
              <w:t xml:space="preserve"> </w:t>
            </w:r>
            <m:oMath>
              <m:r>
                <m:rPr>
                  <m:sty m:val="p"/>
                </m:rPr>
                <m:t>±</m:t>
              </m:r>
            </m:oMath>
            <w:r>
              <w:t xml:space="preserve"> </w:t>
            </w:r>
            <w:r>
              <w:t xml:space="preserve">SD, or median (IQR). Diabetes duration values originally reported in months were converted to years for consistency (months</w:t>
            </w:r>
            <w:r>
              <w:t xml:space="preserve"> </w:t>
            </w:r>
            <m:oMath>
              <m:r>
                <m:rPr>
                  <m:sty m:val="p"/>
                </m:rPr>
                <m:t>÷</m:t>
              </m:r>
            </m:oMath>
            <w:r>
              <w:t xml:space="preserve"> </w:t>
            </w:r>
            <w:r>
              <w:t xml:space="preserve">12).</w:t>
            </w:r>
            <w:r>
              <w:t xml:space="preserve"> </w:t>
            </w:r>
            <w:r>
              <w:t xml:space="preserve"> </w:t>
            </w:r>
            <w:r>
              <w:rPr>
                <w:i/>
                <w:iCs/>
              </w:rPr>
              <w:t xml:space="preserve">Abbreviations:</w:t>
            </w:r>
            <w:r>
              <w:t xml:space="preserve"> </w:t>
            </w:r>
            <w:r>
              <w:t xml:space="preserve">CGM, continuous glucose monitoring; FU, follow-up; T1D, type 1 diabetes; T2D, type 2 diabetes; CAD, coronary artery disease; hypo, hypoglycemia; LEAD, lower extremity arterial disease; IQR, interquartile range; nr, not reported.</w:t>
            </w:r>
          </w:p>
          <w:bookmarkEnd w:id="111"/>
        </w:tc>
      </w:tr>
    </w:tbl>
    <w:p>
      <w:pPr>
        <w:sectPr>
          <w:pgSz w:h="11906" w:w="16838" w:orient="landscape"/>
        </w:sectPr>
      </w:pPr>
    </w:p>
    <w:bookmarkEnd w:id="112"/>
    <w:bookmarkStart w:id="115" w:name="Xf4179146ead78f189a701b82c7d5ec335a6fb1b"/>
    <w:p>
      <w:pPr>
        <w:pStyle w:val="Heading3"/>
      </w:pPr>
      <w:r>
        <w:t xml:space="preserve">Outcomes from the Studies in the Scoping Review</w:t>
      </w:r>
    </w:p>
    <w:p>
      <w:pPr>
        <w:pStyle w:val="Compact"/>
        <w:numPr>
          <w:ilvl w:val="0"/>
          <w:numId w:val="1043"/>
        </w:numPr>
      </w:pPr>
      <w:r>
        <w:t xml:space="preserve">Check table is correct</w:t>
      </w:r>
    </w:p>
    <w:p>
      <w:pPr>
        <w:pStyle w:val="Compact"/>
        <w:numPr>
          <w:ilvl w:val="0"/>
          <w:numId w:val="1044"/>
        </w:numPr>
      </w:pPr>
      <w:r>
        <w:t xml:space="preserve">Add references to all citations</w:t>
      </w:r>
    </w:p>
    <w:p>
      <w:pPr>
        <w:pStyle w:val="Compact"/>
        <w:numPr>
          <w:ilvl w:val="0"/>
          <w:numId w:val="1045"/>
        </w:numPr>
      </w:pPr>
      <w:r>
        <w:t xml:space="preserve">Correct the raised letters/dagger is the same between the two tables</w:t>
      </w:r>
    </w:p>
    <w:p>
      <w:pPr>
        <w:pStyle w:val="Compact"/>
        <w:numPr>
          <w:ilvl w:val="0"/>
          <w:numId w:val="1046"/>
        </w:numPr>
      </w:pPr>
      <w:r>
        <w:t xml:space="preserve">Delete the multimedia part in the footnote of the table</w:t>
      </w:r>
    </w:p>
    <w:p>
      <w:pPr>
        <w:sectPr/>
      </w:pPr>
    </w:p>
    <w:tbl>
      <w:tblPr>
        <w:tblStyle w:val="Table"/>
        <w:tblW w:type="pct" w:w="5000"/>
        <w:tblLayout w:type="fixed"/>
        <w:tblLook w:firstRow="0" w:lastRow="0" w:firstColumn="0" w:lastColumn="0" w:noHBand="0" w:noVBand="0" w:val="0000"/>
      </w:tblPr>
      <w:tblGrid>
        <w:gridCol w:w="7920"/>
      </w:tblGrid>
      <w:tr>
        <w:tc>
          <w:tcPr/>
          <w:bookmarkStart w:id="113" w:name="tbl-main-clinical-findings"/>
          <w:p>
            <w:pPr>
              <w:jc w:val="center"/>
            </w:pPr>
            <w:pPr>
              <w:jc w:val="left"/>
              <w:spacing w:before="200"/>
              <w:pStyle w:val="ImageCaption"/>
            </w:pPr>
            <w:r>
              <w:t xml:space="preserve">Table 5.2: Main findings of the included studies on clinical cardiovascular outcomes. {tbl-colwidths='[40, 15, 15, 15,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Outcome, reference, and continuous glucose monitoring metrics</w:t>
                  </w:r>
                </w:p>
              </w:tc>
              <w:tc>
                <w:tcPr/>
                <w:p>
                  <w:pPr>
                    <w:pStyle w:val="Compact"/>
                    <w:jc w:val="left"/>
                    <w:jc w:val="center"/>
                  </w:pPr>
                  <w:r>
                    <w:t xml:space="preserve">Unadjusted or least adjusted findings</w:t>
                  </w:r>
                </w:p>
              </w:tc>
              <w:tc>
                <w:tcPr/>
                <w:p>
                  <w:pPr>
                    <w:pStyle w:val="Compact"/>
                    <w:jc w:val="left"/>
                    <w:jc w:val="center"/>
                  </w:pPr>
                  <m:oMath>
                    <m:r>
                      <m:t>P</m:t>
                    </m:r>
                  </m:oMath>
                  <w:r>
                    <w:t xml:space="preserve"> </w:t>
                  </w:r>
                  <w:r>
                    <w:t xml:space="preserve">value for the least adjusted findings</w:t>
                  </w:r>
                </w:p>
              </w:tc>
              <w:tc>
                <w:tcPr/>
                <w:p>
                  <w:pPr>
                    <w:pStyle w:val="Compact"/>
                    <w:jc w:val="left"/>
                    <w:jc w:val="center"/>
                  </w:pPr>
                  <w:r>
                    <w:t xml:space="preserve">Most adjusted findings</w:t>
                  </w:r>
                </w:p>
              </w:tc>
              <w:tc>
                <w:tcPr/>
                <w:p>
                  <w:pPr>
                    <w:pStyle w:val="Compact"/>
                    <w:jc w:val="left"/>
                    <w:jc w:val="center"/>
                  </w:pPr>
                  <m:oMath>
                    <m:r>
                      <m:t>P</m:t>
                    </m:r>
                  </m:oMath>
                  <w:r>
                    <w:t xml:space="preserve"> </w:t>
                  </w:r>
                  <w:r>
                    <w:t xml:space="preserve">value for the most adjusted findings</w:t>
                  </w:r>
                </w:p>
              </w:tc>
            </w:tr>
            <w:tr>
              <w:tc>
                <w:tcPr/>
                <w:p>
                  <w:pPr>
                    <w:pStyle w:val="Compact"/>
                    <w:jc w:val="left"/>
                    <w:jc w:val="center"/>
                  </w:pPr>
                  <w:r>
                    <w:rPr>
                      <w:b/>
                      <w:bCs/>
                    </w:rPr>
                    <w:t xml:space="preserve">Cardiovascular mortality</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Lu et al [21],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sSup>
                      <m:e>
                        <m:r>
                          <m:t>​</m:t>
                        </m:r>
                      </m:e>
                      <m:sup>
                        <m:r>
                          <m:t>c</m:t>
                        </m:r>
                      </m:sup>
                    </m:sSup>
                  </m:oMath>
                  <w:r>
                    <w:t xml:space="preserve"> </w:t>
                  </w:r>
                  <m:oMath>
                    <m:r>
                      <m:rPr>
                        <m:sty m:val="p"/>
                      </m:rPr>
                      <m:t>&gt;</m:t>
                    </m:r>
                    <m:r>
                      <m:t>85</m:t>
                    </m:r>
                    <m:r>
                      <m:rPr>
                        <m:sty m:val="p"/>
                      </m:rPr>
                      <m:t>%</m:t>
                    </m:r>
                  </m:oMath>
                </w:p>
              </w:tc>
              <w:tc>
                <w:tcPr/>
                <w:p>
                  <w:pPr>
                    <w:pStyle w:val="Compact"/>
                    <w:jc w:val="left"/>
                    <w:jc w:val="center"/>
                  </w:pPr>
                  <w:r>
                    <w:t xml:space="preserve">HR 1.00</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1.00</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71</m:t>
                    </m:r>
                    <m:r>
                      <m:rPr>
                        <m:sty m:val="p"/>
                      </m:rPr>
                      <m:t>%</m:t>
                    </m:r>
                    <m:r>
                      <m:rPr>
                        <m:sty m:val="p"/>
                      </m:rPr>
                      <m:t>−</m:t>
                    </m:r>
                    <m:r>
                      <m:t>85</m:t>
                    </m:r>
                    <m:r>
                      <m:rPr>
                        <m:sty m:val="p"/>
                      </m:rPr>
                      <m:t>%</m:t>
                    </m:r>
                  </m:oMath>
                </w:p>
              </w:tc>
              <w:tc>
                <w:tcPr/>
                <w:p>
                  <w:pPr>
                    <w:pStyle w:val="Compact"/>
                    <w:jc w:val="left"/>
                    <w:jc w:val="center"/>
                  </w:pPr>
                  <w:r>
                    <w:t xml:space="preserve">HR 1.43 (0.95–2.14)</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1.35 (0.90–2.04)</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t>51</m:t>
                    </m:r>
                    <m:r>
                      <m:rPr>
                        <m:sty m:val="p"/>
                      </m:rPr>
                      <m:t>%</m:t>
                    </m:r>
                    <m:r>
                      <m:rPr>
                        <m:sty m:val="p"/>
                      </m:rPr>
                      <m:t>−</m:t>
                    </m:r>
                    <m:r>
                      <m:t>70</m:t>
                    </m:r>
                    <m:r>
                      <m:rPr>
                        <m:sty m:val="p"/>
                      </m:rPr>
                      <m:t>%</m:t>
                    </m:r>
                  </m:oMath>
                </w:p>
              </w:tc>
              <w:tc>
                <w:tcPr/>
                <w:p>
                  <w:pPr>
                    <w:pStyle w:val="Compact"/>
                    <w:jc w:val="left"/>
                    <w:jc w:val="center"/>
                  </w:pPr>
                  <w:r>
                    <w:t xml:space="preserve">HR 1.66 (1.12–2.45)</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1.47 (0.99–2.19)</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w:t>
                  </w:r>
                  <w:r>
                    <w:t xml:space="preserve"> </w:t>
                  </w:r>
                  <m:oMath>
                    <m:r>
                      <m:rPr>
                        <m:sty m:val="p"/>
                      </m:rPr>
                      <m:t>≥</m:t>
                    </m:r>
                    <m:r>
                      <m:t>50</m:t>
                    </m:r>
                    <m:r>
                      <m:rPr>
                        <m:sty m:val="p"/>
                      </m:rPr>
                      <m:t>%</m:t>
                    </m:r>
                  </m:oMath>
                </w:p>
              </w:tc>
              <w:tc>
                <w:tcPr/>
                <w:p>
                  <w:pPr>
                    <w:pStyle w:val="Compact"/>
                    <w:jc w:val="left"/>
                    <w:jc w:val="center"/>
                  </w:pPr>
                  <w:r>
                    <w:t xml:space="preserve">HR 2.15 (1.47–3.13)</w:t>
                  </w:r>
                </w:p>
              </w:tc>
              <w:tc>
                <w:tcPr/>
                <w:p>
                  <w:pPr>
                    <w:pStyle w:val="Compact"/>
                    <w:jc w:val="left"/>
                    <w:jc w:val="center"/>
                  </w:pPr>
                  <m:oMath>
                    <m:r>
                      <m:rPr>
                        <m:sty m:val="p"/>
                      </m:rPr>
                      <m:t>&lt;</m:t>
                    </m:r>
                    <m:r>
                      <m:t>.001</m:t>
                    </m:r>
                  </m:oMath>
                  <w:r>
                    <w:t xml:space="preserve"> </w:t>
                  </w:r>
                  <w:r>
                    <w:t xml:space="preserve">(trend)</w:t>
                  </w:r>
                </w:p>
              </w:tc>
              <w:tc>
                <w:tcPr/>
                <w:p>
                  <w:pPr>
                    <w:pStyle w:val="Compact"/>
                    <w:jc w:val="left"/>
                    <w:jc w:val="center"/>
                  </w:pPr>
                  <w:r>
                    <w:t xml:space="preserve">HR 1.85 (1.25–2.72)</w:t>
                  </w:r>
                </w:p>
              </w:tc>
              <w:tc>
                <w:tcPr/>
                <w:p>
                  <w:pPr>
                    <w:pStyle w:val="Compact"/>
                    <w:jc w:val="left"/>
                    <w:jc w:val="center"/>
                  </w:pPr>
                  <m:oMath>
                    <m:r>
                      <m:t>.02</m:t>
                    </m:r>
                  </m:oMath>
                  <w:r>
                    <w:t xml:space="preserve"> </w:t>
                  </w:r>
                  <w:r>
                    <w:t xml:space="preserve">(trend)</w:t>
                  </w:r>
                </w:p>
              </w:tc>
            </w:tr>
            <w:tr>
              <w:tc>
                <w:tcPr/>
                <w:p>
                  <w:pPr>
                    <w:pStyle w:val="Compact"/>
                    <w:jc w:val="left"/>
                    <w:jc w:val="center"/>
                  </w:pPr>
                  <w:r>
                    <w:t xml:space="preserve">    TIR as a continuous variable (each</w:t>
                  </w:r>
                  <w:r>
                    <w:t xml:space="preserve"> </w:t>
                  </w:r>
                  <m:oMath>
                    <m:r>
                      <m:t>10</m:t>
                    </m:r>
                    <m:r>
                      <m:rPr>
                        <m:sty m:val="p"/>
                      </m:rPr>
                      <m:t>%</m:t>
                    </m:r>
                  </m:oMath>
                  <w:r>
                    <w:t xml:space="preserve"> </w:t>
                  </w:r>
                  <w:r>
                    <w:t xml:space="preserve">decrease)</w:t>
                  </w:r>
                </w:p>
              </w:tc>
              <w:tc>
                <w:tcPr/>
                <w:p>
                  <w:pPr>
                    <w:pStyle w:val="Compact"/>
                    <w:jc w:val="left"/>
                    <w:jc w:val="center"/>
                  </w:pPr>
                  <w:r>
                    <w:t xml:space="preserve">HR 1.08 (1.03–1.13)</w:t>
                  </w:r>
                </w:p>
              </w:tc>
              <w:tc>
                <w:tcPr/>
                <w:p>
                  <w:pPr>
                    <w:pStyle w:val="Compact"/>
                    <w:jc w:val="left"/>
                    <w:jc w:val="center"/>
                  </w:pPr>
                  <w:r>
                    <w:t xml:space="preserve">—</w:t>
                  </w:r>
                  <w:r>
                    <w:t xml:space="preserve"> </w:t>
                  </w:r>
                  <m:oMath>
                    <m:sSup>
                      <m:e>
                        <m:r>
                          <m:t>​</m:t>
                        </m:r>
                      </m:e>
                      <m:sup>
                        <m:r>
                          <m:t>d</m:t>
                        </m:r>
                      </m:sup>
                    </m:sSup>
                  </m:oMath>
                </w:p>
              </w:tc>
              <w:tc>
                <w:tcPr/>
                <w:p>
                  <w:pPr>
                    <w:pStyle w:val="Compact"/>
                    <w:jc w:val="left"/>
                    <w:jc w:val="center"/>
                  </w:pPr>
                  <w:r>
                    <w:t xml:space="preserve">HR 1.05 (1.00–1.11)</w:t>
                  </w:r>
                </w:p>
              </w:tc>
              <w:tc>
                <w:tcPr/>
                <w:p>
                  <w:pPr>
                    <w:pStyle w:val="Compact"/>
                    <w:jc w:val="left"/>
                    <w:jc w:val="center"/>
                  </w:pPr>
                  <w:r>
                    <w:t xml:space="preserve">—</w:t>
                  </w:r>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2.033 (1.211–3.413)</w:t>
                  </w:r>
                </w:p>
              </w:tc>
              <w:tc>
                <w:tcPr/>
                <w:p>
                  <w:pPr>
                    <w:pStyle w:val="Compact"/>
                    <w:jc w:val="left"/>
                    <w:jc w:val="center"/>
                  </w:pPr>
                  <w:r>
                    <w:t xml:space="preserve">—</w:t>
                  </w:r>
                </w:p>
              </w:tc>
              <w:tc>
                <w:tcPr/>
                <w:p>
                  <w:pPr>
                    <w:pStyle w:val="Compact"/>
                    <w:jc w:val="left"/>
                    <w:jc w:val="center"/>
                  </w:pPr>
                  <w:r>
                    <w:t xml:space="preserve">HR 2.642 (1.398–4.994)</w:t>
                  </w:r>
                </w:p>
              </w:tc>
              <w:tc>
                <w:tcPr/>
                <w:p>
                  <w:pPr>
                    <w:pStyle w:val="Compact"/>
                    <w:jc w:val="left"/>
                    <w:jc w:val="center"/>
                  </w:pPr>
                  <w:r>
                    <w:t xml:space="preserve">—</w:t>
                  </w:r>
                </w:p>
              </w:tc>
            </w:tr>
            <w:tr>
              <w:tc>
                <w:tcPr/>
                <w:p>
                  <w:pPr>
                    <w:pStyle w:val="Compact"/>
                    <w:jc w:val="left"/>
                    <w:jc w:val="center"/>
                  </w:pPr>
                  <w:r>
                    <w:rPr>
                      <w:b/>
                      <w:bCs/>
                    </w:rPr>
                    <w:t xml:space="preserve">Major adverse cardiovascular events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He et al [45],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Blood glucose risk index</w:t>
                  </w:r>
                </w:p>
              </w:tc>
              <w:tc>
                <w:tcPr/>
                <w:p>
                  <w:pPr>
                    <w:pStyle w:val="Compact"/>
                    <w:jc w:val="left"/>
                    <w:jc w:val="center"/>
                  </w:pPr>
                  <w:r>
                    <w:t xml:space="preserve">HR 0.97 (0.85–1.10)</w:t>
                  </w:r>
                </w:p>
              </w:tc>
              <w:tc>
                <w:tcPr/>
                <w:p>
                  <w:pPr>
                    <w:pStyle w:val="Compact"/>
                    <w:jc w:val="left"/>
                    <w:jc w:val="center"/>
                  </w:pPr>
                  <m:oMath>
                    <m:r>
                      <m:t>.61</m:t>
                    </m:r>
                  </m:oMath>
                </w:p>
              </w:tc>
              <w:tc>
                <w:tcPr/>
                <w:p>
                  <w:pPr>
                    <w:pStyle w:val="Compact"/>
                    <w:jc w:val="left"/>
                    <w:jc w:val="center"/>
                  </w:pPr>
                  <w:r>
                    <w:t xml:space="preserve">HR 0.98 (0.85–1.13)</w:t>
                  </w:r>
                </w:p>
              </w:tc>
              <w:tc>
                <w:tcPr/>
                <w:p>
                  <w:pPr>
                    <w:pStyle w:val="Compact"/>
                    <w:jc w:val="left"/>
                    <w:jc w:val="center"/>
                  </w:pPr>
                  <m:oMath>
                    <m:r>
                      <m:t>.75</m:t>
                    </m:r>
                  </m:oMath>
                </w:p>
              </w:tc>
            </w:tr>
            <w:tr>
              <w:tc>
                <w:tcPr/>
                <w:p>
                  <w:pPr>
                    <w:pStyle w:val="Compact"/>
                    <w:jc w:val="left"/>
                    <w:jc w:val="center"/>
                  </w:pPr>
                  <w:r>
                    <w:t xml:space="preserve">    Low blood glucose index</w:t>
                  </w:r>
                </w:p>
              </w:tc>
              <w:tc>
                <w:tcPr/>
                <w:p>
                  <w:pPr>
                    <w:pStyle w:val="Compact"/>
                    <w:jc w:val="left"/>
                    <w:jc w:val="center"/>
                  </w:pPr>
                  <w:r>
                    <w:t xml:space="preserve">HR 2.37 (1.16–4.83)</w:t>
                  </w:r>
                </w:p>
              </w:tc>
              <w:tc>
                <w:tcPr/>
                <w:p>
                  <w:pPr>
                    <w:pStyle w:val="Compact"/>
                    <w:jc w:val="left"/>
                    <w:jc w:val="center"/>
                  </w:pPr>
                  <m:oMath>
                    <m:r>
                      <m:t>.02</m:t>
                    </m:r>
                  </m:oMath>
                </w:p>
              </w:tc>
              <w:tc>
                <w:tcPr/>
                <w:p>
                  <w:pPr>
                    <w:pStyle w:val="Compact"/>
                    <w:jc w:val="left"/>
                    <w:jc w:val="center"/>
                  </w:pPr>
                  <w:r>
                    <w:t xml:space="preserve">HR 2.73 (1.21–6.16)</w:t>
                  </w:r>
                </w:p>
              </w:tc>
              <w:tc>
                <w:tcPr/>
                <w:p>
                  <w:pPr>
                    <w:pStyle w:val="Compact"/>
                    <w:jc w:val="left"/>
                    <w:jc w:val="center"/>
                  </w:pPr>
                  <m:oMath>
                    <m:r>
                      <m:t>.02</m:t>
                    </m:r>
                  </m:oMath>
                </w:p>
              </w:tc>
            </w:tr>
            <w:tr>
              <w:tc>
                <w:tcPr/>
                <w:p>
                  <w:pPr>
                    <w:pStyle w:val="Compact"/>
                    <w:jc w:val="left"/>
                    <w:jc w:val="center"/>
                  </w:pPr>
                  <w:r>
                    <w:t xml:space="preserve">    High blood glucose index</w:t>
                  </w:r>
                </w:p>
              </w:tc>
              <w:tc>
                <w:tcPr/>
                <w:p>
                  <w:pPr>
                    <w:pStyle w:val="Compact"/>
                    <w:jc w:val="left"/>
                    <w:jc w:val="center"/>
                  </w:pPr>
                  <w:r>
                    <w:t xml:space="preserve">HR 0.94 (0.81–1.08)</w:t>
                  </w:r>
                </w:p>
              </w:tc>
              <w:tc>
                <w:tcPr/>
                <w:p>
                  <w:pPr>
                    <w:pStyle w:val="Compact"/>
                    <w:jc w:val="left"/>
                    <w:jc w:val="center"/>
                  </w:pPr>
                  <m:oMath>
                    <m:r>
                      <m:t>.38</m:t>
                    </m:r>
                  </m:oMath>
                </w:p>
              </w:tc>
              <w:tc>
                <w:tcPr/>
                <w:p>
                  <w:pPr>
                    <w:pStyle w:val="Compact"/>
                    <w:jc w:val="left"/>
                    <w:jc w:val="center"/>
                  </w:pPr>
                  <w:r>
                    <w:t xml:space="preserve">HR 0.94 (0.81–1.09)</w:t>
                  </w:r>
                </w:p>
              </w:tc>
              <w:tc>
                <w:tcPr/>
                <w:p>
                  <w:pPr>
                    <w:pStyle w:val="Compact"/>
                    <w:jc w:val="left"/>
                    <w:jc w:val="center"/>
                  </w:pPr>
                  <m:oMath>
                    <m:r>
                      <m:t>.44</m:t>
                    </m:r>
                  </m:oMath>
                </w:p>
              </w:tc>
            </w:tr>
            <w:tr>
              <w:tc>
                <w:tcPr/>
                <w:p>
                  <w:pPr>
                    <w:pStyle w:val="Compact"/>
                    <w:jc w:val="left"/>
                    <w:jc w:val="center"/>
                  </w:pPr>
                  <w:r>
                    <w:t xml:space="preserve">    Average of daily risk range</w:t>
                  </w:r>
                </w:p>
              </w:tc>
              <w:tc>
                <w:tcPr/>
                <w:p>
                  <w:pPr>
                    <w:pStyle w:val="Compact"/>
                    <w:jc w:val="left"/>
                    <w:jc w:val="center"/>
                  </w:pPr>
                  <w:r>
                    <w:t xml:space="preserve">HR 1.00 (0.93–1.07)</w:t>
                  </w:r>
                </w:p>
              </w:tc>
              <w:tc>
                <w:tcPr/>
                <w:p>
                  <w:pPr>
                    <w:pStyle w:val="Compact"/>
                    <w:jc w:val="left"/>
                    <w:jc w:val="center"/>
                  </w:pPr>
                  <m:oMath>
                    <m:r>
                      <m:rPr>
                        <m:sty m:val="p"/>
                      </m:rPr>
                      <m:t>&gt;</m:t>
                    </m:r>
                    <m:r>
                      <m:t>.99</m:t>
                    </m:r>
                  </m:oMath>
                </w:p>
              </w:tc>
              <w:tc>
                <w:tcPr/>
                <w:p>
                  <w:pPr>
                    <w:pStyle w:val="Compact"/>
                    <w:jc w:val="left"/>
                    <w:jc w:val="center"/>
                  </w:pPr>
                  <w:r>
                    <w:t xml:space="preserve">HR 1.01 (0.93–1.09)</w:t>
                  </w:r>
                </w:p>
              </w:tc>
              <w:tc>
                <w:tcPr/>
                <w:p>
                  <w:pPr>
                    <w:pStyle w:val="Compact"/>
                    <w:jc w:val="left"/>
                    <w:jc w:val="center"/>
                  </w:pPr>
                  <m:oMath>
                    <m:r>
                      <m:t>.80</m:t>
                    </m:r>
                  </m:oMath>
                </w:p>
              </w:tc>
            </w:tr>
            <w:tr>
              <w:tc>
                <w:tcPr/>
                <w:p>
                  <w:pPr>
                    <w:pStyle w:val="Compact"/>
                    <w:jc w:val="left"/>
                    <w:jc w:val="center"/>
                  </w:pPr>
                  <w:r>
                    <w:t xml:space="preserve">    GMI</w:t>
                  </w:r>
                  <w:r>
                    <w:t xml:space="preserve"> </w:t>
                  </w:r>
                  <m:oMath>
                    <m:sSup>
                      <m:e>
                        <m:r>
                          <m:t>​</m:t>
                        </m:r>
                      </m:e>
                      <m:sup>
                        <m:r>
                          <m:t>f</m:t>
                        </m:r>
                      </m:sup>
                    </m:sSup>
                  </m:oMath>
                </w:p>
              </w:tc>
              <w:tc>
                <w:tcPr/>
                <w:p>
                  <w:pPr>
                    <w:pStyle w:val="Compact"/>
                    <w:jc w:val="left"/>
                    <w:jc w:val="center"/>
                  </w:pPr>
                  <w:r>
                    <w:t xml:space="preserve">HR 0.98 (0.91–1.06)</w:t>
                  </w:r>
                </w:p>
              </w:tc>
              <w:tc>
                <w:tcPr/>
                <w:p>
                  <w:pPr>
                    <w:pStyle w:val="Compact"/>
                    <w:jc w:val="left"/>
                    <w:jc w:val="center"/>
                  </w:pPr>
                  <m:oMath>
                    <m:r>
                      <m:t>.65</m:t>
                    </m:r>
                  </m:oMath>
                </w:p>
              </w:tc>
              <w:tc>
                <w:tcPr/>
                <w:p>
                  <w:pPr>
                    <w:pStyle w:val="Compact"/>
                    <w:jc w:val="left"/>
                    <w:jc w:val="center"/>
                  </w:pPr>
                  <w:r>
                    <w:t xml:space="preserve">HR 0.99 (0.91–1.07)</w:t>
                  </w:r>
                </w:p>
              </w:tc>
              <w:tc>
                <w:tcPr/>
                <w:p>
                  <w:pPr>
                    <w:pStyle w:val="Compact"/>
                    <w:jc w:val="left"/>
                    <w:jc w:val="center"/>
                  </w:pPr>
                  <m:oMath>
                    <m:r>
                      <m:t>.78</m:t>
                    </m:r>
                  </m:oMath>
                </w:p>
              </w:tc>
            </w:tr>
            <w:tr>
              <w:tc>
                <w:tcPr/>
                <w:p>
                  <w:pPr>
                    <w:pStyle w:val="Compact"/>
                    <w:jc w:val="left"/>
                    <w:jc w:val="center"/>
                  </w:pPr>
                  <w:r>
                    <w:t xml:space="preserve">    M-value</w:t>
                  </w:r>
                </w:p>
              </w:tc>
              <w:tc>
                <w:tcPr/>
                <w:p>
                  <w:pPr>
                    <w:pStyle w:val="Compact"/>
                    <w:jc w:val="left"/>
                    <w:jc w:val="center"/>
                  </w:pPr>
                  <w:r>
                    <w:t xml:space="preserve">HR 0.98 (0.91–1.05)</w:t>
                  </w:r>
                </w:p>
              </w:tc>
              <w:tc>
                <w:tcPr/>
                <w:p>
                  <w:pPr>
                    <w:pStyle w:val="Compact"/>
                    <w:jc w:val="left"/>
                    <w:jc w:val="center"/>
                  </w:pPr>
                  <m:oMath>
                    <m:r>
                      <m:t>.54</m:t>
                    </m:r>
                  </m:oMath>
                </w:p>
              </w:tc>
              <w:tc>
                <w:tcPr/>
                <w:p>
                  <w:pPr>
                    <w:pStyle w:val="Compact"/>
                    <w:jc w:val="left"/>
                    <w:jc w:val="center"/>
                  </w:pPr>
                  <w:r>
                    <w:t xml:space="preserve">HR 0.98 (0.91–1.06)</w:t>
                  </w:r>
                </w:p>
              </w:tc>
              <w:tc>
                <w:tcPr/>
                <w:p>
                  <w:pPr>
                    <w:pStyle w:val="Compact"/>
                    <w:jc w:val="left"/>
                    <w:jc w:val="center"/>
                  </w:pPr>
                  <m:oMath>
                    <m:r>
                      <m:t>.64</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1.501 (1.207–1.866)</w:t>
                  </w:r>
                </w:p>
              </w:tc>
              <w:tc>
                <w:tcPr/>
                <w:p>
                  <w:pPr>
                    <w:pStyle w:val="Compact"/>
                    <w:jc w:val="left"/>
                    <w:jc w:val="center"/>
                  </w:pPr>
                  <w:r>
                    <w:t xml:space="preserve">—</w:t>
                  </w:r>
                </w:p>
              </w:tc>
              <w:tc>
                <w:tcPr/>
                <w:p>
                  <w:pPr>
                    <w:pStyle w:val="Compact"/>
                    <w:jc w:val="left"/>
                    <w:jc w:val="center"/>
                  </w:pPr>
                  <w:r>
                    <w:t xml:space="preserve">HR 1.615 (1.239–2.106)</w:t>
                  </w:r>
                </w:p>
              </w:tc>
              <w:tc>
                <w:tcPr/>
                <w:p>
                  <w:pPr>
                    <w:pStyle w:val="Compact"/>
                    <w:jc w:val="left"/>
                    <w:jc w:val="center"/>
                  </w:pPr>
                  <m:oMath>
                    <m:r>
                      <m:rPr>
                        <m:sty m:val="p"/>
                      </m:rPr>
                      <m:t>&lt;</m:t>
                    </m:r>
                    <m:r>
                      <m:t>.001</m:t>
                    </m:r>
                  </m:oMath>
                </w:p>
              </w:tc>
            </w:tr>
            <w:tr>
              <w:tc>
                <w:tcPr/>
                <w:p>
                  <w:pPr>
                    <w:pStyle w:val="Compact"/>
                    <w:jc w:val="left"/>
                    <w:jc w:val="center"/>
                  </w:pPr>
                  <w:r>
                    <w:rPr>
                      <w:b/>
                      <w:bCs/>
                    </w:rPr>
                    <w:t xml:space="preserve">Macrovascular complications</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0.939 (0.829–1.063)</w:t>
                  </w:r>
                </w:p>
              </w:tc>
              <w:tc>
                <w:tcPr/>
                <w:p>
                  <w:pPr>
                    <w:pStyle w:val="Compact"/>
                    <w:jc w:val="left"/>
                    <w:jc w:val="center"/>
                  </w:pPr>
                  <m:oMath>
                    <m:r>
                      <m:rPr>
                        <m:sty m:val="p"/>
                      </m:rPr>
                      <m:t>&gt;</m:t>
                    </m:r>
                    <m:r>
                      <m:t>.05</m:t>
                    </m:r>
                  </m:oMath>
                </w:p>
              </w:tc>
              <w:tc>
                <w:tcPr/>
                <w:p>
                  <w:pPr>
                    <w:pStyle w:val="Compact"/>
                    <w:jc w:val="left"/>
                    <w:jc w:val="center"/>
                  </w:pPr>
                  <w:r>
                    <w:t xml:space="preserve">OR 0.896 (0.738–1.087)</w:t>
                  </w:r>
                </w:p>
              </w:tc>
              <w:tc>
                <w:tcPr/>
                <w:p>
                  <w:pPr>
                    <w:pStyle w:val="Compact"/>
                    <w:jc w:val="left"/>
                    <w:jc w:val="center"/>
                  </w:pPr>
                  <m:oMath>
                    <m:r>
                      <m:rPr>
                        <m:sty m:val="p"/>
                      </m:rPr>
                      <m:t>&gt;</m:t>
                    </m:r>
                    <m:r>
                      <m:t>.05</m:t>
                    </m:r>
                  </m:oMath>
                </w:p>
              </w:tc>
            </w:tr>
            <w:tr>
              <w:tc>
                <w:tcPr/>
                <w:p>
                  <w:pPr>
                    <w:pStyle w:val="Compact"/>
                    <w:jc w:val="left"/>
                    <w:jc w:val="center"/>
                  </w:pPr>
                  <w:r>
                    <w:t xml:space="preserve">    TITR</w:t>
                  </w:r>
                  <w:r>
                    <w:t xml:space="preserve"> </w:t>
                  </w:r>
                  <m:oMath>
                    <m:sSup>
                      <m:e>
                        <m:r>
                          <m:t>​</m:t>
                        </m:r>
                      </m:e>
                      <m:sup>
                        <m:r>
                          <m:t>h</m:t>
                        </m:r>
                      </m:sup>
                    </m:sSup>
                  </m:oMath>
                </w:p>
              </w:tc>
              <w:tc>
                <w:tcPr/>
                <w:p>
                  <w:pPr>
                    <w:pStyle w:val="Compact"/>
                    <w:jc w:val="left"/>
                    <w:jc w:val="center"/>
                  </w:pPr>
                  <w:r>
                    <w:t xml:space="preserve">OR 0.901 (0.775–1.047)</w:t>
                  </w:r>
                </w:p>
              </w:tc>
              <w:tc>
                <w:tcPr/>
                <w:p>
                  <w:pPr>
                    <w:pStyle w:val="Compact"/>
                    <w:jc w:val="left"/>
                    <w:jc w:val="center"/>
                  </w:pPr>
                  <m:oMath>
                    <m:r>
                      <m:rPr>
                        <m:sty m:val="p"/>
                      </m:rPr>
                      <m:t>&gt;</m:t>
                    </m:r>
                    <m:r>
                      <m:t>.05</m:t>
                    </m:r>
                  </m:oMath>
                </w:p>
              </w:tc>
              <w:tc>
                <w:tcPr/>
                <w:p>
                  <w:pPr>
                    <w:pStyle w:val="Compact"/>
                    <w:jc w:val="left"/>
                    <w:jc w:val="center"/>
                  </w:pPr>
                  <w:r>
                    <w:t xml:space="preserve">OR 0.933 (0.745–1.169)</w:t>
                  </w:r>
                </w:p>
              </w:tc>
              <w:tc>
                <w:tcPr/>
                <w:p>
                  <w:pPr>
                    <w:pStyle w:val="Compact"/>
                    <w:jc w:val="left"/>
                    <w:jc w:val="center"/>
                  </w:pPr>
                  <m:oMath>
                    <m:r>
                      <m:rPr>
                        <m:sty m:val="p"/>
                      </m:rPr>
                      <m:t>&gt;</m:t>
                    </m:r>
                    <m:r>
                      <m:t>.05</m:t>
                    </m:r>
                  </m:oMath>
                </w:p>
              </w:tc>
            </w:tr>
            <w:tr>
              <w:tc>
                <w:tcPr/>
                <w:p>
                  <w:pPr>
                    <w:pStyle w:val="Compact"/>
                    <w:jc w:val="left"/>
                    <w:jc w:val="center"/>
                  </w:pPr>
                  <w:r>
                    <w:t xml:space="preserve">Bezerra et al [47],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0.66 (0.46–0.93)</w:t>
                  </w:r>
                </w:p>
              </w:tc>
              <w:tc>
                <w:tcPr/>
                <w:p>
                  <w:pPr>
                    <w:pStyle w:val="Compact"/>
                    <w:jc w:val="left"/>
                    <w:jc w:val="center"/>
                  </w:pPr>
                  <m:oMath>
                    <m:r>
                      <m:t>.02</m:t>
                    </m:r>
                  </m:oMath>
                </w:p>
              </w:tc>
              <w:tc>
                <w:tcPr/>
                <w:p>
                  <w:pPr>
                    <w:pStyle w:val="Compact"/>
                    <w:jc w:val="left"/>
                    <w:jc w:val="center"/>
                  </w:pPr>
                  <w:r>
                    <w:t xml:space="preserve">OR 0.68 (0.39–1.16)</w:t>
                  </w:r>
                </w:p>
              </w:tc>
              <w:tc>
                <w:tcPr/>
                <w:p>
                  <w:pPr>
                    <w:pStyle w:val="Compact"/>
                    <w:jc w:val="left"/>
                    <w:jc w:val="center"/>
                  </w:pPr>
                  <m:oMath>
                    <m:r>
                      <m:t>.15</m:t>
                    </m:r>
                  </m:oMath>
                </w:p>
              </w:tc>
            </w:tr>
            <w:tr>
              <w:tc>
                <w:tcPr/>
                <w:p>
                  <w:pPr>
                    <w:pStyle w:val="Compact"/>
                    <w:jc w:val="left"/>
                    <w:jc w:val="center"/>
                  </w:pPr>
                  <w:r>
                    <w:t xml:space="preserve">    Time below 54 mg/dL</w:t>
                  </w:r>
                </w:p>
              </w:tc>
              <w:tc>
                <w:tcPr/>
                <w:p>
                  <w:pPr>
                    <w:pStyle w:val="Compact"/>
                    <w:jc w:val="left"/>
                    <w:jc w:val="center"/>
                  </w:pPr>
                  <w:r>
                    <w:t xml:space="preserve">OR 1.10 (0.88–1.38)</w:t>
                  </w:r>
                </w:p>
              </w:tc>
              <w:tc>
                <w:tcPr/>
                <w:p>
                  <w:pPr>
                    <w:pStyle w:val="Compact"/>
                    <w:jc w:val="left"/>
                    <w:jc w:val="center"/>
                  </w:pPr>
                  <m:oMath>
                    <m:r>
                      <m:t>.39</m:t>
                    </m:r>
                  </m:oMath>
                </w:p>
              </w:tc>
              <w:tc>
                <w:tcPr/>
                <w:p>
                  <w:pPr>
                    <w:pStyle w:val="Compact"/>
                    <w:jc w:val="left"/>
                    <w:jc w:val="center"/>
                  </w:pPr>
                  <w:r>
                    <w:t xml:space="preserve">OR 0.92 (0.62–1.34)</w:t>
                  </w:r>
                </w:p>
              </w:tc>
              <w:tc>
                <w:tcPr/>
                <w:p>
                  <w:pPr>
                    <w:pStyle w:val="Compact"/>
                    <w:jc w:val="left"/>
                    <w:jc w:val="center"/>
                  </w:pPr>
                  <m:oMath>
                    <m:r>
                      <m:t>.65</m:t>
                    </m:r>
                  </m:oMath>
                </w:p>
              </w:tc>
            </w:tr>
            <w:tr>
              <w:tc>
                <w:tcPr/>
                <w:p>
                  <w:pPr>
                    <w:pStyle w:val="Compact"/>
                    <w:jc w:val="left"/>
                    <w:jc w:val="center"/>
                  </w:pPr>
                  <w:r>
                    <w:t xml:space="preserve">    TBR</w:t>
                  </w:r>
                  <w:r>
                    <w:t xml:space="preserve"> </w:t>
                  </w:r>
                  <m:oMath>
                    <m:sSup>
                      <m:e>
                        <m:r>
                          <m:t>​</m:t>
                        </m:r>
                      </m:e>
                      <m:sup>
                        <m:r>
                          <m:t>i</m:t>
                        </m:r>
                      </m:sup>
                    </m:sSup>
                  </m:oMath>
                </w:p>
              </w:tc>
              <w:tc>
                <w:tcPr/>
                <w:p>
                  <w:pPr>
                    <w:pStyle w:val="Compact"/>
                    <w:jc w:val="left"/>
                    <w:jc w:val="center"/>
                  </w:pPr>
                  <w:r>
                    <w:t xml:space="preserve">OR 0.93 (0.80–1.09)</w:t>
                  </w:r>
                </w:p>
              </w:tc>
              <w:tc>
                <w:tcPr/>
                <w:p>
                  <w:pPr>
                    <w:pStyle w:val="Compact"/>
                    <w:jc w:val="left"/>
                    <w:jc w:val="center"/>
                  </w:pPr>
                  <m:oMath>
                    <m:r>
                      <m:t>.39</m:t>
                    </m:r>
                  </m:oMath>
                </w:p>
              </w:tc>
              <w:tc>
                <w:tcPr/>
                <w:p>
                  <w:pPr>
                    <w:pStyle w:val="Compact"/>
                    <w:jc w:val="left"/>
                    <w:jc w:val="center"/>
                  </w:pPr>
                  <w:r>
                    <w:t xml:space="preserve">OR 0.77 (0.54–1.11)</w:t>
                  </w:r>
                </w:p>
              </w:tc>
              <w:tc>
                <w:tcPr/>
                <w:p>
                  <w:pPr>
                    <w:pStyle w:val="Compact"/>
                    <w:jc w:val="left"/>
                    <w:jc w:val="center"/>
                  </w:pPr>
                  <m:oMath>
                    <m:r>
                      <m:t>.17</m:t>
                    </m:r>
                  </m:oMath>
                </w:p>
              </w:tc>
            </w:tr>
            <w:tr>
              <w:tc>
                <w:tcPr/>
                <w:p>
                  <w:pPr>
                    <w:pStyle w:val="Compact"/>
                    <w:jc w:val="left"/>
                    <w:jc w:val="center"/>
                  </w:pPr>
                  <w:r>
                    <w:t xml:space="preserve">    TAR</w:t>
                  </w:r>
                  <w:r>
                    <w:t xml:space="preserve"> </w:t>
                  </w:r>
                  <m:oMath>
                    <m:sSup>
                      <m:e>
                        <m:r>
                          <m:t>​</m:t>
                        </m:r>
                      </m:e>
                      <m:sup>
                        <m:r>
                          <m:t>j</m:t>
                        </m:r>
                      </m:sup>
                    </m:sSup>
                  </m:oMath>
                </w:p>
              </w:tc>
              <w:tc>
                <w:tcPr/>
                <w:p>
                  <w:pPr>
                    <w:pStyle w:val="Compact"/>
                    <w:jc w:val="left"/>
                    <w:jc w:val="center"/>
                  </w:pPr>
                  <w:r>
                    <w:t xml:space="preserve">OR 1.04 (1.01–1.08)</w:t>
                  </w:r>
                </w:p>
              </w:tc>
              <w:tc>
                <w:tcPr/>
                <w:p>
                  <w:pPr>
                    <w:pStyle w:val="Compact"/>
                    <w:jc w:val="left"/>
                    <w:jc w:val="center"/>
                  </w:pPr>
                  <m:oMath>
                    <m:r>
                      <m:t>.01</m:t>
                    </m:r>
                  </m:oMath>
                </w:p>
              </w:tc>
              <w:tc>
                <w:tcPr/>
                <w:p>
                  <w:pPr>
                    <w:pStyle w:val="Compact"/>
                    <w:jc w:val="left"/>
                    <w:jc w:val="center"/>
                  </w:pPr>
                  <w:r>
                    <w:t xml:space="preserve">OR 1.04 (0.99–1.10)</w:t>
                  </w:r>
                </w:p>
              </w:tc>
              <w:tc>
                <w:tcPr/>
                <w:p>
                  <w:pPr>
                    <w:pStyle w:val="Compact"/>
                    <w:jc w:val="left"/>
                    <w:jc w:val="center"/>
                  </w:pPr>
                  <m:oMath>
                    <m:r>
                      <m:t>.08</m:t>
                    </m:r>
                  </m:oMath>
                </w:p>
              </w:tc>
            </w:tr>
            <w:tr>
              <w:tc>
                <w:tcPr/>
                <w:p>
                  <w:pPr>
                    <w:pStyle w:val="Compact"/>
                    <w:jc w:val="left"/>
                    <w:jc w:val="center"/>
                  </w:pPr>
                  <w:r>
                    <w:t xml:space="preserve">    Time above 250 mg/dL</w:t>
                  </w:r>
                </w:p>
              </w:tc>
              <w:tc>
                <w:tcPr/>
                <w:p>
                  <w:pPr>
                    <w:pStyle w:val="Compact"/>
                    <w:jc w:val="left"/>
                    <w:jc w:val="center"/>
                  </w:pPr>
                  <w:r>
                    <w:t xml:space="preserve">OR 1.04 (1.00–1.08)</w:t>
                  </w:r>
                </w:p>
              </w:tc>
              <w:tc>
                <w:tcPr/>
                <w:p>
                  <w:pPr>
                    <w:pStyle w:val="Compact"/>
                    <w:jc w:val="left"/>
                    <w:jc w:val="center"/>
                  </w:pPr>
                  <m:oMath>
                    <m:r>
                      <m:t>.03</m:t>
                    </m:r>
                  </m:oMath>
                </w:p>
              </w:tc>
              <w:tc>
                <w:tcPr/>
                <w:p>
                  <w:pPr>
                    <w:pStyle w:val="Compact"/>
                    <w:jc w:val="left"/>
                    <w:jc w:val="center"/>
                  </w:pPr>
                  <w:r>
                    <w:t xml:space="preserve">OR 1.03 (0.97–1.09)</w:t>
                  </w:r>
                </w:p>
              </w:tc>
              <w:tc>
                <w:tcPr/>
                <w:p>
                  <w:pPr>
                    <w:pStyle w:val="Compact"/>
                    <w:jc w:val="left"/>
                    <w:jc w:val="center"/>
                  </w:pPr>
                  <m:oMath>
                    <m:r>
                      <m:t>.29</m:t>
                    </m:r>
                  </m:oMath>
                </w:p>
              </w:tc>
            </w:tr>
            <w:tr>
              <w:tc>
                <w:tcPr/>
                <w:p>
                  <w:pPr>
                    <w:pStyle w:val="Compact"/>
                    <w:jc w:val="left"/>
                    <w:jc w:val="center"/>
                  </w:pPr>
                  <w:r>
                    <w:t xml:space="preserve">    CV</w:t>
                  </w:r>
                  <w:r>
                    <w:t xml:space="preserve"> </w:t>
                  </w:r>
                  <m:oMath>
                    <m:sSup>
                      <m:e>
                        <m:r>
                          <m:t>​</m:t>
                        </m:r>
                      </m:e>
                      <m:sup>
                        <m:r>
                          <m:t>k</m:t>
                        </m:r>
                      </m:sup>
                    </m:sSup>
                  </m:oMath>
                </w:p>
              </w:tc>
              <w:tc>
                <w:tcPr/>
                <w:p>
                  <w:pPr>
                    <w:pStyle w:val="Compact"/>
                    <w:jc w:val="left"/>
                    <w:jc w:val="center"/>
                  </w:pPr>
                  <w:r>
                    <w:t xml:space="preserve">OR 1.03 (0.95–1.11)</w:t>
                  </w:r>
                </w:p>
              </w:tc>
              <w:tc>
                <w:tcPr/>
                <w:p>
                  <w:pPr>
                    <w:pStyle w:val="Compact"/>
                    <w:jc w:val="left"/>
                    <w:jc w:val="center"/>
                  </w:pPr>
                  <m:oMath>
                    <m:r>
                      <m:t>.52</m:t>
                    </m:r>
                  </m:oMath>
                </w:p>
              </w:tc>
              <w:tc>
                <w:tcPr/>
                <w:p>
                  <w:pPr>
                    <w:pStyle w:val="Compact"/>
                    <w:jc w:val="left"/>
                    <w:jc w:val="center"/>
                  </w:pPr>
                  <w:r>
                    <w:t xml:space="preserve">OR 0.92 (0.81–1.06)</w:t>
                  </w:r>
                </w:p>
              </w:tc>
              <w:tc>
                <w:tcPr/>
                <w:p>
                  <w:pPr>
                    <w:pStyle w:val="Compact"/>
                    <w:jc w:val="left"/>
                    <w:jc w:val="center"/>
                  </w:pPr>
                  <m:oMath>
                    <m:r>
                      <m:t>.25</m:t>
                    </m:r>
                  </m:oMath>
                </w:p>
              </w:tc>
            </w:tr>
            <w:tr>
              <w:tc>
                <w:tcPr/>
                <w:p>
                  <w:pPr>
                    <w:pStyle w:val="Compact"/>
                    <w:jc w:val="left"/>
                    <w:jc w:val="center"/>
                  </w:pPr>
                  <w:r>
                    <w:t xml:space="preserve">    GMI</w:t>
                  </w:r>
                </w:p>
              </w:tc>
              <w:tc>
                <w:tcPr/>
                <w:p>
                  <w:pPr>
                    <w:pStyle w:val="Compact"/>
                    <w:jc w:val="left"/>
                    <w:jc w:val="center"/>
                  </w:pPr>
                  <w:r>
                    <w:t xml:space="preserve">OR 2.17 (1.14–4.11)</w:t>
                  </w:r>
                </w:p>
              </w:tc>
              <w:tc>
                <w:tcPr/>
                <w:p>
                  <w:pPr>
                    <w:pStyle w:val="Compact"/>
                    <w:jc w:val="left"/>
                    <w:jc w:val="center"/>
                  </w:pPr>
                  <m:oMath>
                    <m:r>
                      <m:t>.02</m:t>
                    </m:r>
                  </m:oMath>
                </w:p>
              </w:tc>
              <w:tc>
                <w:tcPr/>
                <w:p>
                  <w:pPr>
                    <w:pStyle w:val="Compact"/>
                    <w:jc w:val="left"/>
                    <w:jc w:val="center"/>
                  </w:pPr>
                  <w:r>
                    <w:t xml:space="preserve">OR 2.03 (0.77–5.37)</w:t>
                  </w:r>
                </w:p>
              </w:tc>
              <w:tc>
                <w:tcPr/>
                <w:p>
                  <w:pPr>
                    <w:pStyle w:val="Compact"/>
                    <w:jc w:val="left"/>
                    <w:jc w:val="center"/>
                  </w:pPr>
                  <m:oMath>
                    <m:r>
                      <m:t>.15</m:t>
                    </m:r>
                  </m:oMath>
                </w:p>
              </w:tc>
            </w:tr>
            <w:tr>
              <w:tc>
                <w:tcPr/>
                <w:p>
                  <w:pPr>
                    <w:pStyle w:val="Compact"/>
                    <w:jc w:val="left"/>
                    <w:jc w:val="center"/>
                  </w:pPr>
                  <w:r>
                    <w:t xml:space="preserve">Deng et al [49],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 </w:t>
                  </w:r>
                  <m:oMath>
                    <m:r>
                      <m:rPr>
                        <m:sty m:val="p"/>
                      </m:rPr>
                      <m:t>%</m:t>
                    </m:r>
                    <m:r>
                      <m:t>C</m:t>
                    </m:r>
                    <m:r>
                      <m:t>V</m:t>
                    </m:r>
                  </m:oMath>
                  <w:r>
                    <w:t xml:space="preserve"> </w:t>
                  </w:r>
                  <w:r>
                    <w:t xml:space="preserve">tertile 1 (Hp1;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1 (Hp2-2; reference)</w:t>
                  </w:r>
                </w:p>
              </w:tc>
              <w:tc>
                <w:tcPr/>
                <w:p>
                  <w:pPr>
                    <w:pStyle w:val="Compact"/>
                    <w:jc w:val="left"/>
                    <w:jc w:val="center"/>
                  </w:pPr>
                  <w:r>
                    <w:t xml:space="preserve">OR 1.000</w:t>
                  </w:r>
                </w:p>
              </w:tc>
              <w:tc>
                <w:tcPr/>
                <w:p>
                  <w:pPr>
                    <w:pStyle w:val="Compact"/>
                    <w:jc w:val="left"/>
                    <w:jc w:val="center"/>
                  </w:pPr>
                  <m:oMath>
                    <m:r>
                      <m:t>.07</m:t>
                    </m:r>
                  </m:oMath>
                  <w:r>
                    <w:t xml:space="preserve"> </w:t>
                  </w:r>
                  <w:r>
                    <w:t xml:space="preserve">(interaction)</w:t>
                  </w:r>
                </w:p>
              </w:tc>
              <w:tc>
                <w:tcPr/>
                <w:p>
                  <w:pPr>
                    <w:pStyle w:val="Compact"/>
                    <w:jc w:val="left"/>
                    <w:jc w:val="center"/>
                  </w:pPr>
                  <w:r>
                    <w:t xml:space="preserve">OR 1.000</w:t>
                  </w:r>
                </w:p>
              </w:tc>
              <w:tc>
                <w:tcPr/>
                <w:p>
                  <w:pPr>
                    <w:pStyle w:val="Compact"/>
                    <w:jc w:val="left"/>
                    <w:jc w:val="center"/>
                  </w:pPr>
                  <m:oMath>
                    <m:r>
                      <m:t>.008</m:t>
                    </m:r>
                  </m:oMath>
                  <w:r>
                    <w:t xml:space="preserve"> </w:t>
                  </w:r>
                  <w:r>
                    <w:t xml:space="preserve">(interaction)</w:t>
                  </w:r>
                </w:p>
              </w:tc>
            </w:tr>
            <w:tr>
              <w:tc>
                <w:tcPr/>
                <w:p>
                  <w:pPr>
                    <w:pStyle w:val="Compact"/>
                    <w:jc w:val="left"/>
                    <w:jc w:val="center"/>
                  </w:pPr>
                  <w:r>
                    <w:t xml:space="preserve">   </w:t>
                  </w:r>
                  <w:r>
                    <w:t xml:space="preserve"> </w:t>
                  </w:r>
                  <m:oMath>
                    <m:r>
                      <m:rPr>
                        <m:sty m:val="p"/>
                      </m:rPr>
                      <m:t>%</m:t>
                    </m:r>
                    <m:r>
                      <m:t>C</m:t>
                    </m:r>
                    <m:r>
                      <m:t>V</m:t>
                    </m:r>
                  </m:oMath>
                  <w:r>
                    <w:t xml:space="preserve"> </w:t>
                  </w:r>
                  <w:r>
                    <w:t xml:space="preserve">tertile 2 (Hp1)</w:t>
                  </w:r>
                </w:p>
              </w:tc>
              <w:tc>
                <w:tcPr/>
                <w:p>
                  <w:pPr>
                    <w:pStyle w:val="Compact"/>
                    <w:jc w:val="left"/>
                    <w:jc w:val="center"/>
                  </w:pPr>
                  <w:r>
                    <w:t xml:space="preserve">OR 1.483 (0.907–2.423)</w:t>
                  </w:r>
                </w:p>
              </w:tc>
              <w:tc>
                <w:tcPr/>
                <w:p>
                  <w:pPr>
                    <w:pStyle w:val="Compact"/>
                    <w:jc w:val="left"/>
                    <w:jc w:val="center"/>
                  </w:pPr>
                  <m:oMath>
                    <m:r>
                      <m:t>.12</m:t>
                    </m:r>
                  </m:oMath>
                </w:p>
              </w:tc>
              <w:tc>
                <w:tcPr/>
                <w:p>
                  <w:pPr>
                    <w:pStyle w:val="Compact"/>
                    <w:jc w:val="left"/>
                    <w:jc w:val="center"/>
                  </w:pPr>
                  <w:r>
                    <w:t xml:space="preserve">OR 1.048 (0.528–2.078)</w:t>
                  </w:r>
                </w:p>
              </w:tc>
              <w:tc>
                <w:tcPr/>
                <w:p>
                  <w:pPr>
                    <w:pStyle w:val="Compact"/>
                    <w:jc w:val="left"/>
                    <w:jc w:val="center"/>
                  </w:pPr>
                  <m:oMath>
                    <m:r>
                      <m:t>.89</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2 (Hp2-2)</w:t>
                  </w:r>
                </w:p>
              </w:tc>
              <w:tc>
                <w:tcPr/>
                <w:p>
                  <w:pPr>
                    <w:pStyle w:val="Compact"/>
                    <w:jc w:val="left"/>
                    <w:jc w:val="center"/>
                  </w:pPr>
                  <w:r>
                    <w:t xml:space="preserve">OR 1.399 (0.829–2.358)</w:t>
                  </w:r>
                </w:p>
              </w:tc>
              <w:tc>
                <w:tcPr/>
                <w:p>
                  <w:pPr>
                    <w:pStyle w:val="Compact"/>
                    <w:jc w:val="left"/>
                    <w:jc w:val="center"/>
                  </w:pPr>
                  <m:oMath>
                    <m:r>
                      <m:t>.21</m:t>
                    </m:r>
                  </m:oMath>
                </w:p>
              </w:tc>
              <w:tc>
                <w:tcPr/>
                <w:p>
                  <w:pPr>
                    <w:pStyle w:val="Compact"/>
                    <w:jc w:val="left"/>
                    <w:jc w:val="center"/>
                  </w:pPr>
                  <w:r>
                    <w:t xml:space="preserve">OR 0.659 (0.296–1.466)</w:t>
                  </w:r>
                </w:p>
              </w:tc>
              <w:tc>
                <w:tcPr/>
                <w:p>
                  <w:pPr>
                    <w:pStyle w:val="Compact"/>
                    <w:jc w:val="left"/>
                    <w:jc w:val="center"/>
                  </w:pPr>
                  <m:oMath>
                    <m:r>
                      <m:t>.31</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(Hp1)</w:t>
                  </w:r>
                </w:p>
              </w:tc>
              <w:tc>
                <w:tcPr/>
                <w:p>
                  <w:pPr>
                    <w:pStyle w:val="Compact"/>
                    <w:jc w:val="left"/>
                    <w:jc w:val="center"/>
                  </w:pPr>
                  <w:r>
                    <w:t xml:space="preserve">OR 2.347 (1.393–3.957)</w:t>
                  </w:r>
                </w:p>
              </w:tc>
              <w:tc>
                <w:tcPr/>
                <w:p>
                  <w:pPr>
                    <w:pStyle w:val="Compact"/>
                    <w:jc w:val="left"/>
                    <w:jc w:val="center"/>
                  </w:pPr>
                  <m:oMath>
                    <m:r>
                      <m:t>.001</m:t>
                    </m:r>
                  </m:oMath>
                </w:p>
              </w:tc>
              <w:tc>
                <w:tcPr/>
                <w:p>
                  <w:pPr>
                    <w:pStyle w:val="Compact"/>
                    <w:jc w:val="left"/>
                    <w:jc w:val="center"/>
                  </w:pPr>
                  <w:r>
                    <w:t xml:space="preserve">OR 2.461 (1.183–5.121)</w:t>
                  </w:r>
                </w:p>
              </w:tc>
              <w:tc>
                <w:tcPr/>
                <w:p>
                  <w:pPr>
                    <w:pStyle w:val="Compact"/>
                    <w:jc w:val="left"/>
                    <w:jc w:val="center"/>
                  </w:pPr>
                  <m:oMath>
                    <m:r>
                      <m:t>.02</m:t>
                    </m:r>
                  </m:oMath>
                </w:p>
              </w:tc>
            </w:tr>
            <w:tr>
              <w:tc>
                <w:tcPr/>
                <w:p>
                  <w:pPr>
                    <w:pStyle w:val="Compact"/>
                    <w:jc w:val="left"/>
                    <w:jc w:val="center"/>
                  </w:pPr>
                  <w:r>
                    <w:t xml:space="preserve">   </w:t>
                  </w:r>
                  <w:r>
                    <w:t xml:space="preserve"> </w:t>
                  </w:r>
                  <m:oMath>
                    <m:r>
                      <m:rPr>
                        <m:sty m:val="p"/>
                      </m:rPr>
                      <m:t>%</m:t>
                    </m:r>
                    <m:r>
                      <m:t>C</m:t>
                    </m:r>
                    <m:r>
                      <m:t>V</m:t>
                    </m:r>
                  </m:oMath>
                  <w:r>
                    <w:t xml:space="preserve"> </w:t>
                  </w:r>
                  <w:r>
                    <w:t xml:space="preserve">tertile 3 (Hp2-2)</w:t>
                  </w:r>
                </w:p>
              </w:tc>
              <w:tc>
                <w:tcPr/>
                <w:p>
                  <w:pPr>
                    <w:pStyle w:val="Compact"/>
                    <w:jc w:val="left"/>
                    <w:jc w:val="center"/>
                  </w:pPr>
                  <w:r>
                    <w:t xml:space="preserve">OR 1.217 (0.731–2.027)</w:t>
                  </w:r>
                </w:p>
              </w:tc>
              <w:tc>
                <w:tcPr/>
                <w:p>
                  <w:pPr>
                    <w:pStyle w:val="Compact"/>
                    <w:jc w:val="left"/>
                    <w:jc w:val="center"/>
                  </w:pPr>
                  <m:oMath>
                    <m:r>
                      <m:t>.45</m:t>
                    </m:r>
                  </m:oMath>
                </w:p>
              </w:tc>
              <w:tc>
                <w:tcPr/>
                <w:p>
                  <w:pPr>
                    <w:pStyle w:val="Compact"/>
                    <w:jc w:val="left"/>
                    <w:jc w:val="center"/>
                  </w:pPr>
                  <w:r>
                    <w:t xml:space="preserve">OR 0.540 (0.245–1.191)</w:t>
                  </w:r>
                </w:p>
              </w:tc>
              <w:tc>
                <w:tcPr/>
                <w:p>
                  <w:pPr>
                    <w:pStyle w:val="Compact"/>
                    <w:jc w:val="left"/>
                    <w:jc w:val="center"/>
                  </w:pPr>
                  <m:oMath>
                    <m:r>
                      <m:t>.13</m:t>
                    </m:r>
                  </m:oMath>
                </w:p>
              </w:tc>
            </w:tr>
            <w:tr>
              <w:tc>
                <w:tcPr/>
                <w:p>
                  <w:pPr>
                    <w:pStyle w:val="Compact"/>
                    <w:jc w:val="left"/>
                    <w:jc w:val="center"/>
                  </w:pPr>
                  <w:r>
                    <w:t xml:space="preserve">El Malahi et al [50], 2022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SD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    CV</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rPr>
                        <m:sty m:val="p"/>
                      </m:rPr>
                      <m:t>&gt;</m:t>
                    </m:r>
                    <m:r>
                      <m:t>.05</m:t>
                    </m:r>
                  </m:oMath>
                </w:p>
              </w:tc>
            </w:tr>
            <w:tr>
              <w:tc>
                <w:tcPr/>
                <w:p>
                  <w:pPr>
                    <w:pStyle w:val="Compact"/>
                    <w:jc w:val="left"/>
                    <w:jc w:val="center"/>
                  </w:pPr>
                  <w:r>
                    <w:t xml:space="preserve">Magri et al [27]</w:t>
                  </w:r>
                  <m:oMath>
                    <m:sSup>
                      <m:e>
                        <m:r>
                          <m:t>​</m:t>
                        </m:r>
                      </m:e>
                      <m:sup>
                        <m:r>
                          <m:t>g</m:t>
                        </m:r>
                      </m:sup>
                    </m:sSup>
                  </m:oMath>
                  <w:r>
                    <w:t xml:space="preserve">, 2018</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TBR</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1.12 (1.014–1.228)</w:t>
                  </w:r>
                </w:p>
              </w:tc>
              <w:tc>
                <w:tcPr/>
                <w:p>
                  <w:pPr>
                    <w:pStyle w:val="Compact"/>
                    <w:jc w:val="left"/>
                    <w:jc w:val="center"/>
                  </w:pPr>
                  <m:oMath>
                    <m:r>
                      <m:t>.02</m:t>
                    </m:r>
                  </m:oMath>
                </w:p>
              </w:tc>
            </w:tr>
            <w:tr>
              <w:tc>
                <w:tcPr/>
                <w:p>
                  <w:pPr>
                    <w:pStyle w:val="Compact"/>
                    <w:jc w:val="left"/>
                    <w:jc w:val="center"/>
                  </w:pPr>
                  <w:r>
                    <w:t xml:space="preserve">    Lowest BG</w:t>
                  </w:r>
                  <w:r>
                    <w:t xml:space="preserve"> </w:t>
                  </w:r>
                  <m:oMath>
                    <m:sSup>
                      <m:e>
                        <m:r>
                          <m:t>​</m:t>
                        </m:r>
                      </m:e>
                      <m:sup>
                        <m:r>
                          <m:t>l</m:t>
                        </m:r>
                      </m:sup>
                    </m:sSup>
                  </m:oMath>
                  <w:r>
                    <w:t xml:space="preserve"> </w:t>
                  </w:r>
                  <w:r>
                    <w:t xml:space="preserve">value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t xml:space="preserve">    Area under the TBR curve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r>
            <w:tr>
              <w:tc>
                <w:tcPr/>
                <w:p>
                  <w:pPr>
                    <w:pStyle w:val="Compact"/>
                    <w:jc w:val="left"/>
                    <w:jc w:val="center"/>
                  </w:pPr>
                  <w:r>
                    <w:rPr>
                      <w:b/>
                      <w:bCs/>
                    </w:rPr>
                    <w:t xml:space="preserve">Coronary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1.039 (0.812–1.330)</w:t>
                  </w:r>
                </w:p>
              </w:tc>
              <w:tc>
                <w:tcPr/>
                <w:p>
                  <w:pPr>
                    <w:pStyle w:val="Compact"/>
                    <w:jc w:val="left"/>
                    <w:jc w:val="center"/>
                  </w:pPr>
                  <m:oMath>
                    <m:r>
                      <m:rPr>
                        <m:sty m:val="p"/>
                      </m:rPr>
                      <m:t>&gt;</m:t>
                    </m:r>
                    <m:r>
                      <m:t>.05</m:t>
                    </m:r>
                  </m:oMath>
                </w:p>
              </w:tc>
              <w:tc>
                <w:tcPr/>
                <w:p>
                  <w:pPr>
                    <w:pStyle w:val="Compact"/>
                    <w:jc w:val="left"/>
                    <w:jc w:val="center"/>
                  </w:pPr>
                  <w:r>
                    <w:t xml:space="preserve">OR 1.255 (0.874–1.803)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1.072 (0.866–1.328)</w:t>
                  </w:r>
                </w:p>
              </w:tc>
              <w:tc>
                <w:tcPr/>
                <w:p>
                  <w:pPr>
                    <w:pStyle w:val="Compact"/>
                    <w:jc w:val="left"/>
                    <w:jc w:val="center"/>
                  </w:pPr>
                  <m:oMath>
                    <m:r>
                      <m:rPr>
                        <m:sty m:val="p"/>
                      </m:rPr>
                      <m:t>&gt;</m:t>
                    </m:r>
                    <m:r>
                      <m:t>.05</m:t>
                    </m:r>
                  </m:oMath>
                </w:p>
              </w:tc>
              <w:tc>
                <w:tcPr/>
                <w:p>
                  <w:pPr>
                    <w:pStyle w:val="Compact"/>
                    <w:jc w:val="left"/>
                    <w:jc w:val="center"/>
                  </w:pPr>
                  <w:r>
                    <w:t xml:space="preserve">OR 1.164 (0.844–1.607)</w:t>
                  </w:r>
                </w:p>
              </w:tc>
              <w:tc>
                <w:tcPr/>
                <w:p>
                  <w:pPr>
                    <w:pStyle w:val="Compact"/>
                    <w:jc w:val="left"/>
                    <w:jc w:val="center"/>
                  </w:pPr>
                  <m:oMath>
                    <m:r>
                      <m:rPr>
                        <m:sty m:val="p"/>
                      </m:rPr>
                      <m:t>&gt;</m:t>
                    </m:r>
                    <m:r>
                      <m:t>.05</m:t>
                    </m:r>
                  </m:oMath>
                </w:p>
              </w:tc>
            </w:tr>
            <w:tr>
              <w:tc>
                <w:tcPr/>
                <w:p>
                  <w:pPr>
                    <w:pStyle w:val="Compact"/>
                    <w:jc w:val="left"/>
                    <w:jc w:val="center"/>
                  </w:pPr>
                  <w:r>
                    <w:t xml:space="preserve">Sheng et al [53], 2023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r>
                    <w:t xml:space="preserve"> </w:t>
                  </w:r>
                  <m:oMath>
                    <m:r>
                      <m:rPr>
                        <m:sty m:val="p"/>
                      </m:rPr>
                      <m:t>&lt;</m:t>
                    </m:r>
                    <m:r>
                      <m:t>20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2.143 (1.554–3.287)</w:t>
                  </w:r>
                </w:p>
              </w:tc>
              <w:tc>
                <w:tcPr/>
                <w:p>
                  <w:pPr>
                    <w:pStyle w:val="Compact"/>
                    <w:jc w:val="left"/>
                    <w:jc w:val="center"/>
                  </w:pPr>
                  <w:r>
                    <w:t xml:space="preserve">—</w:t>
                  </w:r>
                </w:p>
              </w:tc>
            </w:tr>
            <w:tr>
              <w:tc>
                <w:tcPr/>
                <w:p>
                  <w:pPr>
                    <w:pStyle w:val="Compact"/>
                    <w:jc w:val="left"/>
                    <w:jc w:val="center"/>
                  </w:pPr>
                  <w:r>
                    <w:t xml:space="preserve">    TIR</w:t>
                  </w:r>
                  <w:r>
                    <w:t xml:space="preserve"> </w:t>
                  </w:r>
                  <m:oMath>
                    <m:r>
                      <m:t>20</m:t>
                    </m:r>
                    <m:r>
                      <m:rPr>
                        <m:sty m:val="p"/>
                      </m:rPr>
                      <m:t>%</m:t>
                    </m:r>
                    <m:r>
                      <m:rPr>
                        <m:sty m:val="p"/>
                      </m:rPr>
                      <m:t>−</m:t>
                    </m:r>
                    <m:r>
                      <m:t>40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1.049 (0.945–2.022)</w:t>
                  </w:r>
                </w:p>
              </w:tc>
              <w:tc>
                <w:tcPr/>
                <w:p>
                  <w:pPr>
                    <w:pStyle w:val="Compact"/>
                    <w:jc w:val="left"/>
                    <w:jc w:val="center"/>
                  </w:pPr>
                  <w:r>
                    <w:t xml:space="preserve">—</w:t>
                  </w:r>
                </w:p>
              </w:tc>
            </w:tr>
            <w:tr>
              <w:tc>
                <w:tcPr/>
                <w:p>
                  <w:pPr>
                    <w:pStyle w:val="Compact"/>
                    <w:jc w:val="left"/>
                    <w:jc w:val="center"/>
                  </w:pPr>
                  <w:r>
                    <w:t xml:space="preserve">    TIR</w:t>
                  </w:r>
                  <w:r>
                    <w:t xml:space="preserve"> </w:t>
                  </w:r>
                  <m:oMath>
                    <m:r>
                      <m:t>40</m:t>
                    </m:r>
                    <m:r>
                      <m:rPr>
                        <m:sty m:val="p"/>
                      </m:rPr>
                      <m:t>%</m:t>
                    </m:r>
                    <m:r>
                      <m:rPr>
                        <m:sty m:val="p"/>
                      </m:rPr>
                      <m:t>−</m:t>
                    </m:r>
                    <m:r>
                      <m:t>60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0.854 (0.495–1.473)</w:t>
                  </w:r>
                </w:p>
              </w:tc>
              <w:tc>
                <w:tcPr/>
                <w:p>
                  <w:pPr>
                    <w:pStyle w:val="Compact"/>
                    <w:jc w:val="left"/>
                    <w:jc w:val="center"/>
                  </w:pPr>
                  <w:r>
                    <w:t xml:space="preserve">—</w:t>
                  </w:r>
                </w:p>
              </w:tc>
            </w:tr>
            <w:tr>
              <w:tc>
                <w:tcPr/>
                <w:p>
                  <w:pPr>
                    <w:pStyle w:val="Compact"/>
                    <w:jc w:val="left"/>
                    <w:jc w:val="center"/>
                  </w:pPr>
                  <w:r>
                    <w:t xml:space="preserve">    TIR</w:t>
                  </w:r>
                  <w:r>
                    <w:t xml:space="preserve"> </w:t>
                  </w:r>
                  <m:oMath>
                    <m:r>
                      <m:t>60</m:t>
                    </m:r>
                    <m:r>
                      <m:rPr>
                        <m:sty m:val="p"/>
                      </m:rPr>
                      <m:t>%</m:t>
                    </m:r>
                    <m:r>
                      <m:rPr>
                        <m:sty m:val="p"/>
                      </m:rPr>
                      <m: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0.617 (0.423–1.312)</w:t>
                  </w:r>
                </w:p>
              </w:tc>
              <w:tc>
                <w:tcPr/>
                <w:p>
                  <w:pPr>
                    <w:pStyle w:val="Compact"/>
                    <w:jc w:val="left"/>
                    <w:jc w:val="center"/>
                  </w:pPr>
                  <w:r>
                    <w:t xml:space="preserve">—</w:t>
                  </w:r>
                </w:p>
              </w:tc>
            </w:tr>
            <w:tr>
              <w:tc>
                <w:tcPr/>
                <w:p>
                  <w:pPr>
                    <w:pStyle w:val="Compact"/>
                    <w:jc w:val="left"/>
                    <w:jc w:val="center"/>
                  </w:pPr>
                  <w:r>
                    <w:t xml:space="preserve">    TIR</w:t>
                  </w:r>
                  <w:r>
                    <w:t xml:space="preserve"> </w:t>
                  </w:r>
                  <m:oMath>
                    <m:r>
                      <m:rPr>
                        <m:sty m:val="p"/>
                      </m:rPr>
                      <m:t>&gt;</m:t>
                    </m:r>
                    <m:r>
                      <m:t>80</m:t>
                    </m:r>
                    <m:r>
                      <m:rPr>
                        <m:sty m:val="p"/>
                      </m:rPr>
                      <m:t>%</m:t>
                    </m:r>
                  </m:oMath>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0.470 (0.143–1.545)</w:t>
                  </w:r>
                </w:p>
              </w:tc>
              <w:tc>
                <w:tcPr/>
                <w:p>
                  <w:pPr>
                    <w:pStyle w:val="Compact"/>
                    <w:jc w:val="left"/>
                    <w:jc w:val="center"/>
                  </w:pPr>
                  <w:r>
                    <w:t xml:space="preserve">—</w:t>
                  </w: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sSup>
                      <m:e>
                        <m:r>
                          <m:t>​</m:t>
                        </m:r>
                      </m:e>
                      <m:sup>
                        <m:r>
                          <m:t>m</m:t>
                        </m:r>
                      </m:sup>
                    </m:sSup>
                  </m:oMath>
                  <w:r>
                    <w:t xml:space="preserve"> </w:t>
                  </w:r>
                  <m:oMath>
                    <m:r>
                      <m:rPr>
                        <m:sty m:val="p"/>
                      </m:rPr>
                      <m:t>&lt;</m:t>
                    </m:r>
                    <m:r>
                      <m:t>3.90</m:t>
                    </m:r>
                  </m:oMath>
                  <w:r>
                    <w:t xml:space="preserve"> </w:t>
                  </w:r>
                  <w:r>
                    <w:t xml:space="preserve">mmol/L, LAGE</w:t>
                  </w:r>
                  <w:r>
                    <w:t xml:space="preserve"> </w:t>
                  </w:r>
                  <m:oMath>
                    <m:sSup>
                      <m:e>
                        <m:r>
                          <m:t>​</m:t>
                        </m:r>
                      </m:e>
                      <m:sup>
                        <m:r>
                          <m:t>n</m:t>
                        </m:r>
                      </m:sup>
                    </m:sSup>
                  </m:oMath>
                  <w:r>
                    <w:t xml:space="preserve"> </w:t>
                  </w:r>
                  <m:oMath>
                    <m:r>
                      <m:rPr>
                        <m:sty m:val="p"/>
                      </m:rPr>
                      <m:t>&lt;</m:t>
                    </m:r>
                    <m:r>
                      <m:t>4.40</m:t>
                    </m:r>
                  </m:oMath>
                  <w:r>
                    <w:t xml:space="preserve"> </w:t>
                  </w:r>
                  <w:r>
                    <w:t xml:space="preserve">mmol/L, MODD</w:t>
                  </w:r>
                  <w:r>
                    <w:t xml:space="preserve"> </w:t>
                  </w:r>
                  <m:oMath>
                    <m:sSup>
                      <m:e>
                        <m:r>
                          <m:t>​</m:t>
                        </m:r>
                      </m:e>
                      <m:sup>
                        <m:r>
                          <m:t>o</m:t>
                        </m:r>
                      </m:sup>
                    </m:sSup>
                  </m:oMath>
                  <w:r>
                    <w:t xml:space="preserve"> </w:t>
                  </w:r>
                  <m:oMath>
                    <m:r>
                      <m:rPr>
                        <m:sty m:val="p"/>
                      </m:rPr>
                      <m:t>&lt;</m:t>
                    </m:r>
                    <m:r>
                      <m:t>0.83</m:t>
                    </m:r>
                  </m:oMath>
                  <w:r>
                    <w:t xml:space="preserve"> </w:t>
                  </w:r>
                  <w:r>
                    <w:t xml:space="preserve">mmol/L versus high BG fluctuations (myocardial Infarction)</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5.797</m:t>
                    </m:r>
                  </m:oMath>
                </w:p>
              </w:tc>
              <w:tc>
                <w:tcPr/>
                <w:p>
                  <w:pPr>
                    <w:pStyle w:val="Compact"/>
                    <w:jc w:val="left"/>
                    <w:jc w:val="center"/>
                  </w:pPr>
                  <m:oMath>
                    <m:r>
                      <m:t>.02</m:t>
                    </m:r>
                  </m:oMath>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 (angina pectoris)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sSup>
                      <m:e>
                        <m:r>
                          <m:t>χ</m:t>
                        </m:r>
                      </m:e>
                      <m:sup>
                        <m:r>
                          <m:t>2</m:t>
                        </m:r>
                      </m:sup>
                    </m:sSup>
                    <m:r>
                      <m:rPr>
                        <m:sty m:val="p"/>
                      </m:rPr>
                      <m:t>=</m:t>
                    </m:r>
                    <m:r>
                      <m:t>7.490</m:t>
                    </m:r>
                  </m:oMath>
                </w:p>
              </w:tc>
              <w:tc>
                <w:tcPr/>
                <w:p>
                  <w:pPr>
                    <w:pStyle w:val="Compact"/>
                    <w:jc w:val="left"/>
                    <w:jc w:val="center"/>
                  </w:pPr>
                  <m:oMath>
                    <m:r>
                      <m:t>.006</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 (myocardial Infarction)</w:t>
                  </w:r>
                </w:p>
              </w:tc>
              <w:tc>
                <w:tcPr/>
                <w:p>
                  <w:pPr>
                    <w:pStyle w:val="Compact"/>
                    <w:jc w:val="left"/>
                    <w:jc w:val="center"/>
                  </w:pPr>
                  <w:r>
                    <w:t xml:space="preserve">HR 1.901 (1.067–3.389)</w:t>
                  </w:r>
                </w:p>
              </w:tc>
              <w:tc>
                <w:tcPr/>
                <w:p>
                  <w:pPr>
                    <w:pStyle w:val="Compact"/>
                    <w:jc w:val="left"/>
                    <w:jc w:val="center"/>
                  </w:pPr>
                  <w:r>
                    <w:t xml:space="preserve">—</w:t>
                  </w:r>
                </w:p>
              </w:tc>
              <w:tc>
                <w:tcPr/>
                <w:p>
                  <w:pPr>
                    <w:pStyle w:val="Compact"/>
                    <w:jc w:val="left"/>
                    <w:jc w:val="center"/>
                  </w:pPr>
                  <w:r>
                    <w:t xml:space="preserve">HR 1.549 (0.768–3.124)</w:t>
                  </w:r>
                </w:p>
              </w:tc>
              <w:tc>
                <w:tcPr/>
                <w:p>
                  <w:pPr>
                    <w:pStyle w:val="Compact"/>
                    <w:jc w:val="left"/>
                    <w:jc w:val="center"/>
                  </w:pPr>
                  <m:oMath>
                    <m:r>
                      <m:t>.03</m:t>
                    </m:r>
                  </m:oMath>
                </w:p>
              </w:tc>
            </w:tr>
            <w:tr>
              <w:tc>
                <w:tcPr/>
                <w:p>
                  <w:pPr>
                    <w:pStyle w:val="Compact"/>
                    <w:jc w:val="left"/>
                    <w:jc w:val="center"/>
                  </w:pPr>
                  <w:r>
                    <w:t xml:space="preserve">    Hypoglycemic events (unstable angina pectoris)</w:t>
                  </w:r>
                </w:p>
              </w:tc>
              <w:tc>
                <w:tcPr/>
                <w:p>
                  <w:pPr>
                    <w:pStyle w:val="Compact"/>
                    <w:jc w:val="left"/>
                    <w:jc w:val="center"/>
                  </w:pPr>
                  <w:r>
                    <w:t xml:space="preserve">HR 1.226 (0.857–1.753)</w:t>
                  </w:r>
                </w:p>
              </w:tc>
              <w:tc>
                <w:tcPr/>
                <w:p>
                  <w:pPr>
                    <w:pStyle w:val="Compact"/>
                    <w:jc w:val="left"/>
                    <w:jc w:val="center"/>
                  </w:pPr>
                  <w:r>
                    <w:t xml:space="preserve">—</w:t>
                  </w:r>
                </w:p>
              </w:tc>
              <w:tc>
                <w:tcPr/>
                <w:p>
                  <w:pPr>
                    <w:pStyle w:val="Compact"/>
                    <w:jc w:val="left"/>
                    <w:jc w:val="center"/>
                  </w:pPr>
                  <w:r>
                    <w:t xml:space="preserve">HR 1.218 (0.794–1.869)</w:t>
                  </w:r>
                </w:p>
              </w:tc>
              <w:tc>
                <w:tcPr/>
                <w:p>
                  <w:pPr>
                    <w:pStyle w:val="Compact"/>
                    <w:jc w:val="left"/>
                    <w:jc w:val="center"/>
                  </w:pPr>
                  <m:oMath>
                    <m:r>
                      <m:t>.30</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 level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2.286 (1.176–4.446)</w:t>
                  </w:r>
                </w:p>
              </w:tc>
              <w:tc>
                <w:tcPr/>
                <w:p>
                  <w:pPr>
                    <w:pStyle w:val="Compact"/>
                    <w:jc w:val="left"/>
                    <w:jc w:val="center"/>
                  </w:pPr>
                  <m:oMath>
                    <m:r>
                      <m:t>.02</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r>
                    <w:t xml:space="preserve"> </w:t>
                  </w:r>
                  <m:oMath>
                    <m:r>
                      <m:rPr>
                        <m:sty m:val="p"/>
                      </m:rPr>
                      <m:t>≥</m:t>
                    </m:r>
                    <m:r>
                      <m:t>3.4</m:t>
                    </m:r>
                  </m:oMath>
                  <w:r>
                    <w:t xml:space="preserve"> </w:t>
                  </w:r>
                  <w:r>
                    <w:t xml:space="preserve">mmol/L</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2.612 (1.423–4.831)</w:t>
                  </w:r>
                </w:p>
              </w:tc>
              <w:tc>
                <w:tcPr/>
                <w:p>
                  <w:pPr>
                    <w:pStyle w:val="Compact"/>
                    <w:jc w:val="left"/>
                    <w:jc w:val="center"/>
                  </w:pPr>
                  <m:oMath>
                    <m:r>
                      <m:t>.002</m:t>
                    </m:r>
                  </m:oMath>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AUC 0.618 (0.555–0.680)</w:t>
                  </w:r>
                </w:p>
              </w:tc>
              <w:tc>
                <w:tcPr/>
                <w:p>
                  <w:pPr>
                    <w:pStyle w:val="Compact"/>
                    <w:jc w:val="left"/>
                    <w:jc w:val="center"/>
                  </w:pPr>
                  <m:oMath>
                    <m:r>
                      <m:t>.001</m:t>
                    </m:r>
                  </m:oMath>
                </w:p>
              </w:tc>
            </w:tr>
            <w:tr>
              <w:tc>
                <w:tcPr/>
                <w:p>
                  <w:pPr>
                    <w:pStyle w:val="Compact"/>
                    <w:jc w:val="left"/>
                    <w:jc w:val="center"/>
                  </w:pPr>
                  <w:r>
                    <w:rPr>
                      <w:b/>
                      <w:bCs/>
                    </w:rPr>
                    <w:t xml:space="preserve">Gensini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Chen et al [40]</w:t>
                  </w:r>
                  <m:oMath>
                    <m:sSup>
                      <m:e>
                        <m:r>
                          <m:t>​</m:t>
                        </m:r>
                      </m:e>
                      <m:sup>
                        <m:r>
                          <m:t>e</m:t>
                        </m:r>
                        <m:r>
                          <m:rPr>
                            <m:sty m:val="p"/>
                          </m:rPr>
                          <m:t>,</m:t>
                        </m:r>
                        <m:r>
                          <m:t>g</m:t>
                        </m:r>
                      </m:sup>
                    </m:sSup>
                  </m:oMath>
                  <w:r>
                    <w:t xml:space="preserve">,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Controls with SD</w:t>
                  </w:r>
                  <w:r>
                    <w:t xml:space="preserve"> </w:t>
                  </w:r>
                  <m:oMath>
                    <m:r>
                      <m:rPr>
                        <m:sty m:val="p"/>
                      </m:rPr>
                      <m:t>&lt;</m:t>
                    </m:r>
                    <m:r>
                      <m:t>1.40</m:t>
                    </m:r>
                  </m:oMath>
                  <w:r>
                    <w:t xml:space="preserve"> </w:t>
                  </w:r>
                  <w:r>
                    <w:t xml:space="preserve">mmol/L, MAGE</w:t>
                  </w:r>
                  <w:r>
                    <w:t xml:space="preserve"> </w:t>
                  </w:r>
                  <m:oMath>
                    <m:r>
                      <m:rPr>
                        <m:sty m:val="p"/>
                      </m:rPr>
                      <m:t>&lt;</m:t>
                    </m:r>
                    <m:r>
                      <m:t>3.90</m:t>
                    </m:r>
                  </m:oMath>
                  <w:r>
                    <w:t xml:space="preserve"> </w:t>
                  </w:r>
                  <w:r>
                    <w:t xml:space="preserve">mmol/L, LAGE</w:t>
                  </w:r>
                  <w:r>
                    <w:t xml:space="preserve"> </w:t>
                  </w:r>
                  <m:oMath>
                    <m:r>
                      <m:rPr>
                        <m:sty m:val="p"/>
                      </m:rPr>
                      <m:t>&lt;</m:t>
                    </m:r>
                    <m:r>
                      <m:t>4.40</m:t>
                    </m:r>
                  </m:oMath>
                  <w:r>
                    <w:t xml:space="preserve"> </w:t>
                  </w:r>
                  <w:r>
                    <w:t xml:space="preserve">mmol/L, MODD</w:t>
                  </w:r>
                  <w:r>
                    <w:t xml:space="preserve"> </w:t>
                  </w:r>
                  <m:oMath>
                    <m:r>
                      <m:rPr>
                        <m:sty m:val="p"/>
                      </m:rPr>
                      <m:t>&lt;</m:t>
                    </m:r>
                    <m:r>
                      <m:t>0.83</m:t>
                    </m:r>
                  </m:oMath>
                  <w:r>
                    <w:t xml:space="preserve"> </w:t>
                  </w:r>
                  <w:r>
                    <w:t xml:space="preserve">mmol/L versus high BG fluctuations</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t</m:t>
                    </m:r>
                    <m:r>
                      <m:rPr>
                        <m:sty m:val="p"/>
                      </m:rPr>
                      <m:t>=</m:t>
                    </m:r>
                    <m:r>
                      <m:t>6.210</m:t>
                    </m:r>
                  </m:oMath>
                </w:p>
              </w:tc>
              <w:tc>
                <w:tcPr/>
                <w:p>
                  <w:pPr>
                    <w:pStyle w:val="Compact"/>
                    <w:jc w:val="left"/>
                    <w:jc w:val="center"/>
                  </w:pPr>
                  <m:oMath>
                    <m:r>
                      <m:rPr>
                        <m:sty m:val="p"/>
                      </m:rPr>
                      <m:t>&lt;</m:t>
                    </m:r>
                    <m:r>
                      <m:t>.001</m:t>
                    </m:r>
                  </m:oMath>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0.742</m:t>
                    </m:r>
                  </m:oMath>
                </w:p>
              </w:tc>
              <w:tc>
                <w:tcPr/>
                <w:p>
                  <w:pPr>
                    <w:pStyle w:val="Compact"/>
                    <w:jc w:val="left"/>
                    <w:jc w:val="center"/>
                  </w:pPr>
                  <m:oMath>
                    <m:r>
                      <m:rPr>
                        <m:sty m:val="p"/>
                      </m:rPr>
                      <m:t>&lt;</m:t>
                    </m:r>
                    <m:r>
                      <m:t>.001</m:t>
                    </m:r>
                  </m:oMath>
                </w:p>
              </w:tc>
            </w:tr>
            <w:tr>
              <w:tc>
                <w:tcPr/>
                <w:p>
                  <w:pPr>
                    <w:pStyle w:val="Compact"/>
                    <w:jc w:val="left"/>
                    <w:jc w:val="center"/>
                  </w:pPr>
                  <w:r>
                    <w:t xml:space="preserve">Shu-Hua et al [43]</w:t>
                  </w:r>
                  <m:oMath>
                    <m:sSup>
                      <m:e>
                        <m:r>
                          <m:t>​</m:t>
                        </m:r>
                      </m:e>
                      <m:sup>
                        <m:r>
                          <m:t>e</m:t>
                        </m:r>
                      </m:sup>
                    </m:sSup>
                  </m:oMath>
                  <w:r>
                    <w:t xml:space="preserve">, 2012</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 coefficient</w:t>
                  </w:r>
                  <w:r>
                    <w:t xml:space="preserve"> </w:t>
                  </w:r>
                  <m:oMath>
                    <m:r>
                      <m:t>β</m:t>
                    </m:r>
                    <m:r>
                      <m:rPr>
                        <m:sty m:val="p"/>
                      </m:rPr>
                      <m:t>=</m:t>
                    </m:r>
                    <m:r>
                      <m:t>4.817</m:t>
                    </m:r>
                  </m:oMath>
                  <w:r>
                    <w:t xml:space="preserve">; SE = 1.164; standardized coefficient</w:t>
                  </w:r>
                  <w:r>
                    <w:t xml:space="preserve"> </w:t>
                  </w:r>
                  <m:oMath>
                    <m:r>
                      <m:t>β</m:t>
                    </m:r>
                    <m:r>
                      <m:rPr>
                        <m:sty m:val="p"/>
                      </m:rPr>
                      <m:t>=</m:t>
                    </m:r>
                    <m:r>
                      <m:t>0.170</m:t>
                    </m:r>
                  </m:oMath>
                  <w:r>
                    <w:t xml:space="preserve">;</w:t>
                  </w:r>
                  <w:r>
                    <w:t xml:space="preserve"> </w:t>
                  </w:r>
                  <m:oMath>
                    <m:r>
                      <m:t>t</m:t>
                    </m:r>
                    <m:r>
                      <m:rPr>
                        <m:sty m:val="p"/>
                      </m:rPr>
                      <m:t>=</m:t>
                    </m:r>
                    <m:r>
                      <m:t>2.984</m:t>
                    </m:r>
                  </m:oMath>
                </w:p>
              </w:tc>
              <w:tc>
                <w:tcPr/>
                <w:p>
                  <w:pPr>
                    <w:pStyle w:val="Compact"/>
                    <w:jc w:val="left"/>
                    <w:jc w:val="center"/>
                  </w:pPr>
                  <m:oMath>
                    <m:r>
                      <m:t>.003</m:t>
                    </m:r>
                  </m:oMath>
                </w:p>
              </w:tc>
            </w:tr>
            <w:tr>
              <w:tc>
                <w:tcPr/>
                <w:p>
                  <w:pPr>
                    <w:pStyle w:val="Compact"/>
                    <w:jc w:val="left"/>
                    <w:jc w:val="center"/>
                  </w:pPr>
                  <w:r>
                    <w:t xml:space="preserve">Su et al [28]</w:t>
                  </w:r>
                  <m:oMath>
                    <m:sSup>
                      <m:e>
                        <m:r>
                          <m:t>​</m:t>
                        </m:r>
                      </m:e>
                      <m:sup>
                        <m:r>
                          <m:t>e</m:t>
                        </m:r>
                      </m:sup>
                    </m:sSup>
                  </m:oMath>
                  <w:r>
                    <w:t xml:space="preserve">, 2011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Unstandardized</w:t>
                  </w:r>
                  <w:r>
                    <w:t xml:space="preserve"> </w:t>
                  </w:r>
                  <m:oMath>
                    <m:r>
                      <m:t>β</m:t>
                    </m:r>
                    <m:r>
                      <m:rPr>
                        <m:sty m:val="p"/>
                      </m:rPr>
                      <m:t>=</m:t>
                    </m:r>
                    <m:r>
                      <m:t>7.010</m:t>
                    </m:r>
                  </m:oMath>
                  <w:r>
                    <w:t xml:space="preserve">; SE = 1.466; standardized</w:t>
                  </w:r>
                  <w:r>
                    <w:t xml:space="preserve"> </w:t>
                  </w:r>
                  <m:oMath>
                    <m:r>
                      <m:t>β</m:t>
                    </m:r>
                    <m:r>
                      <m:rPr>
                        <m:sty m:val="p"/>
                      </m:rPr>
                      <m:t>=</m:t>
                    </m:r>
                    <m:r>
                      <m:t>0.237</m:t>
                    </m:r>
                  </m:oMath>
                  <w:r>
                    <w:t xml:space="preserve">;</w:t>
                  </w:r>
                  <w:r>
                    <w:t xml:space="preserve"> </w:t>
                  </w:r>
                  <m:oMath>
                    <m:r>
                      <m:t>t</m:t>
                    </m:r>
                    <m:r>
                      <m:rPr>
                        <m:sty m:val="p"/>
                      </m:rPr>
                      <m:t>=</m:t>
                    </m:r>
                    <m:r>
                      <m:t>4.783</m:t>
                    </m:r>
                  </m:oMath>
                </w:p>
              </w:tc>
              <w:tc>
                <w:tcPr/>
                <w:p>
                  <w:pPr>
                    <w:pStyle w:val="Compact"/>
                    <w:jc w:val="left"/>
                    <w:jc w:val="center"/>
                  </w:pPr>
                  <m:oMath>
                    <m:r>
                      <m:rPr>
                        <m:sty m:val="p"/>
                      </m:rPr>
                      <m:t>&lt;</m:t>
                    </m:r>
                    <m:r>
                      <m:t>.001</m:t>
                    </m:r>
                  </m:oMath>
                </w:p>
              </w:tc>
            </w:tr>
            <w:tr>
              <w:tc>
                <w:tcPr/>
                <w:p>
                  <w:pPr>
                    <w:pStyle w:val="Compact"/>
                    <w:jc w:val="left"/>
                    <w:jc w:val="center"/>
                  </w:pPr>
                  <w:r>
                    <w:rPr>
                      <w:b/>
                      <w:bCs/>
                    </w:rPr>
                    <w:t xml:space="preserve">Syntax score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Watanabe et al [54]</w:t>
                  </w:r>
                  <m:oMath>
                    <m:sSup>
                      <m:e>
                        <m:r>
                          <m:t>​</m:t>
                        </m:r>
                      </m:e>
                      <m:sup>
                        <m:r>
                          <m:t>e</m:t>
                        </m:r>
                      </m:sup>
                    </m:sSup>
                  </m:oMath>
                  <w:r>
                    <w:t xml:space="preserve">, 2017</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0.776</m:t>
                    </m:r>
                  </m:oMath>
                </w:p>
              </w:tc>
              <w:tc>
                <w:tcPr/>
                <w:p>
                  <w:pPr>
                    <w:pStyle w:val="Compact"/>
                    <w:jc w:val="left"/>
                    <w:jc w:val="center"/>
                  </w:pPr>
                  <m:oMath>
                    <m:r>
                      <m:rPr>
                        <m:sty m:val="p"/>
                      </m:rPr>
                      <m:t>&lt;</m:t>
                    </m:r>
                    <m:r>
                      <m:t>.001</m:t>
                    </m:r>
                  </m:oMath>
                </w:p>
              </w:tc>
            </w:tr>
            <w:tr>
              <w:tc>
                <w:tcPr/>
                <w:p>
                  <w:pPr>
                    <w:pStyle w:val="Compact"/>
                    <w:jc w:val="left"/>
                    <w:jc w:val="center"/>
                  </w:pPr>
                  <w:r>
                    <w:t xml:space="preserve">Zhang et al [30]</w:t>
                  </w:r>
                  <m:oMath>
                    <m:sSup>
                      <m:e>
                        <m:r>
                          <m:t>​</m:t>
                        </m:r>
                      </m:e>
                      <m:sup>
                        <m:r>
                          <m:t>e</m:t>
                        </m:r>
                      </m:sup>
                    </m:sSup>
                  </m:oMath>
                  <w:r>
                    <w:t xml:space="preserve">, 2013</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MAGE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0.518</m:t>
                    </m:r>
                  </m:oMath>
                </w:p>
              </w:tc>
              <w:tc>
                <w:tcPr/>
                <w:p>
                  <w:pPr>
                    <w:pStyle w:val="Compact"/>
                    <w:jc w:val="left"/>
                    <w:jc w:val="center"/>
                  </w:pPr>
                  <m:oMath>
                    <m:r>
                      <m:t>.01</m:t>
                    </m:r>
                  </m:oMath>
                </w:p>
              </w:tc>
            </w:tr>
            <w:tr>
              <w:tc>
                <w:tcPr/>
                <w:p>
                  <w:pPr>
                    <w:pStyle w:val="Compact"/>
                    <w:jc w:val="left"/>
                    <w:jc w:val="center"/>
                  </w:pPr>
                  <w:r>
                    <w:t xml:space="preserve">    BG fluctuations from 00:00 to 03:00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0.442</m:t>
                    </m:r>
                  </m:oMath>
                </w:p>
              </w:tc>
              <w:tc>
                <w:tcPr/>
                <w:p>
                  <w:pPr>
                    <w:pStyle w:val="Compact"/>
                    <w:jc w:val="left"/>
                    <w:jc w:val="center"/>
                  </w:pPr>
                  <m:oMath>
                    <m:r>
                      <m:t>.04</m:t>
                    </m:r>
                  </m:oMath>
                </w:p>
              </w:tc>
            </w:tr>
            <w:tr>
              <w:tc>
                <w:tcPr/>
                <w:p>
                  <w:pPr>
                    <w:pStyle w:val="Compact"/>
                    <w:jc w:val="left"/>
                    <w:jc w:val="center"/>
                  </w:pPr>
                  <w:r>
                    <w:t xml:space="preserve">    BG fluctuations from 03:00 to 06:00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0.208</m:t>
                    </m:r>
                  </m:oMath>
                </w:p>
              </w:tc>
              <w:tc>
                <w:tcPr/>
                <w:p>
                  <w:pPr>
                    <w:pStyle w:val="Compact"/>
                    <w:jc w:val="left"/>
                    <w:jc w:val="center"/>
                  </w:pPr>
                  <m:oMath>
                    <m:r>
                      <m:t>.34</m:t>
                    </m:r>
                  </m:oMath>
                </w:p>
              </w:tc>
            </w:tr>
            <w:tr>
              <w:tc>
                <w:tcPr/>
                <w:p>
                  <w:pPr>
                    <w:pStyle w:val="Compact"/>
                    <w:jc w:val="left"/>
                    <w:jc w:val="center"/>
                  </w:pPr>
                  <w:r>
                    <w:t xml:space="preserve">    BG fluctuations from 06:00 to 08:00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0.678</m:t>
                    </m:r>
                  </m:oMath>
                </w:p>
              </w:tc>
              <w:tc>
                <w:tcPr/>
                <w:p>
                  <w:pPr>
                    <w:pStyle w:val="Compact"/>
                    <w:jc w:val="left"/>
                    <w:jc w:val="center"/>
                  </w:pPr>
                  <m:oMath>
                    <m:r>
                      <m:rPr>
                        <m:sty m:val="p"/>
                      </m:rPr>
                      <m:t>&lt;</m:t>
                    </m:r>
                    <m:r>
                      <m:t>.001</m:t>
                    </m:r>
                  </m:oMath>
                </w:p>
              </w:tc>
            </w:tr>
            <w:tr>
              <w:tc>
                <w:tcPr/>
                <w:p>
                  <w:pPr>
                    <w:pStyle w:val="Compact"/>
                    <w:jc w:val="left"/>
                    <w:jc w:val="center"/>
                  </w:pPr>
                  <w:r>
                    <w:t xml:space="preserve">    BG fluctuations from 08:00 to 11:00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0.115</m:t>
                    </m:r>
                  </m:oMath>
                </w:p>
              </w:tc>
              <w:tc>
                <w:tcPr/>
                <w:p>
                  <w:pPr>
                    <w:pStyle w:val="Compact"/>
                    <w:jc w:val="left"/>
                    <w:jc w:val="center"/>
                  </w:pPr>
                  <m:oMath>
                    <m:r>
                      <m:t>.60</m:t>
                    </m:r>
                  </m:oMath>
                </w:p>
              </w:tc>
            </w:tr>
            <w:tr>
              <w:tc>
                <w:tcPr/>
                <w:p>
                  <w:pPr>
                    <w:pStyle w:val="Compact"/>
                    <w:jc w:val="left"/>
                    <w:jc w:val="center"/>
                  </w:pPr>
                  <w:r>
                    <w:t xml:space="preserve">    BG fluctuations from 11:00 to 13:00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0.523</m:t>
                    </m:r>
                  </m:oMath>
                </w:p>
              </w:tc>
              <w:tc>
                <w:tcPr/>
                <w:p>
                  <w:pPr>
                    <w:pStyle w:val="Compact"/>
                    <w:jc w:val="left"/>
                    <w:jc w:val="center"/>
                  </w:pPr>
                  <m:oMath>
                    <m:r>
                      <m:t>.01</m:t>
                    </m:r>
                  </m:oMath>
                </w:p>
              </w:tc>
            </w:tr>
            <w:tr>
              <w:tc>
                <w:tcPr/>
                <w:p>
                  <w:pPr>
                    <w:pStyle w:val="Compact"/>
                    <w:jc w:val="left"/>
                    <w:jc w:val="center"/>
                  </w:pPr>
                  <w:r>
                    <w:t xml:space="preserve">    BG fluctuations from 13:00 to 17:00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0.257</m:t>
                    </m:r>
                  </m:oMath>
                </w:p>
              </w:tc>
              <w:tc>
                <w:tcPr/>
                <w:p>
                  <w:pPr>
                    <w:pStyle w:val="Compact"/>
                    <w:jc w:val="left"/>
                    <w:jc w:val="center"/>
                  </w:pPr>
                  <m:oMath>
                    <m:r>
                      <m:t>.24</m:t>
                    </m:r>
                  </m:oMath>
                </w:p>
              </w:tc>
            </w:tr>
            <w:tr>
              <w:tc>
                <w:tcPr/>
                <w:p>
                  <w:pPr>
                    <w:pStyle w:val="Compact"/>
                    <w:jc w:val="left"/>
                    <w:jc w:val="center"/>
                  </w:pPr>
                  <w:r>
                    <w:t xml:space="preserve">    BG fluctuations from 17:00 to 19:00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t>0.358</m:t>
                    </m:r>
                  </m:oMath>
                </w:p>
              </w:tc>
              <w:tc>
                <w:tcPr/>
                <w:p>
                  <w:pPr>
                    <w:pStyle w:val="Compact"/>
                    <w:jc w:val="left"/>
                    <w:jc w:val="center"/>
                  </w:pPr>
                  <m:oMath>
                    <m:r>
                      <m:t>.09</m:t>
                    </m:r>
                  </m:oMath>
                </w:p>
              </w:tc>
            </w:tr>
            <w:tr>
              <w:tc>
                <w:tcPr/>
                <w:p>
                  <w:pPr>
                    <w:pStyle w:val="Compact"/>
                    <w:jc w:val="left"/>
                    <w:jc w:val="center"/>
                  </w:pPr>
                  <w:r>
                    <w:t xml:space="preserve">    BG fluctuations from 19:00 to 24:00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m:oMath>
                    <m:r>
                      <m:t>r</m:t>
                    </m:r>
                    <m:r>
                      <m:rPr>
                        <m:sty m:val="p"/>
                      </m:rPr>
                      <m:t>=</m:t>
                    </m:r>
                    <m:r>
                      <m:rPr>
                        <m:sty m:val="p"/>
                      </m:rPr>
                      <m:t>−</m:t>
                    </m:r>
                    <m:r>
                      <m:t>0.018</m:t>
                    </m:r>
                  </m:oMath>
                </w:p>
              </w:tc>
              <w:tc>
                <w:tcPr/>
                <w:p>
                  <w:pPr>
                    <w:pStyle w:val="Compact"/>
                    <w:jc w:val="left"/>
                    <w:jc w:val="center"/>
                  </w:pPr>
                  <m:oMath>
                    <m:r>
                      <m:t>.93</m:t>
                    </m:r>
                  </m:oMath>
                </w:p>
              </w:tc>
            </w:tr>
            <w:tr>
              <w:tc>
                <w:tcPr/>
                <w:p>
                  <w:pPr>
                    <w:pStyle w:val="Compact"/>
                    <w:jc w:val="left"/>
                    <w:jc w:val="center"/>
                  </w:pPr>
                  <w:r>
                    <w:rPr>
                      <w:b/>
                      <w:bCs/>
                    </w:rPr>
                    <w:t xml:space="preserve">Stroke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0.651 (0.470–0.902)</w:t>
                  </w:r>
                </w:p>
              </w:tc>
              <w:tc>
                <w:tcPr/>
                <w:p>
                  <w:pPr>
                    <w:pStyle w:val="Compact"/>
                    <w:jc w:val="left"/>
                    <w:jc w:val="center"/>
                  </w:pPr>
                  <m:oMath>
                    <m:r>
                      <m:rPr>
                        <m:sty m:val="p"/>
                      </m:rPr>
                      <m:t>&lt;</m:t>
                    </m:r>
                    <m:r>
                      <m:t>.05</m:t>
                    </m:r>
                  </m:oMath>
                </w:p>
              </w:tc>
              <w:tc>
                <w:tcPr/>
                <w:p>
                  <w:pPr>
                    <w:pStyle w:val="Compact"/>
                    <w:jc w:val="left"/>
                    <w:jc w:val="center"/>
                  </w:pPr>
                  <w:r>
                    <w:t xml:space="preserve">OR 0.546 (0.347–0.858)</w:t>
                  </w:r>
                </w:p>
              </w:tc>
              <w:tc>
                <w:tcPr/>
                <w:p>
                  <w:pPr>
                    <w:pStyle w:val="Compact"/>
                    <w:jc w:val="left"/>
                    <w:jc w:val="center"/>
                  </w:pPr>
                  <m:oMath>
                    <m:r>
                      <m:rPr>
                        <m:sty m:val="p"/>
                      </m:rPr>
                      <m:t>&lt;</m:t>
                    </m:r>
                    <m:r>
                      <m:t>.01</m:t>
                    </m:r>
                  </m:oMath>
                </w:p>
              </w:tc>
            </w:tr>
            <w:tr>
              <w:tc>
                <w:tcPr/>
                <w:p>
                  <w:pPr>
                    <w:pStyle w:val="Compact"/>
                    <w:jc w:val="left"/>
                    <w:jc w:val="center"/>
                  </w:pPr>
                  <w:r>
                    <w:t xml:space="preserve">    TIR</w:t>
                  </w:r>
                </w:p>
              </w:tc>
              <w:tc>
                <w:tcPr/>
                <w:p>
                  <w:pPr>
                    <w:pStyle w:val="Compact"/>
                    <w:jc w:val="left"/>
                    <w:jc w:val="center"/>
                  </w:pPr>
                  <w:r>
                    <w:t xml:space="preserve">OR 0.749 (0.588–0.955)</w:t>
                  </w:r>
                </w:p>
              </w:tc>
              <w:tc>
                <w:tcPr/>
                <w:p>
                  <w:pPr>
                    <w:pStyle w:val="Compact"/>
                    <w:jc w:val="left"/>
                    <w:jc w:val="center"/>
                  </w:pPr>
                  <m:oMath>
                    <m:r>
                      <m:rPr>
                        <m:sty m:val="p"/>
                      </m:rPr>
                      <m:t>&lt;</m:t>
                    </m:r>
                    <m:r>
                      <m:t>.05</m:t>
                    </m:r>
                  </m:oMath>
                </w:p>
              </w:tc>
              <w:tc>
                <w:tcPr/>
                <w:p>
                  <w:pPr>
                    <w:pStyle w:val="Compact"/>
                    <w:jc w:val="left"/>
                    <w:jc w:val="center"/>
                  </w:pPr>
                  <w:r>
                    <w:t xml:space="preserve">OR 0.617 (0.440–0.866)</w:t>
                  </w:r>
                </w:p>
              </w:tc>
              <w:tc>
                <w:tcPr/>
                <w:p>
                  <w:pPr>
                    <w:pStyle w:val="Compact"/>
                    <w:jc w:val="left"/>
                    <w:jc w:val="center"/>
                  </w:pPr>
                  <m:oMath>
                    <m:r>
                      <m:rPr>
                        <m:sty m:val="p"/>
                      </m:rPr>
                      <m:t>&lt;</m:t>
                    </m:r>
                    <m:r>
                      <m:t>.01</m:t>
                    </m:r>
                  </m:oMath>
                </w:p>
              </w:tc>
            </w:tr>
            <w:tr>
              <w:tc>
                <w:tcPr/>
                <w:p>
                  <w:pPr>
                    <w:pStyle w:val="Compact"/>
                    <w:jc w:val="left"/>
                    <w:jc w:val="center"/>
                  </w:pPr>
                  <w:r>
                    <w:t xml:space="preserve">Guo et al [51], 2021</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 Q1 (</w:t>
                  </w:r>
                  <m:oMath>
                    <m:r>
                      <m:rPr>
                        <m:sty m:val="p"/>
                      </m:rPr>
                      <m:t>≤</m:t>
                    </m:r>
                    <m:r>
                      <m:t>46</m:t>
                    </m:r>
                    <m:r>
                      <m:rPr>
                        <m:sty m:val="p"/>
                      </m:rPr>
                      <m:t>%</m:t>
                    </m:r>
                  </m:oMath>
                  <w:r>
                    <w:t xml:space="preserve">; reference)</w:t>
                  </w:r>
                </w:p>
              </w:tc>
              <w:tc>
                <w:tcPr/>
                <w:p>
                  <w:pPr>
                    <w:pStyle w:val="Compact"/>
                    <w:jc w:val="left"/>
                    <w:jc w:val="center"/>
                  </w:pPr>
                  <w:r>
                    <w:t xml:space="preserve">OR 1.00</w:t>
                  </w:r>
                </w:p>
              </w:tc>
              <w:tc>
                <w:tcPr/>
                <w:p>
                  <w:pPr>
                    <w:pStyle w:val="Compact"/>
                    <w:jc w:val="left"/>
                    <w:jc w:val="center"/>
                  </w:pPr>
                  <m:oMath>
                    <m:r>
                      <m:rPr>
                        <m:sty m:val="p"/>
                      </m:rPr>
                      <m:t>&lt;</m:t>
                    </m:r>
                    <m:r>
                      <m:t>.001</m:t>
                    </m:r>
                  </m:oMath>
                </w:p>
              </w:tc>
              <w:tc>
                <w:tcPr/>
                <w:p>
                  <w:pPr>
                    <w:pStyle w:val="Compact"/>
                    <w:jc w:val="left"/>
                    <w:jc w:val="center"/>
                  </w:pPr>
                  <w:r>
                    <w:t xml:space="preserve">OR 1.00</w:t>
                  </w:r>
                </w:p>
              </w:tc>
              <w:tc>
                <w:tcPr/>
                <w:p>
                  <w:pPr>
                    <w:pStyle w:val="Compact"/>
                    <w:jc w:val="left"/>
                    <w:jc w:val="center"/>
                  </w:pPr>
                  <m:oMath>
                    <m:r>
                      <m:rPr>
                        <m:sty m:val="p"/>
                      </m:rPr>
                      <m:t>&lt;</m:t>
                    </m:r>
                    <m:r>
                      <m:t>.001</m:t>
                    </m:r>
                  </m:oMath>
                </w:p>
              </w:tc>
            </w:tr>
            <w:tr>
              <w:tc>
                <w:tcPr/>
                <w:p>
                  <w:pPr>
                    <w:pStyle w:val="Compact"/>
                    <w:jc w:val="left"/>
                    <w:jc w:val="center"/>
                  </w:pPr>
                  <w:r>
                    <w:t xml:space="preserve">    TIR: Q2 (</w:t>
                  </w:r>
                  <m:oMath>
                    <m:r>
                      <m:t>46</m:t>
                    </m:r>
                    <m:r>
                      <m:rPr>
                        <m:sty m:val="p"/>
                      </m:rPr>
                      <m:t>%</m:t>
                    </m:r>
                    <m:r>
                      <m:rPr>
                        <m:sty m:val="p"/>
                      </m:rPr>
                      <m:t>−</m:t>
                    </m:r>
                    <m:r>
                      <m:t>65</m:t>
                    </m:r>
                    <m:r>
                      <m:rPr>
                        <m:sty m:val="p"/>
                      </m:rPr>
                      <m:t>%</m:t>
                    </m:r>
                  </m:oMath>
                  <w:r>
                    <w:t xml:space="preserve">)</w:t>
                  </w:r>
                </w:p>
              </w:tc>
              <w:tc>
                <w:tcPr/>
                <w:p>
                  <w:pPr>
                    <w:pStyle w:val="Compact"/>
                    <w:jc w:val="left"/>
                    <w:jc w:val="center"/>
                  </w:pPr>
                  <w:r>
                    <w:t xml:space="preserve">OR 0.86 (0.72–0.95)</w:t>
                  </w:r>
                </w:p>
              </w:tc>
              <w:tc>
                <w:tcPr/>
                <w:p>
                  <w:pPr>
                    <w:pStyle w:val="Compact"/>
                    <w:jc w:val="left"/>
                    <w:jc w:val="center"/>
                  </w:pPr>
                  <m:oMath>
                    <m:r>
                      <m:rPr>
                        <m:sty m:val="p"/>
                      </m:rPr>
                      <m:t>&lt;</m:t>
                    </m:r>
                    <m:r>
                      <m:t>.001</m:t>
                    </m:r>
                  </m:oMath>
                </w:p>
              </w:tc>
              <w:tc>
                <w:tcPr/>
                <w:p>
                  <w:pPr>
                    <w:pStyle w:val="Compact"/>
                    <w:jc w:val="left"/>
                    <w:jc w:val="center"/>
                  </w:pPr>
                  <w:r>
                    <w:t xml:space="preserve">OR 0.80 (0.68–0.92)</w:t>
                  </w:r>
                </w:p>
              </w:tc>
              <w:tc>
                <w:tcPr/>
                <w:p>
                  <w:pPr>
                    <w:pStyle w:val="Compact"/>
                    <w:jc w:val="left"/>
                    <w:jc w:val="center"/>
                  </w:pPr>
                  <m:oMath>
                    <m:r>
                      <m:rPr>
                        <m:sty m:val="p"/>
                      </m:rPr>
                      <m:t>&lt;</m:t>
                    </m:r>
                    <m:r>
                      <m:t>.001</m:t>
                    </m:r>
                  </m:oMath>
                </w:p>
              </w:tc>
            </w:tr>
            <w:tr>
              <w:tc>
                <w:tcPr/>
                <w:p>
                  <w:pPr>
                    <w:pStyle w:val="Compact"/>
                    <w:jc w:val="left"/>
                    <w:jc w:val="center"/>
                  </w:pPr>
                  <w:r>
                    <w:t xml:space="preserve">    TIR: Q3 (</w:t>
                  </w:r>
                  <m:oMath>
                    <m:r>
                      <m:t>65</m:t>
                    </m:r>
                    <m:r>
                      <m:rPr>
                        <m:sty m:val="p"/>
                      </m:rPr>
                      <m:t>%</m:t>
                    </m:r>
                    <m:r>
                      <m:rPr>
                        <m:sty m:val="p"/>
                      </m:rPr>
                      <m:t>−</m:t>
                    </m:r>
                    <m:r>
                      <m:t>81</m:t>
                    </m:r>
                    <m:r>
                      <m:rPr>
                        <m:sty m:val="p"/>
                      </m:rPr>
                      <m:t>%</m:t>
                    </m:r>
                  </m:oMath>
                  <w:r>
                    <w:t xml:space="preserve">)</w:t>
                  </w:r>
                </w:p>
              </w:tc>
              <w:tc>
                <w:tcPr/>
                <w:p>
                  <w:pPr>
                    <w:pStyle w:val="Compact"/>
                    <w:jc w:val="left"/>
                    <w:jc w:val="center"/>
                  </w:pPr>
                  <w:r>
                    <w:t xml:space="preserve">OR 0.71 (0.61–0.81)</w:t>
                  </w:r>
                </w:p>
              </w:tc>
              <w:tc>
                <w:tcPr/>
                <w:p>
                  <w:pPr>
                    <w:pStyle w:val="Compact"/>
                    <w:jc w:val="left"/>
                    <w:jc w:val="center"/>
                  </w:pPr>
                  <m:oMath>
                    <m:r>
                      <m:rPr>
                        <m:sty m:val="p"/>
                      </m:rPr>
                      <m:t>&lt;</m:t>
                    </m:r>
                    <m:r>
                      <m:t>.001</m:t>
                    </m:r>
                  </m:oMath>
                </w:p>
              </w:tc>
              <w:tc>
                <w:tcPr/>
                <w:p>
                  <w:pPr>
                    <w:pStyle w:val="Compact"/>
                    <w:jc w:val="left"/>
                    <w:jc w:val="center"/>
                  </w:pPr>
                  <w:r>
                    <w:t xml:space="preserve">OR 0.64 (0.53–0.79)</w:t>
                  </w:r>
                </w:p>
              </w:tc>
              <w:tc>
                <w:tcPr/>
                <w:p>
                  <w:pPr>
                    <w:pStyle w:val="Compact"/>
                    <w:jc w:val="left"/>
                    <w:jc w:val="center"/>
                  </w:pPr>
                  <m:oMath>
                    <m:r>
                      <m:rPr>
                        <m:sty m:val="p"/>
                      </m:rPr>
                      <m:t>&lt;</m:t>
                    </m:r>
                    <m:r>
                      <m:t>.001</m:t>
                    </m:r>
                  </m:oMath>
                </w:p>
              </w:tc>
            </w:tr>
            <w:tr>
              <w:tc>
                <w:tcPr/>
                <w:p>
                  <w:pPr>
                    <w:pStyle w:val="Compact"/>
                    <w:jc w:val="left"/>
                    <w:jc w:val="center"/>
                  </w:pPr>
                  <w:r>
                    <w:t xml:space="preserve">    TIR: Q4 (</w:t>
                  </w:r>
                  <m:oMath>
                    <m:r>
                      <m:rPr>
                        <m:sty m:val="p"/>
                      </m:rPr>
                      <m:t>&gt;</m:t>
                    </m:r>
                    <m:r>
                      <m:t>81</m:t>
                    </m:r>
                    <m:r>
                      <m:rPr>
                        <m:sty m:val="p"/>
                      </m:rPr>
                      <m:t>%</m:t>
                    </m:r>
                  </m:oMath>
                  <w:r>
                    <w:t xml:space="preserve">)</w:t>
                  </w:r>
                </w:p>
              </w:tc>
              <w:tc>
                <w:tcPr/>
                <w:p>
                  <w:pPr>
                    <w:pStyle w:val="Compact"/>
                    <w:jc w:val="left"/>
                    <w:jc w:val="center"/>
                  </w:pPr>
                  <w:r>
                    <w:t xml:space="preserve">OR 0.66 (0.58–0.80)</w:t>
                  </w:r>
                </w:p>
              </w:tc>
              <w:tc>
                <w:tcPr/>
                <w:p>
                  <w:pPr>
                    <w:pStyle w:val="Compact"/>
                    <w:jc w:val="left"/>
                    <w:jc w:val="center"/>
                  </w:pPr>
                  <m:oMath>
                    <m:r>
                      <m:rPr>
                        <m:sty m:val="p"/>
                      </m:rPr>
                      <m:t>&lt;</m:t>
                    </m:r>
                    <m:r>
                      <m:t>.001</m:t>
                    </m:r>
                  </m:oMath>
                </w:p>
              </w:tc>
              <w:tc>
                <w:tcPr/>
                <w:p>
                  <w:pPr>
                    <w:pStyle w:val="Compact"/>
                    <w:jc w:val="left"/>
                    <w:jc w:val="center"/>
                  </w:pPr>
                  <w:r>
                    <w:t xml:space="preserve">OR 0.59 (0.50–0.74)</w:t>
                  </w:r>
                </w:p>
              </w:tc>
              <w:tc>
                <w:tcPr/>
                <w:p>
                  <w:pPr>
                    <w:pStyle w:val="Compact"/>
                    <w:jc w:val="left"/>
                    <w:jc w:val="center"/>
                  </w:pPr>
                  <m:oMath>
                    <m:r>
                      <m:rPr>
                        <m:sty m:val="p"/>
                      </m:rPr>
                      <m:t>&lt;</m:t>
                    </m:r>
                    <m:r>
                      <m:t>.001</m:t>
                    </m:r>
                  </m:oMath>
                </w:p>
              </w:tc>
            </w:tr>
            <w:tr>
              <w:tc>
                <w:tcPr/>
                <w:p>
                  <w:pPr>
                    <w:pStyle w:val="Compact"/>
                    <w:jc w:val="left"/>
                    <w:jc w:val="center"/>
                  </w:pPr>
                  <w:r>
                    <w:t xml:space="preserve">    TIR (per</w:t>
                  </w:r>
                  <w:r>
                    <w:t xml:space="preserve"> </w:t>
                  </w:r>
                  <m:oMath>
                    <m:r>
                      <m:t>10</m:t>
                    </m:r>
                    <m:r>
                      <m:rPr>
                        <m:sty m:val="p"/>
                      </m:rPr>
                      <m:t>%</m:t>
                    </m:r>
                  </m:oMath>
                  <w:r>
                    <w:t xml:space="preserve"> </w:t>
                  </w:r>
                  <w:r>
                    <w:t xml:space="preserve">increase)</w:t>
                  </w:r>
                </w:p>
              </w:tc>
              <w:tc>
                <w:tcPr/>
                <w:p>
                  <w:pPr>
                    <w:pStyle w:val="Compact"/>
                    <w:jc w:val="left"/>
                    <w:jc w:val="center"/>
                  </w:pPr>
                  <w:r>
                    <w:t xml:space="preserve">OR 0.93 (0.85–0.98)</w:t>
                  </w:r>
                </w:p>
              </w:tc>
              <w:tc>
                <w:tcPr/>
                <w:p>
                  <w:pPr>
                    <w:pStyle w:val="Compact"/>
                    <w:jc w:val="left"/>
                    <w:jc w:val="center"/>
                  </w:pPr>
                  <m:oMath>
                    <m:r>
                      <m:t>.008</m:t>
                    </m:r>
                  </m:oMath>
                </w:p>
              </w:tc>
              <w:tc>
                <w:tcPr/>
                <w:p>
                  <w:pPr>
                    <w:pStyle w:val="Compact"/>
                    <w:jc w:val="left"/>
                    <w:jc w:val="center"/>
                  </w:pPr>
                  <w:r>
                    <w:t xml:space="preserve">OR 0.89 (0.82–0.95)</w:t>
                  </w:r>
                </w:p>
              </w:tc>
              <w:tc>
                <w:tcPr/>
                <w:p>
                  <w:pPr>
                    <w:pStyle w:val="Compact"/>
                    <w:jc w:val="left"/>
                    <w:jc w:val="center"/>
                  </w:pPr>
                  <m:oMath>
                    <m:r>
                      <m:t>.001</m:t>
                    </m:r>
                  </m:oMath>
                </w:p>
              </w:tc>
            </w:tr>
            <w:tr>
              <w:tc>
                <w:tcPr/>
                <w:p>
                  <w:pPr>
                    <w:pStyle w:val="Compact"/>
                    <w:jc w:val="left"/>
                    <w:jc w:val="center"/>
                  </w:pPr>
                  <w:r>
                    <w:t xml:space="preserve">Wei et al [46]</w:t>
                  </w:r>
                  <m:oMath>
                    <m:sSup>
                      <m:e>
                        <m:r>
                          <m:t>​</m:t>
                        </m:r>
                      </m:e>
                      <m:sup>
                        <m:r>
                          <m:t>e</m:t>
                        </m:r>
                      </m:sup>
                    </m:sSup>
                  </m:oMath>
                  <w:r>
                    <w:t xml:space="preserve">, 2019</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Hypoglycemic events</w:t>
                  </w:r>
                </w:p>
              </w:tc>
              <w:tc>
                <w:tcPr/>
                <w:p>
                  <w:pPr>
                    <w:pStyle w:val="Compact"/>
                    <w:jc w:val="left"/>
                    <w:jc w:val="center"/>
                  </w:pPr>
                  <w:r>
                    <w:t xml:space="preserve">HR 1.691 (1.144–2.499)</w:t>
                  </w:r>
                </w:p>
              </w:tc>
              <w:tc>
                <w:tcPr/>
                <w:p>
                  <w:pPr>
                    <w:pStyle w:val="Compact"/>
                    <w:jc w:val="left"/>
                    <w:jc w:val="center"/>
                  </w:pPr>
                  <w:r>
                    <w:t xml:space="preserve">—</w:t>
                  </w:r>
                </w:p>
              </w:tc>
              <w:tc>
                <w:tcPr/>
                <w:p>
                  <w:pPr>
                    <w:pStyle w:val="Compact"/>
                    <w:jc w:val="left"/>
                    <w:jc w:val="center"/>
                  </w:pPr>
                  <w:r>
                    <w:t xml:space="preserve">HR 1.813 (1.110–2.960)</w:t>
                  </w:r>
                </w:p>
              </w:tc>
              <w:tc>
                <w:tcPr/>
                <w:p>
                  <w:pPr>
                    <w:pStyle w:val="Compact"/>
                    <w:jc w:val="left"/>
                    <w:jc w:val="center"/>
                  </w:pPr>
                  <m:oMath>
                    <m:r>
                      <m:t>.06</m:t>
                    </m:r>
                  </m:oMath>
                </w:p>
              </w:tc>
            </w:tr>
            <w:tr>
              <w:tc>
                <w:tcPr/>
                <w:p>
                  <w:pPr>
                    <w:pStyle w:val="Compact"/>
                    <w:jc w:val="left"/>
                    <w:jc w:val="center"/>
                  </w:pPr>
                  <w:r>
                    <w:rPr>
                      <w:b/>
                      <w:bCs/>
                    </w:rPr>
                    <w:t xml:space="preserve">Peripheral artery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 Meulemeester et al [48]</w:t>
                  </w:r>
                  <m:oMath>
                    <m:sSup>
                      <m:e>
                        <m:r>
                          <m:t>​</m:t>
                        </m:r>
                      </m:e>
                      <m:sup>
                        <m:r>
                          <m:t>e</m:t>
                        </m:r>
                        <m:r>
                          <m:rPr>
                            <m:sty m:val="p"/>
                          </m:rPr>
                          <m:t>,</m:t>
                        </m:r>
                        <m:r>
                          <m:t>g</m:t>
                        </m:r>
                      </m:sup>
                    </m:sSup>
                  </m:oMath>
                  <w:r>
                    <w:t xml:space="preserve">, 2024</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TITR</w:t>
                  </w:r>
                </w:p>
              </w:tc>
              <w:tc>
                <w:tcPr/>
                <w:p>
                  <w:pPr>
                    <w:pStyle w:val="Compact"/>
                    <w:jc w:val="left"/>
                    <w:jc w:val="center"/>
                  </w:pPr>
                  <w:r>
                    <w:t xml:space="preserve">OR 0.680 (0.426–1.085)</w:t>
                  </w:r>
                </w:p>
              </w:tc>
              <w:tc>
                <w:tcPr/>
                <w:p>
                  <w:pPr>
                    <w:pStyle w:val="Compact"/>
                    <w:jc w:val="left"/>
                    <w:jc w:val="center"/>
                  </w:pPr>
                  <m:oMath>
                    <m:r>
                      <m:rPr>
                        <m:sty m:val="p"/>
                      </m:rPr>
                      <m:t>&gt;</m:t>
                    </m:r>
                    <m:r>
                      <m:t>.05</m:t>
                    </m:r>
                  </m:oMath>
                </w:p>
              </w:tc>
              <w:tc>
                <w:tcPr/>
                <w:p>
                  <w:pPr>
                    <w:pStyle w:val="Compact"/>
                    <w:jc w:val="left"/>
                    <w:jc w:val="center"/>
                  </w:pPr>
                  <w:r>
                    <w:t xml:space="preserve">OR 0.807 (0.382–1.703)</w:t>
                  </w:r>
                </w:p>
              </w:tc>
              <w:tc>
                <w:tcPr/>
                <w:p>
                  <w:pPr>
                    <w:pStyle w:val="Compact"/>
                    <w:jc w:val="left"/>
                    <w:jc w:val="center"/>
                  </w:pPr>
                  <m:oMath>
                    <m:r>
                      <m:rPr>
                        <m:sty m:val="p"/>
                      </m:rPr>
                      <m:t>&gt;</m:t>
                    </m:r>
                    <m:r>
                      <m:t>.05</m:t>
                    </m:r>
                  </m:oMath>
                </w:p>
              </w:tc>
            </w:tr>
            <w:tr>
              <w:tc>
                <w:tcPr/>
                <w:p>
                  <w:pPr>
                    <w:pStyle w:val="Compact"/>
                    <w:jc w:val="left"/>
                    <w:jc w:val="center"/>
                  </w:pPr>
                  <w:r>
                    <w:t xml:space="preserve">    TIR</w:t>
                  </w:r>
                </w:p>
              </w:tc>
              <w:tc>
                <w:tcPr/>
                <w:p>
                  <w:pPr>
                    <w:pStyle w:val="Compact"/>
                    <w:jc w:val="left"/>
                    <w:jc w:val="center"/>
                  </w:pPr>
                  <w:r>
                    <w:t xml:space="preserve">OR 0.736 (0.520–1.042)</w:t>
                  </w:r>
                </w:p>
              </w:tc>
              <w:tc>
                <w:tcPr/>
                <w:p>
                  <w:pPr>
                    <w:pStyle w:val="Compact"/>
                    <w:jc w:val="left"/>
                    <w:jc w:val="center"/>
                  </w:pPr>
                  <m:oMath>
                    <m:r>
                      <m:rPr>
                        <m:sty m:val="p"/>
                      </m:rPr>
                      <m:t>&gt;</m:t>
                    </m:r>
                    <m:r>
                      <m:t>.05</m:t>
                    </m:r>
                  </m:oMath>
                </w:p>
              </w:tc>
              <w:tc>
                <w:tcPr/>
                <w:p>
                  <w:pPr>
                    <w:pStyle w:val="Compact"/>
                    <w:jc w:val="left"/>
                    <w:jc w:val="center"/>
                  </w:pPr>
                  <w:r>
                    <w:t xml:space="preserve">OR 0.811 (0.470–1.398)</w:t>
                  </w:r>
                </w:p>
              </w:tc>
              <w:tc>
                <w:tcPr/>
                <w:p>
                  <w:pPr>
                    <w:pStyle w:val="Compact"/>
                    <w:jc w:val="left"/>
                    <w:jc w:val="center"/>
                  </w:pPr>
                  <m:oMath>
                    <m:r>
                      <m:rPr>
                        <m:sty m:val="p"/>
                      </m:rPr>
                      <m:t>&gt;</m:t>
                    </m:r>
                    <m:r>
                      <m:t>.05</m:t>
                    </m:r>
                  </m:oMath>
                </w:p>
              </w:tc>
            </w:tr>
            <w:tr>
              <w:tc>
                <w:tcPr/>
                <w:p>
                  <w:pPr>
                    <w:pStyle w:val="Compact"/>
                    <w:jc w:val="left"/>
                    <w:jc w:val="center"/>
                  </w:pPr>
                  <w:r>
                    <w:rPr>
                      <w:b/>
                      <w:bCs/>
                    </w:rPr>
                    <w:t xml:space="preserve">Lower extremity arterial disease</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Li et al [52], 2020</w:t>
                  </w: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TIR</w:t>
                  </w:r>
                </w:p>
              </w:tc>
              <w:tc>
                <w:tcPr/>
                <w:p>
                  <w:pPr>
                    <w:pStyle w:val="Compact"/>
                    <w:jc w:val="left"/>
                    <w:jc w:val="center"/>
                  </w:pPr>
                  <w:r>
                    <w:t xml:space="preserve">OR 0.979 (0.968–0.991)</w:t>
                  </w:r>
                </w:p>
              </w:tc>
              <w:tc>
                <w:tcPr/>
                <w:p>
                  <w:pPr>
                    <w:pStyle w:val="Compact"/>
                    <w:jc w:val="left"/>
                    <w:jc w:val="center"/>
                  </w:pPr>
                  <m:oMath>
                    <m:r>
                      <m:rPr>
                        <m:sty m:val="p"/>
                      </m:rPr>
                      <m:t>&lt;</m:t>
                    </m:r>
                    <m:r>
                      <m:t>.001</m:t>
                    </m:r>
                  </m:oMath>
                </w:p>
              </w:tc>
              <w:tc>
                <w:tcPr/>
                <w:p>
                  <w:pPr>
                    <w:pStyle w:val="Compact"/>
                    <w:jc w:val="left"/>
                    <w:jc w:val="center"/>
                  </w:pPr>
                  <w:r>
                    <w:t xml:space="preserve">OR 0.979 (0.965–0.992)</w:t>
                  </w:r>
                </w:p>
              </w:tc>
              <w:tc>
                <w:tcPr/>
                <w:p>
                  <w:pPr>
                    <w:pStyle w:val="Compact"/>
                    <w:jc w:val="left"/>
                    <w:jc w:val="center"/>
                  </w:pPr>
                  <m:oMath>
                    <m:r>
                      <m:t>.002</m:t>
                    </m:r>
                  </m:oMath>
                </w:p>
              </w:tc>
            </w:tr>
            <w:tr>
              <w:tc>
                <w:tcPr/>
                <w:p>
                  <w:pPr>
                    <w:pStyle w:val="Compact"/>
                    <w:jc w:val="left"/>
                    <w:jc w:val="center"/>
                  </w:pPr>
                  <w:r>
                    <w:t xml:space="preserve">    CV</w:t>
                  </w:r>
                </w:p>
              </w:tc>
              <w:tc>
                <w:tcPr/>
                <w:p>
                  <w:pPr>
                    <w:pStyle w:val="Compact"/>
                    <w:jc w:val="left"/>
                    <w:jc w:val="center"/>
                  </w:pPr>
                  <w:r>
                    <w:t xml:space="preserve">OR 1.040 (1.003–1.078)</w:t>
                  </w:r>
                </w:p>
              </w:tc>
              <w:tc>
                <w:tcPr/>
                <w:p>
                  <w:pPr>
                    <w:pStyle w:val="Compact"/>
                    <w:jc w:val="left"/>
                    <w:jc w:val="center"/>
                  </w:pPr>
                  <m:oMath>
                    <m:r>
                      <m:t>.04</m:t>
                    </m:r>
                  </m:oMath>
                </w:p>
              </w:tc>
              <w:tc>
                <w:tcPr/>
                <w:p>
                  <w:pPr>
                    <w:pStyle w:val="Compact"/>
                    <w:jc w:val="left"/>
                    <w:jc w:val="center"/>
                  </w:pPr>
                  <w:r>
                    <w:t xml:space="preserve">OR 1.038 (0.996–1.081)</w:t>
                  </w:r>
                </w:p>
              </w:tc>
              <w:tc>
                <w:tcPr/>
                <w:p>
                  <w:pPr>
                    <w:pStyle w:val="Compact"/>
                    <w:jc w:val="left"/>
                    <w:jc w:val="center"/>
                  </w:pPr>
                  <m:oMath>
                    <m:r>
                      <m:t>.08</m:t>
                    </m:r>
                  </m:oMath>
                </w:p>
              </w:tc>
            </w:tr>
            <w:tr>
              <w:tc>
                <w:tcPr/>
                <w:p>
                  <w:pPr>
                    <w:pStyle w:val="Compact"/>
                    <w:jc w:val="left"/>
                    <w:jc w:val="center"/>
                  </w:pPr>
                  <w:r>
                    <w:t xml:space="preserve">    SD</w:t>
                  </w:r>
                </w:p>
              </w:tc>
              <w:tc>
                <w:tcPr/>
                <w:p>
                  <w:pPr>
                    <w:pStyle w:val="Compact"/>
                    <w:jc w:val="left"/>
                    <w:jc w:val="center"/>
                  </w:pPr>
                  <w:r>
                    <w:t xml:space="preserve">OR 1.325 (1.038–1.691)</w:t>
                  </w:r>
                </w:p>
              </w:tc>
              <w:tc>
                <w:tcPr/>
                <w:p>
                  <w:pPr>
                    <w:pStyle w:val="Compact"/>
                    <w:jc w:val="left"/>
                    <w:jc w:val="center"/>
                  </w:pPr>
                  <m:oMath>
                    <m:r>
                      <m:t>.02</m:t>
                    </m:r>
                  </m:oMath>
                </w:p>
              </w:tc>
              <w:tc>
                <w:tcPr/>
                <w:p>
                  <w:pPr>
                    <w:pStyle w:val="Compact"/>
                    <w:jc w:val="left"/>
                    <w:jc w:val="center"/>
                  </w:pPr>
                  <w:r>
                    <w:t xml:space="preserve">OR 1.158 (0.824–1.627)</w:t>
                  </w:r>
                </w:p>
              </w:tc>
              <w:tc>
                <w:tcPr/>
                <w:p>
                  <w:pPr>
                    <w:pStyle w:val="Compact"/>
                    <w:jc w:val="left"/>
                    <w:jc w:val="center"/>
                  </w:pPr>
                  <m:oMath>
                    <m:r>
                      <m:t>.40</m:t>
                    </m:r>
                  </m:oMath>
                </w:p>
              </w:tc>
            </w:tr>
            <w:tr>
              <w:tc>
                <w:tcPr/>
                <w:p>
                  <w:pPr>
                    <w:pStyle w:val="Compact"/>
                    <w:jc w:val="left"/>
                    <w:jc w:val="center"/>
                  </w:pPr>
                  <w:r>
                    <w:t xml:space="preserve">    TIR-without LEAD</w:t>
                  </w:r>
                  <w:r>
                    <w:t xml:space="preserve"> </w:t>
                  </w:r>
                  <m:oMath>
                    <m:sSup>
                      <m:e>
                        <m:r>
                          <m:t>​</m:t>
                        </m:r>
                      </m:e>
                      <m:sup>
                        <m:r>
                          <m:t>p</m:t>
                        </m:r>
                      </m:sup>
                    </m:sSup>
                  </m:oMath>
                  <w:r>
                    <w:t xml:space="preserve"> </w:t>
                  </w:r>
                  <w:r>
                    <w:t xml:space="preserve">(1)</w:t>
                  </w:r>
                </w:p>
              </w:tc>
              <w:tc>
                <w:tcPr/>
                <w:p>
                  <w:pPr>
                    <w:pStyle w:val="Compact"/>
                    <w:jc w:val="left"/>
                    <w:jc w:val="center"/>
                  </w:pPr>
                  <w:r>
                    <w:t xml:space="preserve">OR 1.00</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(1)</w:t>
                  </w:r>
                </w:p>
              </w:tc>
              <w:tc>
                <w:tcPr/>
                <w:p>
                  <w:pPr>
                    <w:pStyle w:val="Compact"/>
                    <w:jc w:val="left"/>
                    <w:jc w:val="center"/>
                  </w:pPr>
                  <w:r>
                    <w:t xml:space="preserve">OR 0.98 (0.97–1.00)</w:t>
                  </w:r>
                </w:p>
              </w:tc>
              <w:tc>
                <w:tcPr/>
                <w:p>
                  <w:pPr>
                    <w:pStyle w:val="Compact"/>
                    <w:jc w:val="left"/>
                    <w:jc w:val="center"/>
                  </w:pPr>
                  <m:oMath>
                    <m:r>
                      <m:t>.14</m:t>
                    </m:r>
                  </m:oMath>
                </w:p>
              </w:tc>
              <w:tc>
                <w:tcPr/>
                <w:p>
                  <w:pPr>
                    <w:pStyle w:val="Compact"/>
                    <w:jc w:val="left"/>
                    <w:jc w:val="center"/>
                  </w:pPr>
                  <w:r>
                    <w:t xml:space="preserve">OR 0.99 (0.97–1.01)</w:t>
                  </w:r>
                </w:p>
              </w:tc>
              <w:tc>
                <w:tcPr/>
                <w:p>
                  <w:pPr>
                    <w:pStyle w:val="Compact"/>
                    <w:jc w:val="left"/>
                    <w:jc w:val="center"/>
                  </w:pPr>
                  <m:oMath>
                    <m:r>
                      <m:t>.25</m:t>
                    </m:r>
                  </m:oMath>
                </w:p>
              </w:tc>
            </w:tr>
            <w:tr>
              <w:tc>
                <w:tcPr/>
                <w:p>
                  <w:pPr>
                    <w:pStyle w:val="Compact"/>
                    <w:jc w:val="left"/>
                    <w:jc w:val="center"/>
                  </w:pPr>
                  <w:r>
                    <w:t xml:space="preserve">    TIR-moderate LEAD (1)</w:t>
                  </w:r>
                </w:p>
              </w:tc>
              <w:tc>
                <w:tcPr/>
                <w:p>
                  <w:pPr>
                    <w:pStyle w:val="Compact"/>
                    <w:jc w:val="left"/>
                    <w:jc w:val="center"/>
                  </w:pPr>
                  <w:r>
                    <w:t xml:space="preserve">OR 0.97 (0.95–0.99)</w:t>
                  </w:r>
                </w:p>
              </w:tc>
              <w:tc>
                <w:tcPr/>
                <w:p>
                  <w:pPr>
                    <w:pStyle w:val="Compact"/>
                    <w:jc w:val="left"/>
                    <w:jc w:val="center"/>
                  </w:pPr>
                  <m:oMath>
                    <m:r>
                      <m:t>.007</m:t>
                    </m:r>
                  </m:oMath>
                </w:p>
              </w:tc>
              <w:tc>
                <w:tcPr/>
                <w:p>
                  <w:pPr>
                    <w:pStyle w:val="Compact"/>
                    <w:jc w:val="left"/>
                    <w:jc w:val="center"/>
                  </w:pPr>
                  <w:r>
                    <w:t xml:space="preserve">OR 0.97 (0.95–0.99)</w:t>
                  </w:r>
                </w:p>
              </w:tc>
              <w:tc>
                <w:tcPr/>
                <w:p>
                  <w:pPr>
                    <w:pStyle w:val="Compact"/>
                    <w:jc w:val="left"/>
                    <w:jc w:val="center"/>
                  </w:pPr>
                  <m:oMath>
                    <m:r>
                      <m:t>.01</m:t>
                    </m:r>
                  </m:oMath>
                </w:p>
              </w:tc>
            </w:tr>
            <w:tr>
              <w:tc>
                <w:tcPr/>
                <w:p>
                  <w:pPr>
                    <w:pStyle w:val="Compact"/>
                    <w:jc w:val="left"/>
                    <w:jc w:val="center"/>
                  </w:pPr>
                  <w:r>
                    <w:t xml:space="preserve">    TIR-without severe LEAD (1)</w:t>
                  </w:r>
                </w:p>
              </w:tc>
              <w:tc>
                <w:tcPr/>
                <w:p>
                  <w:pPr>
                    <w:pStyle w:val="Compact"/>
                    <w:jc w:val="left"/>
                    <w:jc w:val="center"/>
                  </w:pPr>
                  <w:r>
                    <w:t xml:space="preserve">OR 0.96 (0.94–0.98)</w:t>
                  </w:r>
                </w:p>
              </w:tc>
              <w:tc>
                <w:tcPr/>
                <w:p>
                  <w:pPr>
                    <w:pStyle w:val="Compact"/>
                    <w:jc w:val="left"/>
                    <w:jc w:val="center"/>
                  </w:pPr>
                  <m:oMath>
                    <m:r>
                      <m:t>.002</m:t>
                    </m:r>
                  </m:oMath>
                </w:p>
              </w:tc>
              <w:tc>
                <w:tcPr/>
                <w:p>
                  <w:pPr>
                    <w:pStyle w:val="Compact"/>
                    <w:jc w:val="left"/>
                    <w:jc w:val="center"/>
                  </w:pPr>
                  <w:r>
                    <w:t xml:space="preserve">OR 0.96 (0.94–0.98)</w:t>
                  </w:r>
                </w:p>
              </w:tc>
              <w:tc>
                <w:tcPr/>
                <w:p>
                  <w:pPr>
                    <w:pStyle w:val="Compact"/>
                    <w:jc w:val="left"/>
                    <w:jc w:val="center"/>
                  </w:pPr>
                  <m:oMath>
                    <m:r>
                      <m:t>.003</m:t>
                    </m:r>
                  </m:oMath>
                </w:p>
              </w:tc>
            </w:tr>
            <w:tr>
              <w:tc>
                <w:tcPr/>
                <w:p>
                  <w:pPr>
                    <w:pStyle w:val="Compact"/>
                    <w:jc w:val="left"/>
                    <w:jc w:val="center"/>
                  </w:pPr>
                  <w:r>
                    <w:t xml:space="preserve">    CV-without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CV-mild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1.03 (0.98–1.07)</w:t>
                  </w:r>
                </w:p>
              </w:tc>
              <w:tc>
                <w:tcPr/>
                <w:p>
                  <w:pPr>
                    <w:pStyle w:val="Compact"/>
                    <w:jc w:val="left"/>
                    <w:jc w:val="center"/>
                  </w:pPr>
                  <m:oMath>
                    <m:r>
                      <m:t>.28</m:t>
                    </m:r>
                  </m:oMath>
                </w:p>
              </w:tc>
            </w:tr>
            <w:tr>
              <w:tc>
                <w:tcPr/>
                <w:p>
                  <w:pPr>
                    <w:pStyle w:val="Compact"/>
                    <w:jc w:val="left"/>
                    <w:jc w:val="center"/>
                  </w:pPr>
                  <w:r>
                    <w:t xml:space="preserve">    CV-moderate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(0.96–1.09)</w:t>
                  </w:r>
                </w:p>
              </w:tc>
              <w:tc>
                <w:tcPr/>
                <w:p>
                  <w:pPr>
                    <w:pStyle w:val="Compact"/>
                    <w:jc w:val="left"/>
                    <w:jc w:val="center"/>
                  </w:pPr>
                  <m:oMath>
                    <m:r>
                      <m:t>.48</m:t>
                    </m:r>
                  </m:oMath>
                </w:p>
              </w:tc>
            </w:tr>
            <w:tr>
              <w:tc>
                <w:tcPr/>
                <w:p>
                  <w:pPr>
                    <w:pStyle w:val="Compact"/>
                    <w:jc w:val="left"/>
                    <w:jc w:val="center"/>
                  </w:pPr>
                  <w:r>
                    <w:t xml:space="preserve">    CV-without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1.02 (0.95–1.09)</w:t>
                  </w:r>
                </w:p>
              </w:tc>
              <w:tc>
                <w:tcPr/>
                <w:p>
                  <w:pPr>
                    <w:pStyle w:val="Compact"/>
                    <w:jc w:val="left"/>
                    <w:jc w:val="center"/>
                  </w:pPr>
                  <m:oMath>
                    <m:r>
                      <m:t>.60</m:t>
                    </m:r>
                  </m:oMath>
                </w:p>
              </w:tc>
            </w:tr>
            <w:tr>
              <w:tc>
                <w:tcPr/>
                <w:p>
                  <w:pPr>
                    <w:pStyle w:val="Compact"/>
                    <w:jc w:val="left"/>
                    <w:jc w:val="center"/>
                  </w:pPr>
                  <w:r>
                    <w:t xml:space="preserve">    TIR-without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TIR-mild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(0.96–1.08)</w:t>
                  </w:r>
                </w:p>
              </w:tc>
              <w:tc>
                <w:tcPr/>
                <w:p>
                  <w:pPr>
                    <w:pStyle w:val="Compact"/>
                    <w:jc w:val="left"/>
                    <w:jc w:val="center"/>
                  </w:pPr>
                  <m:oMath>
                    <m:r>
                      <m:t>.06</m:t>
                    </m:r>
                  </m:oMath>
                </w:p>
              </w:tc>
            </w:tr>
            <w:tr>
              <w:tc>
                <w:tcPr/>
                <w:p>
                  <w:pPr>
                    <w:pStyle w:val="Compact"/>
                    <w:jc w:val="left"/>
                    <w:jc w:val="center"/>
                  </w:pPr>
                  <w:r>
                    <w:t xml:space="preserve">    TIR-moderate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0.98 (0.95–0.99)</w:t>
                  </w:r>
                </w:p>
              </w:tc>
              <w:tc>
                <w:tcPr/>
                <w:p>
                  <w:pPr>
                    <w:pStyle w:val="Compact"/>
                    <w:jc w:val="left"/>
                    <w:jc w:val="center"/>
                  </w:pPr>
                  <m:oMath>
                    <m:r>
                      <m:t>.01</m:t>
                    </m:r>
                  </m:oMath>
                </w:p>
              </w:tc>
            </w:tr>
            <w:tr>
              <w:tc>
                <w:tcPr/>
                <w:p>
                  <w:pPr>
                    <w:pStyle w:val="Compact"/>
                    <w:jc w:val="left"/>
                    <w:jc w:val="center"/>
                  </w:pPr>
                  <w:r>
                    <w:t xml:space="preserve">    TIR-without severe LEAD (2)</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0.97 (0.95–0.99)</w:t>
                  </w:r>
                </w:p>
              </w:tc>
              <w:tc>
                <w:tcPr/>
                <w:p>
                  <w:pPr>
                    <w:pStyle w:val="Compact"/>
                    <w:jc w:val="left"/>
                    <w:jc w:val="center"/>
                  </w:pPr>
                  <m:oMath>
                    <m:r>
                      <m:t>.02</m:t>
                    </m:r>
                  </m:oMath>
                </w:p>
              </w:tc>
            </w:tr>
            <w:tr>
              <w:tc>
                <w:tcPr/>
                <w:p>
                  <w:pPr>
                    <w:pStyle w:val="Compact"/>
                    <w:jc w:val="left"/>
                    <w:jc w:val="center"/>
                  </w:pPr>
                  <w:r>
                    <w:t xml:space="preserve">    SD-without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1.00</w:t>
                  </w:r>
                </w:p>
              </w:tc>
              <w:tc>
                <w:tcPr/>
                <w:p>
                  <w:pPr>
                    <w:pStyle w:val="Compact"/>
                    <w:jc w:val="left"/>
                    <w:jc w:val="center"/>
                  </w:pPr>
                  <w:r>
                    <w:t xml:space="preserve">—</w:t>
                  </w:r>
                </w:p>
              </w:tc>
            </w:tr>
            <w:tr>
              <w:tc>
                <w:tcPr/>
                <w:p>
                  <w:pPr>
                    <w:pStyle w:val="Compact"/>
                    <w:jc w:val="left"/>
                    <w:jc w:val="center"/>
                  </w:pPr>
                  <w:r>
                    <w:t xml:space="preserve">    SD-mild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0.88 (0.47–1.64)</w:t>
                  </w:r>
                </w:p>
              </w:tc>
              <w:tc>
                <w:tcPr/>
                <w:p>
                  <w:pPr>
                    <w:pStyle w:val="Compact"/>
                    <w:jc w:val="left"/>
                    <w:jc w:val="center"/>
                  </w:pPr>
                  <m:oMath>
                    <m:r>
                      <m:t>.69</m:t>
                    </m:r>
                  </m:oMath>
                </w:p>
              </w:tc>
            </w:tr>
            <w:tr>
              <w:tc>
                <w:tcPr/>
                <w:p>
                  <w:pPr>
                    <w:pStyle w:val="Compact"/>
                    <w:jc w:val="left"/>
                    <w:jc w:val="center"/>
                  </w:pPr>
                  <w:r>
                    <w:t xml:space="preserve">    SD-moderate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1.28 (0.58–3.07)</w:t>
                  </w:r>
                </w:p>
              </w:tc>
              <w:tc>
                <w:tcPr/>
                <w:p>
                  <w:pPr>
                    <w:pStyle w:val="Compact"/>
                    <w:jc w:val="left"/>
                    <w:jc w:val="center"/>
                  </w:pPr>
                  <m:oMath>
                    <m:r>
                      <m:t>.58</m:t>
                    </m:r>
                  </m:oMath>
                </w:p>
              </w:tc>
            </w:tr>
            <w:tr>
              <w:tc>
                <w:tcPr/>
                <w:p>
                  <w:pPr>
                    <w:pStyle w:val="Compact"/>
                    <w:jc w:val="left"/>
                    <w:jc w:val="center"/>
                  </w:pPr>
                  <w:r>
                    <w:t xml:space="preserve">    SD-without severe LEAD</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OR 1.52 (0.92–2.41)</w:t>
                  </w:r>
                </w:p>
              </w:tc>
              <w:tc>
                <w:tcPr/>
                <w:p>
                  <w:pPr>
                    <w:pStyle w:val="Compact"/>
                    <w:jc w:val="left"/>
                    <w:jc w:val="center"/>
                  </w:pPr>
                  <m:oMath>
                    <m:r>
                      <m:t>.10</m:t>
                    </m:r>
                  </m:oMath>
                </w:p>
              </w:tc>
            </w:tr>
          </w:tbl>
          <w:bookmarkEnd w:id="113"/>
          <w:p/>
        </w:tc>
      </w:tr>
    </w:tbl>
    <w:p>
      <w:pPr>
        <w:pStyle w:val="BodyText"/>
      </w:pPr>
      <m:oMath>
        <m:sSup>
          <m:e>
            <m:r>
              <m:t>​</m:t>
            </m:r>
          </m:e>
          <m:sup>
            <m:r>
              <m:t>a</m:t>
            </m:r>
          </m:sup>
        </m:sSup>
      </m:oMath>
      <w:r>
        <w:t xml:space="preserve"> </w:t>
      </w:r>
      <w:r>
        <w:t xml:space="preserve">The full table with adjustments is provided in</w:t>
      </w:r>
      <w:r>
        <w:t xml:space="preserve"> </w:t>
      </w:r>
      <w:r>
        <w:rPr>
          <w:b/>
          <w:bCs/>
        </w:rPr>
        <w:t xml:space="preserve">Multimedia Appendix 10</w:t>
      </w:r>
      <w:r>
        <w:t xml:space="preserve">. Further elaboration on the adjusted variables can be found in</w:t>
      </w:r>
      <w:r>
        <w:t xml:space="preserve"> </w:t>
      </w:r>
      <w:r>
        <w:rPr>
          <w:b/>
          <w:bCs/>
        </w:rPr>
        <w:t xml:space="preserve">Multimedia Appendices 7 and 8</w:t>
      </w:r>
      <w:r>
        <w:t xml:space="preserve">.</w:t>
      </w:r>
      <w:r>
        <w:br/>
      </w:r>
      <m:oMath>
        <m:sSup>
          <m:e>
            <m:r>
              <m:t>​</m:t>
            </m:r>
          </m:e>
          <m:sup>
            <m:r>
              <m:t>b</m:t>
            </m:r>
          </m:sup>
        </m:sSup>
      </m:oMath>
      <w:r>
        <w:t xml:space="preserve"> </w:t>
      </w:r>
      <w:r>
        <w:t xml:space="preserve">All hazard ratios (HRs), odds ratios (ORs), and areas under the curve (AUCs) are reported as follows: point estimate (</w:t>
      </w:r>
      <m:oMath>
        <m:r>
          <m:t>95</m:t>
        </m:r>
        <m:r>
          <m:rPr>
            <m:sty m:val="p"/>
          </m:rPr>
          <m:t>%</m:t>
        </m:r>
      </m:oMath>
      <w:r>
        <w:t xml:space="preserve"> </w:t>
      </w:r>
      <w:r>
        <w:t xml:space="preserve">CI).</w:t>
      </w:r>
      <w:r>
        <w:br/>
      </w:r>
      <m:oMath>
        <m:sSup>
          <m:e>
            <m:r>
              <m:t>​</m:t>
            </m:r>
          </m:e>
          <m:sup>
            <m:r>
              <m:t>c</m:t>
            </m:r>
          </m:sup>
        </m:sSup>
      </m:oMath>
      <w:r>
        <w:t xml:space="preserve"> </w:t>
      </w:r>
      <w:r>
        <w:t xml:space="preserve">TIR: time in range.</w:t>
      </w:r>
      <w:r>
        <w:br/>
      </w:r>
      <m:oMath>
        <m:sSup>
          <m:e>
            <m:r>
              <m:t>​</m:t>
            </m:r>
          </m:e>
          <m:sup>
            <m:r>
              <m:t>d</m:t>
            </m:r>
          </m:sup>
        </m:sSup>
      </m:oMath>
      <w:r>
        <w:t xml:space="preserve"> </w:t>
      </w:r>
      <w:r>
        <w:t xml:space="preserve">Not applicable or not available/not reported.</w:t>
      </w:r>
      <w:r>
        <w:br/>
      </w:r>
      <m:oMath>
        <m:sSup>
          <m:e>
            <m:r>
              <m:t>​</m:t>
            </m:r>
          </m:e>
          <m:sup>
            <m:r>
              <m:t>e</m:t>
            </m:r>
          </m:sup>
        </m:sSup>
      </m:oMath>
      <w:r>
        <w:t xml:space="preserve"> </w:t>
      </w:r>
      <w:r>
        <w:t xml:space="preserve">This study appears multiple times as it investigated multiple cardiovascular disease outcomes.</w:t>
      </w:r>
      <w:r>
        <w:br/>
      </w:r>
      <m:oMath>
        <m:sSup>
          <m:e>
            <m:r>
              <m:t>​</m:t>
            </m:r>
          </m:e>
          <m:sup>
            <m:r>
              <m:t>f</m:t>
            </m:r>
          </m:sup>
        </m:sSup>
      </m:oMath>
      <w:r>
        <w:t xml:space="preserve"> </w:t>
      </w:r>
      <w:r>
        <w:t xml:space="preserve">GMI: glucose management indicator.</w:t>
      </w:r>
      <w:r>
        <w:br/>
      </w:r>
      <m:oMath>
        <m:sSup>
          <m:e>
            <m:r>
              <m:t>​</m:t>
            </m:r>
          </m:e>
          <m:sup>
            <m:r>
              <m:t>g</m:t>
            </m:r>
          </m:sup>
        </m:sSup>
      </m:oMath>
      <w:r>
        <w:t xml:space="preserve"> </w:t>
      </w:r>
      <w:r>
        <w:t xml:space="preserve">This study appears in both the clinical and subclinical disease outcome tables owing to the investigation of multiple cardiovascular disease outcomes.</w:t>
      </w:r>
      <w:r>
        <w:br/>
      </w:r>
      <m:oMath>
        <m:sSup>
          <m:e>
            <m:r>
              <m:t>​</m:t>
            </m:r>
          </m:e>
          <m:sup>
            <m:r>
              <m:t>h</m:t>
            </m:r>
          </m:sup>
        </m:sSup>
      </m:oMath>
      <w:r>
        <w:t xml:space="preserve"> </w:t>
      </w:r>
      <w:r>
        <w:t xml:space="preserve">TITR: time in tight range.</w:t>
      </w:r>
      <w:r>
        <w:br/>
      </w:r>
      <m:oMath>
        <m:sSup>
          <m:e>
            <m:r>
              <m:t>​</m:t>
            </m:r>
          </m:e>
          <m:sup>
            <m:r>
              <m:t>i</m:t>
            </m:r>
          </m:sup>
        </m:sSup>
      </m:oMath>
      <w:r>
        <w:t xml:space="preserve"> </w:t>
      </w:r>
      <w:r>
        <w:t xml:space="preserve">TBR: time below range.</w:t>
      </w:r>
      <w:r>
        <w:br/>
      </w:r>
      <m:oMath>
        <m:sSup>
          <m:e>
            <m:r>
              <m:t>​</m:t>
            </m:r>
          </m:e>
          <m:sup>
            <m:r>
              <m:t>j</m:t>
            </m:r>
          </m:sup>
        </m:sSup>
      </m:oMath>
      <w:r>
        <w:t xml:space="preserve"> </w:t>
      </w:r>
      <w:r>
        <w:t xml:space="preserve">TAR: time above range.</w:t>
      </w:r>
      <w:r>
        <w:br/>
      </w:r>
      <m:oMath>
        <m:sSup>
          <m:e>
            <m:r>
              <m:t>​</m:t>
            </m:r>
          </m:e>
          <m:sup>
            <m:r>
              <m:t>k</m:t>
            </m:r>
          </m:sup>
        </m:sSup>
      </m:oMath>
      <w:r>
        <w:t xml:space="preserve"> </w:t>
      </w:r>
      <w:r>
        <w:t xml:space="preserve">CV: coefficient of variation.</w:t>
      </w:r>
      <w:r>
        <w:br/>
      </w:r>
      <m:oMath>
        <m:sSup>
          <m:e>
            <m:r>
              <m:t>​</m:t>
            </m:r>
          </m:e>
          <m:sup>
            <m:r>
              <m:t>l</m:t>
            </m:r>
          </m:sup>
        </m:sSup>
      </m:oMath>
      <w:r>
        <w:t xml:space="preserve"> </w:t>
      </w:r>
      <w:r>
        <w:t xml:space="preserve">BG: blood glucose.</w:t>
      </w:r>
      <w:r>
        <w:br/>
      </w:r>
      <m:oMath>
        <m:sSup>
          <m:e>
            <m:r>
              <m:t>​</m:t>
            </m:r>
          </m:e>
          <m:sup>
            <m:r>
              <m:t>m</m:t>
            </m:r>
          </m:sup>
        </m:sSup>
      </m:oMath>
      <w:r>
        <w:t xml:space="preserve"> </w:t>
      </w:r>
      <w:r>
        <w:t xml:space="preserve">MAGE: mean amplitude of glycemic excursions.</w:t>
      </w:r>
      <w:r>
        <w:br/>
      </w:r>
      <m:oMath>
        <m:sSup>
          <m:e>
            <m:r>
              <m:t>​</m:t>
            </m:r>
          </m:e>
          <m:sup>
            <m:r>
              <m:t>n</m:t>
            </m:r>
          </m:sup>
        </m:sSup>
      </m:oMath>
      <w:r>
        <w:t xml:space="preserve"> </w:t>
      </w:r>
      <w:r>
        <w:t xml:space="preserve">LAGE: largest amplitude of glycemic excursions.</w:t>
      </w:r>
      <w:r>
        <w:br/>
      </w:r>
      <m:oMath>
        <m:sSup>
          <m:e>
            <m:r>
              <m:t>​</m:t>
            </m:r>
          </m:e>
          <m:sup>
            <m:r>
              <m:t>o</m:t>
            </m:r>
          </m:sup>
        </m:sSup>
      </m:oMath>
      <w:r>
        <w:t xml:space="preserve"> </w:t>
      </w:r>
      <w:r>
        <w:t xml:space="preserve">MODD: mean of daily differences.</w:t>
      </w:r>
      <w:r>
        <w:br/>
      </w:r>
      <m:oMath>
        <m:sSup>
          <m:e>
            <m:r>
              <m:t>​</m:t>
            </m:r>
          </m:e>
          <m:sup>
            <m:r>
              <m:t>p</m:t>
            </m:r>
          </m:sup>
        </m:sSup>
      </m:oMath>
      <w:r>
        <w:t xml:space="preserve"> </w:t>
      </w:r>
      <w:r>
        <w:t xml:space="preserve">LEAD: lower extremity arterial disease.</w:t>
      </w:r>
    </w:p>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114" w:name="tbl-study3-clin-subclin-cvd"/>
          <w:p>
            <w:pPr>
              <w:jc w:val="center"/>
            </w:pPr>
            <w:pPr>
              <w:jc w:val="left"/>
              <w:spacing w:before="200"/>
              <w:pStyle w:val="ImageCaption"/>
            </w:pPr>
            <w:r>
              <w:t xml:space="preserve">Table 5.3: Summary of established clinical and subclinical outcomes and corresponding abbreviations identified in the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Clinical</w:t>
                  </w:r>
                </w:p>
              </w:tc>
              <w:tc>
                <w:tcPr/>
                <w:p>
                  <w:pPr>
                    <w:pStyle w:val="Compact"/>
                    <w:jc w:val="left"/>
                    <w:jc w:val="center"/>
                  </w:pPr>
                  <w:r>
                    <w:t xml:space="preserve">Subclinical</w:t>
                  </w:r>
                </w:p>
              </w:tc>
            </w:tr>
            <w:tr>
              <w:tc>
                <w:tcPr/>
                <w:p>
                  <w:pPr>
                    <w:pStyle w:val="Compact"/>
                    <w:jc w:val="left"/>
                    <w:jc w:val="center"/>
                  </w:pPr>
                  <w:r>
                    <w:t xml:space="preserve">• CVD = Cardiovascular disease</w:t>
                  </w:r>
                  <w:r>
                    <w:t xml:space="preserve"> </w:t>
                  </w:r>
                  <w:r>
                    <w:t xml:space="preserve">   - Macrovascular complications</w:t>
                  </w:r>
                  <w:r>
                    <w:t xml:space="preserve"> </w:t>
                  </w:r>
                  <w:r>
                    <w:t xml:space="preserve">   - Diabetic macroangiopathy</w:t>
                  </w:r>
                  <w:r>
                    <w:t xml:space="preserve"> </w:t>
                  </w:r>
                  <w:r>
                    <w:t xml:space="preserve">• CAD = Coronary artery disease</w:t>
                  </w:r>
                  <w:r>
                    <w:t xml:space="preserve"> </w:t>
                  </w:r>
                  <w:r>
                    <w:t xml:space="preserve"> </w:t>
                  </w:r>
                  <w:r>
                    <w:t xml:space="preserve">   - CHD = Coronary heart disease</w:t>
                  </w:r>
                  <w:r>
                    <w:t xml:space="preserve"> </w:t>
                  </w:r>
                  <w:r>
                    <w:t xml:space="preserve">   - MI = Myocardial infarction</w:t>
                  </w:r>
                  <w:r>
                    <w:t xml:space="preserve"> </w:t>
                  </w:r>
                  <w:r>
                    <w:t xml:space="preserve">   - Heart attack</w:t>
                  </w:r>
                  <w:r>
                    <w:t xml:space="preserve"> </w:t>
                  </w:r>
                  <w:r>
                    <w:t xml:space="preserve">   - Heart failure</w:t>
                  </w:r>
                  <w:r>
                    <w:t xml:space="preserve"> </w:t>
                  </w:r>
                  <w:r>
                    <w:t xml:space="preserve">   - (Unstable) angina pectoris</w:t>
                  </w:r>
                  <w:r>
                    <w:t xml:space="preserve"> </w:t>
                  </w:r>
                  <w:r>
                    <w:t xml:space="preserve">• Cardiovascular events</w:t>
                  </w:r>
                  <w:r>
                    <w:t xml:space="preserve"> </w:t>
                  </w:r>
                  <w:r>
                    <w:t xml:space="preserve">   - Ishemic heart disease (IHD)</w:t>
                  </w:r>
                  <w:r>
                    <w:t xml:space="preserve"> </w:t>
                  </w:r>
                  <w:r>
                    <w:t xml:space="preserve">• LEAD = Lower extremity artery disease</w:t>
                  </w:r>
                  <w:r>
                    <w:t xml:space="preserve"> </w:t>
                  </w:r>
                  <w:r>
                    <w:t xml:space="preserve">• MACE = Major adverse cardiovascular events</w:t>
                  </w:r>
                  <w:r>
                    <w:t xml:space="preserve"> </w:t>
                  </w:r>
                  <w:r>
                    <w:t xml:space="preserve">• PAD = Peripheral artery disease</w:t>
                  </w:r>
                  <w:r>
                    <w:t xml:space="preserve"> </w:t>
                  </w:r>
                  <w:r>
                    <w:t xml:space="preserve">• Stroke = Stroke, Cerebrovascular disease, or Cerebrovascular accident</w:t>
                  </w:r>
                </w:p>
              </w:tc>
              <w:tc>
                <w:tcPr/>
                <w:p>
                  <w:pPr>
                    <w:pStyle w:val="Compact"/>
                    <w:jc w:val="left"/>
                    <w:jc w:val="center"/>
                  </w:pPr>
                  <w:r>
                    <w:t xml:space="preserve">• ABI = Ankle–brachial index</w:t>
                  </w:r>
                  <w:r>
                    <w:t xml:space="preserve">• BP = Blood pressure</w:t>
                  </w:r>
                  <w:r>
                    <w:t xml:space="preserve">• Carotid artery distensibility = Carotid artery distensibility or carotid distensibility coefficient</w:t>
                  </w:r>
                  <w:r>
                    <w:t xml:space="preserve">• CCA = Common carotid artery</w:t>
                  </w:r>
                  <w:r>
                    <w:t xml:space="preserve">• CIMT = Carotid artery intima-media thickness</w:t>
                  </w:r>
                  <w:r>
                    <w:t xml:space="preserve">• DBP = Diastolic blood pressure</w:t>
                  </w:r>
                  <w:r>
                    <w:t xml:space="preserve">• FMD = Flow-mediated dilation of the brachial artery</w:t>
                  </w:r>
                  <w:r>
                    <w:t xml:space="preserve">• GSM = Gray-scale median of the carotid arteries</w:t>
                  </w:r>
                  <w:r>
                    <w:t xml:space="preserve">• HRV = Heart rate variability</w:t>
                  </w:r>
                  <w:r>
                    <w:t xml:space="preserve">• IMT = Intima-media thickness</w:t>
                  </w:r>
                  <w:r>
                    <w:t xml:space="preserve">• PWV = Pulse wave velocity</w:t>
                  </w:r>
                  <w:r>
                    <w:t xml:space="preserve">   - ba-PWV = Brachial-ankle pulse wave velocity</w:t>
                  </w:r>
                  <w:r>
                    <w:t xml:space="preserve">   - cr-PWV = Carotid-radial pulse wave velocity</w:t>
                  </w:r>
                  <w:r>
                    <w:t xml:space="preserve">   - cf-PWV = Carotid-femoral pulse wave velocity</w:t>
                  </w:r>
                  <w:r>
                    <w:t xml:space="preserve">   - Aortic PWV = Aortic pulse wave velocity</w:t>
                  </w:r>
                  <w:r>
                    <w:t xml:space="preserve">• SBP = Systolic blood pressure</w:t>
                  </w:r>
                </w:p>
              </w:tc>
            </w:tr>
          </w:tbl>
          <w:bookmarkEnd w:id="114"/>
          <w:p/>
        </w:tc>
      </w:tr>
    </w:tbl>
    <w:bookmarkEnd w:id="115"/>
    <w:bookmarkStart w:id="116" w:name="section"/>
    <w:p>
      <w:pPr>
        <w:pStyle w:val="Heading3"/>
      </w:pPr>
    </w:p>
    <w:bookmarkEnd w:id="116"/>
    <w:bookmarkEnd w:id="117"/>
    <w:bookmarkStart w:id="120" w:name="Xbdcdbf91a8f1e8a2656101e623d5d199bf7429b"/>
    <w:p>
      <w:pPr>
        <w:pStyle w:val="Heading2"/>
      </w:pPr>
      <w:r>
        <w:t xml:space="preserve">5.3 Baseline characteristics table of the datasets</w:t>
      </w:r>
    </w:p>
    <w:tbl>
      <w:tblPr>
        <w:tblStyle w:val="Table"/>
        <w:tblW w:type="pct" w:w="5000"/>
        <w:tblLayout w:type="fixed"/>
        <w:tblLook w:firstRow="0" w:lastRow="0" w:firstColumn="0" w:lastColumn="0" w:noHBand="0" w:noVBand="0" w:val="0000"/>
      </w:tblPr>
      <w:tblGrid>
        <w:gridCol w:w="7920"/>
      </w:tblGrid>
      <w:tr>
        <w:tc>
          <w:tcPr/>
          <w:bookmarkStart w:id="118" w:name="tbl-baseline-cancan"/>
          <w:p>
            <w:pPr>
              <w:jc w:val="center"/>
            </w:pPr>
            <w:pPr>
              <w:jc w:val="left"/>
              <w:spacing w:before="200"/>
              <w:pStyle w:val="ImageCaption"/>
            </w:pPr>
            <w:r>
              <w:t xml:space="preserve">Table 5.4: Baseline table for CANCAN data and NT-proBNP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Variable</w:t>
                  </w:r>
                </w:p>
              </w:tc>
              <w:tc>
                <w:tcPr/>
                <w:p>
                  <w:pPr>
                    <w:pStyle w:val="Compact"/>
                    <w:jc w:val="right"/>
                    <w:jc w:val="center"/>
                  </w:pPr>
                  <w:r>
                    <w:t xml:space="preserve">CANCAN, total</w:t>
                  </w:r>
                </w:p>
              </w:tc>
              <w:tc>
                <w:tcPr/>
                <w:p>
                  <w:pPr>
                    <w:pStyle w:val="Compact"/>
                    <w:jc w:val="right"/>
                    <w:jc w:val="center"/>
                  </w:pPr>
                  <w:r>
                    <w:t xml:space="preserve">NT-proBNP ≤ 125 pg/mL</w:t>
                  </w:r>
                </w:p>
              </w:tc>
              <w:tc>
                <w:tcPr/>
                <w:p>
                  <w:pPr>
                    <w:pStyle w:val="Compact"/>
                    <w:jc w:val="right"/>
                    <w:jc w:val="center"/>
                  </w:pPr>
                  <w:r>
                    <w:t xml:space="preserve">NT-proBNP &gt; 125 pg/mL</w:t>
                  </w:r>
                </w:p>
              </w:tc>
            </w:tr>
            <w:tr>
              <w:tc>
                <w:tcPr/>
                <w:p>
                  <w:pPr>
                    <w:pStyle w:val="Compact"/>
                    <w:jc w:val="left"/>
                    <w:jc w:val="center"/>
                  </w:pPr>
                  <w:r>
                    <w:t xml:space="preserve">N</w:t>
                  </w:r>
                </w:p>
              </w:tc>
              <w:tc>
                <w:tcPr/>
                <w:p>
                  <w:pPr>
                    <w:pStyle w:val="Compact"/>
                    <w:jc w:val="right"/>
                    <w:jc w:val="center"/>
                  </w:pPr>
                  <w:r>
                    <w:t xml:space="preserve">159</w:t>
                  </w:r>
                </w:p>
              </w:tc>
              <w:tc>
                <w:tcPr/>
                <w:p>
                  <w:pPr>
                    <w:pStyle w:val="Compact"/>
                    <w:jc w:val="right"/>
                    <w:jc w:val="center"/>
                  </w:pPr>
                  <w:r>
                    <w:t xml:space="preserve">92</w:t>
                  </w:r>
                </w:p>
              </w:tc>
              <w:tc>
                <w:tcPr/>
                <w:p>
                  <w:pPr>
                    <w:pStyle w:val="Compact"/>
                    <w:jc w:val="right"/>
                    <w:jc w:val="center"/>
                  </w:pPr>
                  <w:r>
                    <w:t xml:space="preserve">67</w:t>
                  </w:r>
                </w:p>
              </w:tc>
            </w:tr>
            <w:tr>
              <w:tc>
                <w:tcPr/>
                <w:p>
                  <w:pPr>
                    <w:pStyle w:val="Compact"/>
                    <w:jc w:val="left"/>
                    <w:jc w:val="center"/>
                  </w:pPr>
                  <w:r>
                    <w:t xml:space="preserve">Age (years)</w:t>
                  </w:r>
                </w:p>
              </w:tc>
              <w:tc>
                <w:tcPr/>
                <w:p>
                  <w:pPr>
                    <w:pStyle w:val="Compact"/>
                    <w:jc w:val="right"/>
                    <w:jc w:val="center"/>
                  </w:pPr>
                  <w:r>
                    <w:t xml:space="preserve">65 [56, 71]</w:t>
                  </w:r>
                </w:p>
              </w:tc>
              <w:tc>
                <w:tcPr/>
                <w:p>
                  <w:pPr>
                    <w:pStyle w:val="Compact"/>
                    <w:jc w:val="right"/>
                    <w:jc w:val="center"/>
                  </w:pPr>
                  <w:r>
                    <w:t xml:space="preserve">60 [53, 68]</w:t>
                  </w:r>
                </w:p>
              </w:tc>
              <w:tc>
                <w:tcPr/>
                <w:p>
                  <w:pPr>
                    <w:pStyle w:val="Compact"/>
                    <w:jc w:val="right"/>
                    <w:jc w:val="center"/>
                  </w:pPr>
                  <w:r>
                    <w:t xml:space="preserve">68 [64, 76]</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r>
            <w:tr>
              <w:tc>
                <w:tcPr/>
                <w:p>
                  <w:pPr>
                    <w:pStyle w:val="Compact"/>
                    <w:jc w:val="left"/>
                    <w:jc w:val="center"/>
                  </w:pPr>
                  <w:r>
                    <w:t xml:space="preserve">    – Male</w:t>
                  </w:r>
                </w:p>
              </w:tc>
              <w:tc>
                <w:tcPr/>
                <w:p>
                  <w:pPr>
                    <w:pStyle w:val="Compact"/>
                    <w:jc w:val="right"/>
                    <w:jc w:val="center"/>
                  </w:pPr>
                  <w:r>
                    <w:t xml:space="preserve">99 (62%)</w:t>
                  </w:r>
                </w:p>
              </w:tc>
              <w:tc>
                <w:tcPr/>
                <w:p>
                  <w:pPr>
                    <w:pStyle w:val="Compact"/>
                    <w:jc w:val="right"/>
                    <w:jc w:val="center"/>
                  </w:pPr>
                  <w:r>
                    <w:t xml:space="preserve">55 (60%)</w:t>
                  </w:r>
                </w:p>
              </w:tc>
              <w:tc>
                <w:tcPr/>
                <w:p>
                  <w:pPr>
                    <w:pStyle w:val="Compact"/>
                    <w:jc w:val="right"/>
                    <w:jc w:val="center"/>
                  </w:pPr>
                  <w:r>
                    <w:t xml:space="preserve">44 (66%)</w:t>
                  </w:r>
                </w:p>
              </w:tc>
            </w:tr>
            <w:tr>
              <w:tc>
                <w:tcPr/>
                <w:p>
                  <w:pPr>
                    <w:pStyle w:val="Compact"/>
                    <w:jc w:val="left"/>
                    <w:jc w:val="center"/>
                  </w:pPr>
                  <w:r>
                    <w:t xml:space="preserve">    – Female</w:t>
                  </w:r>
                </w:p>
              </w:tc>
              <w:tc>
                <w:tcPr/>
                <w:p>
                  <w:pPr>
                    <w:pStyle w:val="Compact"/>
                    <w:jc w:val="right"/>
                    <w:jc w:val="center"/>
                  </w:pPr>
                  <w:r>
                    <w:t xml:space="preserve">60 (38%)</w:t>
                  </w:r>
                </w:p>
              </w:tc>
              <w:tc>
                <w:tcPr/>
                <w:p>
                  <w:pPr>
                    <w:pStyle w:val="Compact"/>
                    <w:jc w:val="right"/>
                    <w:jc w:val="center"/>
                  </w:pPr>
                  <w:r>
                    <w:t xml:space="preserve">37 (40%)</w:t>
                  </w:r>
                </w:p>
              </w:tc>
              <w:tc>
                <w:tcPr/>
                <w:p>
                  <w:pPr>
                    <w:pStyle w:val="Compact"/>
                    <w:jc w:val="right"/>
                    <w:jc w:val="center"/>
                  </w:pPr>
                  <w:r>
                    <w:t xml:space="preserve">23 (34%)</w:t>
                  </w:r>
                </w:p>
              </w:tc>
            </w:tr>
            <w:tr>
              <w:tc>
                <w:tcPr/>
                <w:p>
                  <w:pPr>
                    <w:pStyle w:val="Compact"/>
                    <w:jc w:val="left"/>
                    <w:jc w:val="center"/>
                  </w:pPr>
                  <w:r>
                    <w:t xml:space="preserve">Smoking status</w:t>
                  </w:r>
                </w:p>
              </w:tc>
              <w:tc>
                <w:tcPr/>
                <w:p>
                  <w:pPr>
                    <w:pStyle w:val="Compact"/>
                  </w:pPr>
                </w:p>
              </w:tc>
              <w:tc>
                <w:tcPr/>
                <w:p>
                  <w:pPr>
                    <w:pStyle w:val="Compact"/>
                  </w:pPr>
                </w:p>
              </w:tc>
              <w:tc>
                <w:tcPr/>
                <w:p>
                  <w:pPr>
                    <w:pStyle w:val="Compact"/>
                  </w:pPr>
                </w:p>
              </w:tc>
            </w:tr>
            <w:tr>
              <w:tc>
                <w:tcPr/>
                <w:p>
                  <w:pPr>
                    <w:pStyle w:val="Compact"/>
                    <w:jc w:val="left"/>
                    <w:jc w:val="center"/>
                  </w:pPr>
                  <w:r>
                    <w:t xml:space="preserve">    – Never or former</w:t>
                  </w:r>
                </w:p>
              </w:tc>
              <w:tc>
                <w:tcPr/>
                <w:p>
                  <w:pPr>
                    <w:pStyle w:val="Compact"/>
                    <w:jc w:val="right"/>
                    <w:jc w:val="center"/>
                  </w:pPr>
                  <w:r>
                    <w:t xml:space="preserve">135 (85%)</w:t>
                  </w:r>
                </w:p>
              </w:tc>
              <w:tc>
                <w:tcPr/>
                <w:p>
                  <w:pPr>
                    <w:pStyle w:val="Compact"/>
                    <w:jc w:val="right"/>
                    <w:jc w:val="center"/>
                  </w:pPr>
                  <w:r>
                    <w:t xml:space="preserve">77 (84%)</w:t>
                  </w:r>
                </w:p>
              </w:tc>
              <w:tc>
                <w:tcPr/>
                <w:p>
                  <w:pPr>
                    <w:pStyle w:val="Compact"/>
                    <w:jc w:val="right"/>
                    <w:jc w:val="center"/>
                  </w:pPr>
                  <w:r>
                    <w:t xml:space="preserve">58 (87%)</w:t>
                  </w:r>
                </w:p>
              </w:tc>
            </w:tr>
            <w:tr>
              <w:tc>
                <w:tcPr/>
                <w:p>
                  <w:pPr>
                    <w:pStyle w:val="Compact"/>
                    <w:jc w:val="left"/>
                    <w:jc w:val="center"/>
                  </w:pPr>
                  <w:r>
                    <w:t xml:space="preserve">    – Current</w:t>
                  </w:r>
                </w:p>
              </w:tc>
              <w:tc>
                <w:tcPr/>
                <w:p>
                  <w:pPr>
                    <w:pStyle w:val="Compact"/>
                    <w:jc w:val="right"/>
                    <w:jc w:val="center"/>
                  </w:pPr>
                  <w:r>
                    <w:t xml:space="preserve">24 (15%)</w:t>
                  </w:r>
                </w:p>
              </w:tc>
              <w:tc>
                <w:tcPr/>
                <w:p>
                  <w:pPr>
                    <w:pStyle w:val="Compact"/>
                    <w:jc w:val="right"/>
                    <w:jc w:val="center"/>
                  </w:pPr>
                  <w:r>
                    <w:t xml:space="preserve">15 (16%)</w:t>
                  </w:r>
                </w:p>
              </w:tc>
              <w:tc>
                <w:tcPr/>
                <w:p>
                  <w:pPr>
                    <w:pStyle w:val="Compact"/>
                    <w:jc w:val="right"/>
                    <w:jc w:val="center"/>
                  </w:pPr>
                  <w:r>
                    <w:t xml:space="preserve">9 (13%)</w:t>
                  </w:r>
                </w:p>
              </w:tc>
            </w:tr>
            <w:tr>
              <w:tc>
                <w:tcPr/>
                <w:p>
                  <w:pPr>
                    <w:pStyle w:val="Compact"/>
                    <w:jc w:val="left"/>
                    <w:jc w:val="center"/>
                  </w:pPr>
                  <w:r>
                    <w:t xml:space="preserve">Diabetes duration (years)</w:t>
                  </w:r>
                </w:p>
              </w:tc>
              <w:tc>
                <w:tcPr/>
                <w:p>
                  <w:pPr>
                    <w:pStyle w:val="Compact"/>
                    <w:jc w:val="right"/>
                    <w:jc w:val="center"/>
                  </w:pPr>
                  <w:r>
                    <w:t xml:space="preserve">16 [11, 24]</w:t>
                  </w:r>
                </w:p>
              </w:tc>
              <w:tc>
                <w:tcPr/>
                <w:p>
                  <w:pPr>
                    <w:pStyle w:val="Compact"/>
                    <w:jc w:val="right"/>
                    <w:jc w:val="center"/>
                  </w:pPr>
                  <w:r>
                    <w:t xml:space="preserve">14 [9, 22]</w:t>
                  </w:r>
                </w:p>
              </w:tc>
              <w:tc>
                <w:tcPr/>
                <w:p>
                  <w:pPr>
                    <w:pStyle w:val="Compact"/>
                    <w:jc w:val="right"/>
                    <w:jc w:val="center"/>
                  </w:pPr>
                  <w:r>
                    <w:t xml:space="preserve">19 [14, 25]</w:t>
                  </w:r>
                </w:p>
              </w:tc>
            </w:tr>
            <w:tr>
              <w:tc>
                <w:tcPr/>
                <w:p>
                  <w:pPr>
                    <w:pStyle w:val="Compact"/>
                    <w:jc w:val="left"/>
                    <w:jc w:val="center"/>
                  </w:pPr>
                  <w:r>
                    <w:t xml:space="preserve">SCORE2-Diabetes (%)</w:t>
                  </w:r>
                </w:p>
              </w:tc>
              <w:tc>
                <w:tcPr/>
                <w:p>
                  <w:pPr>
                    <w:pStyle w:val="Compact"/>
                    <w:jc w:val="right"/>
                    <w:jc w:val="center"/>
                  </w:pPr>
                  <w:r>
                    <w:t xml:space="preserve">14.8 [9.1, 20.9]</w:t>
                  </w:r>
                </w:p>
              </w:tc>
              <w:tc>
                <w:tcPr/>
                <w:p>
                  <w:pPr>
                    <w:pStyle w:val="Compact"/>
                    <w:jc w:val="right"/>
                    <w:jc w:val="center"/>
                  </w:pPr>
                  <w:r>
                    <w:t xml:space="preserve">11.9 [7.8, 17.2]</w:t>
                  </w:r>
                </w:p>
              </w:tc>
              <w:tc>
                <w:tcPr/>
                <w:p>
                  <w:pPr>
                    <w:pStyle w:val="Compact"/>
                    <w:jc w:val="right"/>
                    <w:jc w:val="center"/>
                  </w:pPr>
                  <w:r>
                    <w:t xml:space="preserve">19.0 [13.4, 25.4]</w:t>
                  </w:r>
                </w:p>
              </w:tc>
            </w:tr>
            <w:tr>
              <w:tc>
                <w:tcPr/>
                <w:p>
                  <w:pPr>
                    <w:pStyle w:val="Compact"/>
                    <w:jc w:val="left"/>
                    <w:jc w:val="center"/>
                  </w:pPr>
                  <w:r>
                    <w:t xml:space="preserve">HbA1c (mmol/mol)</w:t>
                  </w:r>
                </w:p>
              </w:tc>
              <w:tc>
                <w:tcPr/>
                <w:p>
                  <w:pPr>
                    <w:pStyle w:val="Compact"/>
                    <w:jc w:val="right"/>
                    <w:jc w:val="center"/>
                  </w:pPr>
                  <w:r>
                    <w:t xml:space="preserve">64 [55, 80]</w:t>
                  </w:r>
                </w:p>
              </w:tc>
              <w:tc>
                <w:tcPr/>
                <w:p>
                  <w:pPr>
                    <w:pStyle w:val="Compact"/>
                    <w:jc w:val="right"/>
                    <w:jc w:val="center"/>
                  </w:pPr>
                  <w:r>
                    <w:t xml:space="preserve">66 [56, 86]</w:t>
                  </w:r>
                </w:p>
              </w:tc>
              <w:tc>
                <w:tcPr/>
                <w:p>
                  <w:pPr>
                    <w:pStyle w:val="Compact"/>
                    <w:jc w:val="right"/>
                    <w:jc w:val="center"/>
                  </w:pPr>
                  <w:r>
                    <w:t xml:space="preserve">60 [54, 72]</w:t>
                  </w:r>
                </w:p>
              </w:tc>
            </w:tr>
            <w:tr>
              <w:tc>
                <w:tcPr/>
                <w:p>
                  <w:pPr>
                    <w:pStyle w:val="Compact"/>
                    <w:jc w:val="left"/>
                    <w:jc w:val="center"/>
                  </w:pPr>
                  <w:r>
                    <w:t xml:space="preserve">Systolic blood pressure (mmHg)</w:t>
                  </w:r>
                </w:p>
              </w:tc>
              <w:tc>
                <w:tcPr/>
                <w:p>
                  <w:pPr>
                    <w:pStyle w:val="Compact"/>
                    <w:jc w:val="right"/>
                    <w:jc w:val="center"/>
                  </w:pPr>
                  <w:r>
                    <w:t xml:space="preserve">132 [123, 143]</w:t>
                  </w:r>
                </w:p>
              </w:tc>
              <w:tc>
                <w:tcPr/>
                <w:p>
                  <w:pPr>
                    <w:pStyle w:val="Compact"/>
                    <w:jc w:val="right"/>
                    <w:jc w:val="center"/>
                  </w:pPr>
                  <w:r>
                    <w:t xml:space="preserve">132 [123, 143]</w:t>
                  </w:r>
                </w:p>
              </w:tc>
              <w:tc>
                <w:tcPr/>
                <w:p>
                  <w:pPr>
                    <w:pStyle w:val="Compact"/>
                    <w:jc w:val="right"/>
                    <w:jc w:val="center"/>
                  </w:pPr>
                  <w:r>
                    <w:t xml:space="preserve">131 [122, 142]</w:t>
                  </w:r>
                </w:p>
              </w:tc>
            </w:tr>
            <w:tr>
              <w:tc>
                <w:tcPr/>
                <w:p>
                  <w:pPr>
                    <w:pStyle w:val="Compact"/>
                    <w:jc w:val="left"/>
                    <w:jc w:val="center"/>
                  </w:pPr>
                  <w:r>
                    <w:t xml:space="preserve">HDL (mmol/L)</w:t>
                  </w:r>
                </w:p>
              </w:tc>
              <w:tc>
                <w:tcPr/>
                <w:p>
                  <w:pPr>
                    <w:pStyle w:val="Compact"/>
                    <w:jc w:val="right"/>
                    <w:jc w:val="center"/>
                  </w:pPr>
                  <w:r>
                    <w:t xml:space="preserve">1.0 [0.9, 1.2]</w:t>
                  </w:r>
                </w:p>
              </w:tc>
              <w:tc>
                <w:tcPr/>
                <w:p>
                  <w:pPr>
                    <w:pStyle w:val="Compact"/>
                    <w:jc w:val="right"/>
                    <w:jc w:val="center"/>
                  </w:pPr>
                  <w:r>
                    <w:t xml:space="preserve">1.0 [0.9, 1.2]</w:t>
                  </w:r>
                </w:p>
              </w:tc>
              <w:tc>
                <w:tcPr/>
                <w:p>
                  <w:pPr>
                    <w:pStyle w:val="Compact"/>
                    <w:jc w:val="right"/>
                    <w:jc w:val="center"/>
                  </w:pPr>
                  <w:r>
                    <w:t xml:space="preserve">1.0 [0.9, 1.3]</w:t>
                  </w:r>
                </w:p>
              </w:tc>
            </w:tr>
            <w:tr>
              <w:tc>
                <w:tcPr/>
                <w:p>
                  <w:pPr>
                    <w:pStyle w:val="Compact"/>
                    <w:jc w:val="left"/>
                    <w:jc w:val="center"/>
                  </w:pPr>
                  <w:r>
                    <w:t xml:space="preserve">Total cholesterol (mmol/L)</w:t>
                  </w:r>
                </w:p>
              </w:tc>
              <w:tc>
                <w:tcPr/>
                <w:p>
                  <w:pPr>
                    <w:pStyle w:val="Compact"/>
                    <w:jc w:val="right"/>
                    <w:jc w:val="center"/>
                  </w:pPr>
                  <w:r>
                    <w:t xml:space="preserve">3.9 [3.2, 4.8]</w:t>
                  </w:r>
                </w:p>
              </w:tc>
              <w:tc>
                <w:tcPr/>
                <w:p>
                  <w:pPr>
                    <w:pStyle w:val="Compact"/>
                    <w:jc w:val="right"/>
                    <w:jc w:val="center"/>
                  </w:pPr>
                  <w:r>
                    <w:t xml:space="preserve">4.1 [3.5, 4.9]</w:t>
                  </w:r>
                </w:p>
              </w:tc>
              <w:tc>
                <w:tcPr/>
                <w:p>
                  <w:pPr>
                    <w:pStyle w:val="Compact"/>
                    <w:jc w:val="right"/>
                    <w:jc w:val="center"/>
                  </w:pPr>
                  <w:r>
                    <w:t xml:space="preserve">3.6 [3.0, 4.2]</w:t>
                  </w:r>
                </w:p>
              </w:tc>
            </w:tr>
            <w:tr>
              <w:tc>
                <w:tcPr/>
                <w:p>
                  <w:pPr>
                    <w:pStyle w:val="Compact"/>
                    <w:jc w:val="left"/>
                    <w:jc w:val="center"/>
                  </w:pPr>
                  <w:r>
                    <w:t xml:space="preserve">eGFR (mL/min/1.73 m²)</w:t>
                  </w:r>
                </w:p>
              </w:tc>
              <w:tc>
                <w:tcPr/>
                <w:p>
                  <w:pPr>
                    <w:pStyle w:val="Compact"/>
                    <w:jc w:val="right"/>
                    <w:jc w:val="center"/>
                  </w:pPr>
                  <w:r>
                    <w:t xml:space="preserve">57 [39, 74]</w:t>
                  </w:r>
                </w:p>
              </w:tc>
              <w:tc>
                <w:tcPr/>
                <w:p>
                  <w:pPr>
                    <w:pStyle w:val="Compact"/>
                    <w:jc w:val="right"/>
                    <w:jc w:val="center"/>
                  </w:pPr>
                  <w:r>
                    <w:t xml:space="preserve">68 [52, 82]</w:t>
                  </w:r>
                </w:p>
              </w:tc>
              <w:tc>
                <w:tcPr/>
                <w:p>
                  <w:pPr>
                    <w:pStyle w:val="Compact"/>
                    <w:jc w:val="right"/>
                    <w:jc w:val="center"/>
                  </w:pPr>
                  <w:r>
                    <w:t xml:space="preserve">48 [27, 63]</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13 [10, 13]</w:t>
                  </w:r>
                </w:p>
              </w:tc>
              <w:tc>
                <w:tcPr/>
                <w:p>
                  <w:pPr>
                    <w:pStyle w:val="Compact"/>
                    <w:jc w:val="right"/>
                    <w:jc w:val="center"/>
                  </w:pPr>
                  <w:r>
                    <w:t xml:space="preserve">13 [9, 13]</w:t>
                  </w:r>
                </w:p>
              </w:tc>
              <w:tc>
                <w:tcPr/>
                <w:p>
                  <w:pPr>
                    <w:pStyle w:val="Compact"/>
                    <w:jc w:val="right"/>
                    <w:jc w:val="center"/>
                  </w:pPr>
                  <w:r>
                    <w:t xml:space="preserve">13 [10, 13]</w:t>
                  </w:r>
                </w:p>
              </w:tc>
            </w:tr>
            <w:tr>
              <w:tc>
                <w:tcPr/>
                <w:p>
                  <w:pPr>
                    <w:pStyle w:val="Compact"/>
                    <w:jc w:val="left"/>
                    <w:jc w:val="center"/>
                  </w:pPr>
                  <w:r>
                    <w:t xml:space="preserve">    – Glucose management indicator (%)</w:t>
                  </w:r>
                </w:p>
              </w:tc>
              <w:tc>
                <w:tcPr/>
                <w:p>
                  <w:pPr>
                    <w:pStyle w:val="Compact"/>
                    <w:jc w:val="right"/>
                    <w:jc w:val="center"/>
                  </w:pPr>
                  <w:r>
                    <w:t xml:space="preserve">7.3 [6.8, 8.4]</w:t>
                  </w:r>
                </w:p>
              </w:tc>
              <w:tc>
                <w:tcPr/>
                <w:p>
                  <w:pPr>
                    <w:pStyle w:val="Compact"/>
                    <w:jc w:val="right"/>
                    <w:jc w:val="center"/>
                  </w:pPr>
                  <w:r>
                    <w:t xml:space="preserve">7.5 [6.8, 8.6]</w:t>
                  </w:r>
                </w:p>
              </w:tc>
              <w:tc>
                <w:tcPr/>
                <w:p>
                  <w:pPr>
                    <w:pStyle w:val="Compact"/>
                    <w:jc w:val="right"/>
                    <w:jc w:val="center"/>
                  </w:pPr>
                  <w:r>
                    <w:t xml:space="preserve">7.2 [6.7, 8.0]</w:t>
                  </w:r>
                </w:p>
              </w:tc>
            </w:tr>
            <w:tr>
              <w:tc>
                <w:tcPr/>
                <w:p>
                  <w:pPr>
                    <w:pStyle w:val="Compact"/>
                    <w:jc w:val="left"/>
                    <w:jc w:val="center"/>
                  </w:pPr>
                  <w:r>
                    <w:t xml:space="preserve">    – Time in range (%)</w:t>
                  </w:r>
                </w:p>
              </w:tc>
              <w:tc>
                <w:tcPr/>
                <w:p>
                  <w:pPr>
                    <w:pStyle w:val="Compact"/>
                    <w:jc w:val="right"/>
                    <w:jc w:val="center"/>
                  </w:pPr>
                  <w:r>
                    <w:t xml:space="preserve">59.6 [31.9, 78.9]</w:t>
                  </w:r>
                </w:p>
              </w:tc>
              <w:tc>
                <w:tcPr/>
                <w:p>
                  <w:pPr>
                    <w:pStyle w:val="Compact"/>
                    <w:jc w:val="right"/>
                    <w:jc w:val="center"/>
                  </w:pPr>
                  <w:r>
                    <w:t xml:space="preserve">58.2 [20.2, 78.6]</w:t>
                  </w:r>
                </w:p>
              </w:tc>
              <w:tc>
                <w:tcPr/>
                <w:p>
                  <w:pPr>
                    <w:pStyle w:val="Compact"/>
                    <w:jc w:val="right"/>
                    <w:jc w:val="center"/>
                  </w:pPr>
                  <w:r>
                    <w:t xml:space="preserve">62.1 [40.8, 81.0]</w:t>
                  </w:r>
                </w:p>
              </w:tc>
            </w:tr>
            <w:tr>
              <w:tc>
                <w:tcPr/>
                <w:p>
                  <w:pPr>
                    <w:pStyle w:val="Compact"/>
                    <w:jc w:val="left"/>
                    <w:jc w:val="center"/>
                  </w:pPr>
                  <w:r>
                    <w:t xml:space="preserve">    – Time below range (%)</w:t>
                  </w:r>
                </w:p>
              </w:tc>
              <w:tc>
                <w:tcPr/>
                <w:p>
                  <w:pPr>
                    <w:pStyle w:val="Compact"/>
                    <w:jc w:val="right"/>
                    <w:jc w:val="center"/>
                  </w:pPr>
                  <w:r>
                    <w:t xml:space="preserve">0.0 [0.0, 1.5]</w:t>
                  </w:r>
                </w:p>
              </w:tc>
              <w:tc>
                <w:tcPr/>
                <w:p>
                  <w:pPr>
                    <w:pStyle w:val="Compact"/>
                    <w:jc w:val="right"/>
                    <w:jc w:val="center"/>
                  </w:pPr>
                  <w:r>
                    <w:t xml:space="preserve">0.0 [0.0, 0.8]</w:t>
                  </w:r>
                </w:p>
              </w:tc>
              <w:tc>
                <w:tcPr/>
                <w:p>
                  <w:pPr>
                    <w:pStyle w:val="Compact"/>
                    <w:jc w:val="right"/>
                    <w:jc w:val="center"/>
                  </w:pPr>
                  <w:r>
                    <w:t xml:space="preserve">0.2 [0.0, 2.0]</w:t>
                  </w:r>
                </w:p>
              </w:tc>
            </w:tr>
            <w:tr>
              <w:tc>
                <w:tcPr/>
                <w:p>
                  <w:pPr>
                    <w:pStyle w:val="Compact"/>
                    <w:jc w:val="left"/>
                    <w:jc w:val="center"/>
                  </w:pPr>
                  <w:r>
                    <w:t xml:space="preserve">    – Time above range (%)</w:t>
                  </w:r>
                </w:p>
              </w:tc>
              <w:tc>
                <w:tcPr/>
                <w:p>
                  <w:pPr>
                    <w:pStyle w:val="Compact"/>
                    <w:jc w:val="right"/>
                    <w:jc w:val="center"/>
                  </w:pPr>
                  <w:r>
                    <w:t xml:space="preserve">36.6 [17.6, 68.1]</w:t>
                  </w:r>
                </w:p>
              </w:tc>
              <w:tc>
                <w:tcPr/>
                <w:p>
                  <w:pPr>
                    <w:pStyle w:val="Compact"/>
                    <w:jc w:val="right"/>
                    <w:jc w:val="center"/>
                  </w:pPr>
                  <w:r>
                    <w:t xml:space="preserve">41.8 [19.8, 79.5]</w:t>
                  </w:r>
                </w:p>
              </w:tc>
              <w:tc>
                <w:tcPr/>
                <w:p>
                  <w:pPr>
                    <w:pStyle w:val="Compact"/>
                    <w:jc w:val="right"/>
                    <w:jc w:val="center"/>
                  </w:pPr>
                  <w:r>
                    <w:t xml:space="preserve">33.1 [14.1, 58.2]</w:t>
                  </w:r>
                </w:p>
              </w:tc>
            </w:tr>
            <w:tr>
              <w:tc>
                <w:tcPr/>
                <w:p>
                  <w:pPr>
                    <w:pStyle w:val="Compact"/>
                    <w:jc w:val="left"/>
                    <w:jc w:val="center"/>
                  </w:pPr>
                  <w:r>
                    <w:t xml:space="preserve">    – Coefficient of variation (%)</w:t>
                  </w:r>
                </w:p>
              </w:tc>
              <w:tc>
                <w:tcPr/>
                <w:p>
                  <w:pPr>
                    <w:pStyle w:val="Compact"/>
                    <w:jc w:val="right"/>
                    <w:jc w:val="center"/>
                  </w:pPr>
                  <w:r>
                    <w:t xml:space="preserve">27.3 [22.5, 31.9]</w:t>
                  </w:r>
                </w:p>
              </w:tc>
              <w:tc>
                <w:tcPr/>
                <w:p>
                  <w:pPr>
                    <w:pStyle w:val="Compact"/>
                    <w:jc w:val="right"/>
                    <w:jc w:val="center"/>
                  </w:pPr>
                  <w:r>
                    <w:t xml:space="preserve">25.3 [21.2, 30.3]</w:t>
                  </w:r>
                </w:p>
              </w:tc>
              <w:tc>
                <w:tcPr/>
                <w:p>
                  <w:pPr>
                    <w:pStyle w:val="Compact"/>
                    <w:jc w:val="right"/>
                    <w:jc w:val="center"/>
                  </w:pPr>
                  <w:r>
                    <w:t xml:space="preserve">28.3[24.8, 34.2]</w:t>
                  </w:r>
                </w:p>
              </w:tc>
            </w:tr>
            <w:tr>
              <w:tc>
                <w:tcPr/>
                <w:p>
                  <w:pPr>
                    <w:pStyle w:val="Compact"/>
                    <w:jc w:val="left"/>
                    <w:jc w:val="center"/>
                  </w:pPr>
                  <w:r>
                    <w:t xml:space="preserve">    – Mean amplitude of glycemic excursions (mmol/L)</w:t>
                  </w:r>
                </w:p>
              </w:tc>
              <w:tc>
                <w:tcPr/>
                <w:p>
                  <w:pPr>
                    <w:pStyle w:val="Compact"/>
                    <w:jc w:val="right"/>
                    <w:jc w:val="center"/>
                  </w:pPr>
                  <w:r>
                    <w:t xml:space="preserve">6.3 [5.0, 7.9]</w:t>
                  </w:r>
                </w:p>
              </w:tc>
              <w:tc>
                <w:tcPr/>
                <w:p>
                  <w:pPr>
                    <w:pStyle w:val="Compact"/>
                    <w:jc w:val="right"/>
                    <w:jc w:val="center"/>
                  </w:pPr>
                  <w:r>
                    <w:t xml:space="preserve">6.0 [4.9, 7.7]</w:t>
                  </w:r>
                </w:p>
              </w:tc>
              <w:tc>
                <w:tcPr/>
                <w:p>
                  <w:pPr>
                    <w:pStyle w:val="Compact"/>
                    <w:jc w:val="right"/>
                    <w:jc w:val="center"/>
                  </w:pPr>
                  <w:r>
                    <w:t xml:space="preserve">6.7 [5.1, 8.5]</w:t>
                  </w:r>
                </w:p>
              </w:tc>
            </w:tr>
          </w:tbl>
          <w:bookmarkEnd w:id="118"/>
          <w:p/>
        </w:tc>
      </w:tr>
    </w:tbl>
    <w:p>
      <w:pPr>
        <w:pStyle w:val="BodyText"/>
      </w:pPr>
      <w:r>
        <w:t xml:space="preserve">Categorical values are given by number (percentage), and numerical values are given by median [interquartile range].</w:t>
      </w:r>
    </w:p>
    <w:tbl>
      <w:tblPr>
        <w:tblStyle w:val="Table"/>
        <w:tblW w:type="pct" w:w="5000"/>
        <w:tblLayout w:type="fixed"/>
        <w:tblLook w:firstRow="0" w:lastRow="0" w:firstColumn="0" w:lastColumn="0" w:noHBand="0" w:noVBand="0" w:val="0000"/>
      </w:tblPr>
      <w:tblGrid>
        <w:gridCol w:w="7920"/>
      </w:tblGrid>
      <w:tr>
        <w:tc>
          <w:tcPr/>
          <w:bookmarkStart w:id="119" w:name="tbl-baseline-t1dx"/>
          <w:p>
            <w:pPr>
              <w:jc w:val="center"/>
            </w:pPr>
            <w:pPr>
              <w:jc w:val="left"/>
              <w:spacing w:before="200"/>
              <w:pStyle w:val="ImageCaption"/>
            </w:pPr>
            <w:r>
              <w:t xml:space="preserve">Table 5.5: Baseline table for T1DX data and racial groups.</w:t>
            </w:r>
          </w:p>
          <w:tbl>
            <w:tblPr>
              <w:tblStyle w:val="Table"/>
              <w:tblW w:type="pct" w:w="4000"/>
              <w:tblLayout w:type="fixed"/>
              <w:tblLook w:firstRow="1" w:lastRow="0" w:firstColumn="0" w:lastColumn="0" w:noHBand="0" w:noVBand="0" w:val="0020"/>
            </w:tblPr>
            <w:tblGrid>
              <w:gridCol w:w="2296"/>
              <w:gridCol w:w="1346"/>
              <w:gridCol w:w="1346"/>
              <w:gridCol w:w="1346"/>
            </w:tblGrid>
            <w:tr>
              <w:trPr>
                <w:tblHeader w:val="on"/>
              </w:trPr>
              <w:tc>
                <w:tcPr/>
                <w:p>
                  <w:pPr>
                    <w:pStyle w:val="Compact"/>
                    <w:jc w:val="left"/>
                    <w:jc w:val="center"/>
                  </w:pPr>
                  <w:r>
                    <w:t xml:space="preserve">Characteristics</w:t>
                  </w:r>
                </w:p>
              </w:tc>
              <w:tc>
                <w:tcPr/>
                <w:p>
                  <w:pPr>
                    <w:pStyle w:val="Compact"/>
                    <w:jc w:val="right"/>
                    <w:jc w:val="center"/>
                  </w:pPr>
                  <w:r>
                    <w:t xml:space="preserve">Total</w:t>
                  </w:r>
                </w:p>
              </w:tc>
              <w:tc>
                <w:tcPr/>
                <w:p>
                  <w:pPr>
                    <w:pStyle w:val="Compact"/>
                    <w:jc w:val="right"/>
                    <w:jc w:val="center"/>
                  </w:pPr>
                  <w:r>
                    <w:t xml:space="preserve">White Cohort</w:t>
                  </w:r>
                </w:p>
              </w:tc>
              <w:tc>
                <w:tcPr/>
                <w:p>
                  <w:pPr>
                    <w:pStyle w:val="Compact"/>
                    <w:jc w:val="right"/>
                    <w:jc w:val="center"/>
                  </w:pPr>
                  <w:r>
                    <w:t xml:space="preserve">Black Cohort</w:t>
                  </w:r>
                </w:p>
              </w:tc>
            </w:tr>
            <w:tr>
              <w:tc>
                <w:tcPr/>
                <w:p>
                  <w:pPr>
                    <w:pStyle w:val="Compact"/>
                    <w:jc w:val="left"/>
                    <w:jc w:val="center"/>
                  </w:pPr>
                  <w:r>
                    <w:t xml:space="preserve">N</w:t>
                  </w:r>
                </w:p>
              </w:tc>
              <w:tc>
                <w:tcPr/>
                <w:p>
                  <w:pPr>
                    <w:pStyle w:val="Compact"/>
                    <w:jc w:val="right"/>
                    <w:jc w:val="center"/>
                  </w:pPr>
                  <w:r>
                    <w:t xml:space="preserve">205</w:t>
                  </w:r>
                </w:p>
              </w:tc>
              <w:tc>
                <w:tcPr/>
                <w:p>
                  <w:pPr>
                    <w:pStyle w:val="Compact"/>
                    <w:jc w:val="right"/>
                    <w:jc w:val="center"/>
                  </w:pPr>
                  <w:r>
                    <w:t xml:space="preserve">101</w:t>
                  </w:r>
                </w:p>
              </w:tc>
              <w:tc>
                <w:tcPr/>
                <w:p>
                  <w:pPr>
                    <w:pStyle w:val="Compact"/>
                    <w:jc w:val="right"/>
                    <w:jc w:val="center"/>
                  </w:pPr>
                  <w:r>
                    <w:t xml:space="preserve">104</w:t>
                  </w:r>
                </w:p>
              </w:tc>
            </w:tr>
            <w:tr>
              <w:tc>
                <w:tcPr/>
                <w:p>
                  <w:pPr>
                    <w:pStyle w:val="Compact"/>
                    <w:jc w:val="left"/>
                    <w:jc w:val="center"/>
                  </w:pPr>
                  <w:r>
                    <w:t xml:space="preserve">Race (White)</w:t>
                  </w:r>
                </w:p>
              </w:tc>
              <w:tc>
                <w:tcPr/>
                <w:p>
                  <w:pPr>
                    <w:pStyle w:val="Compact"/>
                    <w:jc w:val="right"/>
                    <w:jc w:val="center"/>
                  </w:pPr>
                  <w:r>
                    <w:t xml:space="preserve">101 (49%)</w:t>
                  </w:r>
                </w:p>
              </w:tc>
              <w:tc>
                <w:tcPr/>
                <w:p>
                  <w:pPr>
                    <w:pStyle w:val="Compact"/>
                    <w:jc w:val="right"/>
                    <w:jc w:val="center"/>
                  </w:pPr>
                  <w:r>
                    <w:t xml:space="preserve">101 (100%)</w:t>
                  </w:r>
                </w:p>
              </w:tc>
              <w:tc>
                <w:tcPr/>
                <w:p>
                  <w:pPr>
                    <w:pStyle w:val="Compact"/>
                    <w:jc w:val="right"/>
                    <w:jc w:val="center"/>
                  </w:pPr>
                  <w:r>
                    <w:t xml:space="preserve">0 (0%)</w:t>
                  </w:r>
                </w:p>
              </w:tc>
            </w:tr>
            <w:tr>
              <w:tc>
                <w:tcPr/>
                <w:p>
                  <w:pPr>
                    <w:pStyle w:val="Compact"/>
                    <w:jc w:val="left"/>
                    <w:jc w:val="center"/>
                  </w:pPr>
                  <w:r>
                    <w:t xml:space="preserve">Sex (male)</w:t>
                  </w:r>
                </w:p>
              </w:tc>
              <w:tc>
                <w:tcPr/>
                <w:p>
                  <w:pPr>
                    <w:pStyle w:val="Compact"/>
                    <w:jc w:val="right"/>
                    <w:jc w:val="center"/>
                  </w:pPr>
                  <w:r>
                    <w:t xml:space="preserve">88 (43%)</w:t>
                  </w:r>
                </w:p>
              </w:tc>
              <w:tc>
                <w:tcPr/>
                <w:p>
                  <w:pPr>
                    <w:pStyle w:val="Compact"/>
                    <w:jc w:val="right"/>
                    <w:jc w:val="center"/>
                  </w:pPr>
                  <w:r>
                    <w:t xml:space="preserve">46 (46%)</w:t>
                  </w:r>
                </w:p>
              </w:tc>
              <w:tc>
                <w:tcPr/>
                <w:p>
                  <w:pPr>
                    <w:pStyle w:val="Compact"/>
                    <w:jc w:val="right"/>
                    <w:jc w:val="center"/>
                  </w:pPr>
                  <w:r>
                    <w:t xml:space="preserve">42 (40%)</w:t>
                  </w:r>
                </w:p>
              </w:tc>
            </w:tr>
            <w:tr>
              <w:tc>
                <w:tcPr/>
                <w:p>
                  <w:pPr>
                    <w:pStyle w:val="Compact"/>
                    <w:jc w:val="left"/>
                    <w:jc w:val="center"/>
                  </w:pPr>
                  <w:r>
                    <w:t xml:space="preserve">Age group (child, &lt; 18 yrs)</w:t>
                  </w:r>
                </w:p>
              </w:tc>
              <w:tc>
                <w:tcPr/>
                <w:p>
                  <w:pPr>
                    <w:pStyle w:val="Compact"/>
                    <w:jc w:val="right"/>
                    <w:jc w:val="center"/>
                  </w:pPr>
                  <w:r>
                    <w:t xml:space="preserve">82 (40%)</w:t>
                  </w:r>
                </w:p>
              </w:tc>
              <w:tc>
                <w:tcPr/>
                <w:p>
                  <w:pPr>
                    <w:pStyle w:val="Compact"/>
                    <w:jc w:val="right"/>
                    <w:jc w:val="center"/>
                  </w:pPr>
                  <w:r>
                    <w:t xml:space="preserve">49 (49%)</w:t>
                  </w:r>
                </w:p>
              </w:tc>
              <w:tc>
                <w:tcPr/>
                <w:p>
                  <w:pPr>
                    <w:pStyle w:val="Compact"/>
                    <w:jc w:val="right"/>
                    <w:jc w:val="center"/>
                  </w:pPr>
                  <w:r>
                    <w:t xml:space="preserve">33 (32%)</w:t>
                  </w:r>
                </w:p>
              </w:tc>
            </w:tr>
            <w:tr>
              <w:tc>
                <w:tcPr/>
                <w:p>
                  <w:pPr>
                    <w:pStyle w:val="Compact"/>
                    <w:jc w:val="left"/>
                    <w:jc w:val="center"/>
                  </w:pPr>
                  <w:r>
                    <w:t xml:space="preserve">Age (years)</w:t>
                  </w:r>
                </w:p>
              </w:tc>
              <w:tc>
                <w:tcPr/>
                <w:p>
                  <w:pPr>
                    <w:pStyle w:val="Compact"/>
                    <w:jc w:val="right"/>
                    <w:jc w:val="center"/>
                  </w:pPr>
                  <w:r>
                    <w:t xml:space="preserve">28 [15, 47]</w:t>
                  </w:r>
                </w:p>
              </w:tc>
              <w:tc>
                <w:tcPr/>
                <w:p>
                  <w:pPr>
                    <w:pStyle w:val="Compact"/>
                    <w:jc w:val="right"/>
                    <w:jc w:val="center"/>
                  </w:pPr>
                  <w:r>
                    <w:t xml:space="preserve">22 [13, 46]</w:t>
                  </w:r>
                </w:p>
              </w:tc>
              <w:tc>
                <w:tcPr/>
                <w:p>
                  <w:pPr>
                    <w:pStyle w:val="Compact"/>
                    <w:jc w:val="right"/>
                    <w:jc w:val="center"/>
                  </w:pPr>
                  <w:r>
                    <w:t xml:space="preserve">32 [16, 47]</w:t>
                  </w:r>
                </w:p>
              </w:tc>
            </w:tr>
            <w:tr>
              <w:tc>
                <w:tcPr/>
                <w:p>
                  <w:pPr>
                    <w:pStyle w:val="Compact"/>
                    <w:jc w:val="left"/>
                    <w:jc w:val="center"/>
                  </w:pPr>
                  <w:r>
                    <w:t xml:space="preserve">BMI (</w:t>
                  </w:r>
                  <m:oMath>
                    <m:sSup>
                      <m:e>
                        <m:r>
                          <m:rPr>
                            <m:nor/>
                            <m:sty m:val="p"/>
                          </m:rPr>
                          <m:t>kg/m</m:t>
                        </m:r>
                      </m:e>
                      <m:sup>
                        <m:r>
                          <m:t>2</m:t>
                        </m:r>
                      </m:sup>
                    </m:sSup>
                  </m:oMath>
                  <w:r>
                    <w:t xml:space="preserve">)</w:t>
                  </w:r>
                </w:p>
              </w:tc>
              <w:tc>
                <w:tcPr/>
                <w:p>
                  <w:pPr>
                    <w:pStyle w:val="Compact"/>
                    <w:jc w:val="right"/>
                    <w:jc w:val="center"/>
                  </w:pPr>
                  <w:r>
                    <w:t xml:space="preserve">25.1 [21.7, 29.2]</w:t>
                  </w:r>
                </w:p>
              </w:tc>
              <w:tc>
                <w:tcPr/>
                <w:p>
                  <w:pPr>
                    <w:pStyle w:val="Compact"/>
                    <w:jc w:val="right"/>
                    <w:jc w:val="center"/>
                  </w:pPr>
                  <w:r>
                    <w:t xml:space="preserve">24.0 [20.7, 28.6]</w:t>
                  </w:r>
                </w:p>
              </w:tc>
              <w:tc>
                <w:tcPr/>
                <w:p>
                  <w:pPr>
                    <w:pStyle w:val="Compact"/>
                    <w:jc w:val="right"/>
                    <w:jc w:val="center"/>
                  </w:pPr>
                  <w:r>
                    <w:t xml:space="preserve">26.7 [22.3, 30.0]</w:t>
                  </w:r>
                </w:p>
              </w:tc>
            </w:tr>
            <w:tr>
              <w:tc>
                <w:tcPr/>
                <w:p>
                  <w:pPr>
                    <w:pStyle w:val="Compact"/>
                    <w:jc w:val="left"/>
                    <w:jc w:val="center"/>
                  </w:pPr>
                  <w:r>
                    <w:t xml:space="preserve">Age at T1D diagnosis</w:t>
                  </w:r>
                </w:p>
              </w:tc>
              <w:tc>
                <w:tcPr/>
                <w:p>
                  <w:pPr>
                    <w:pStyle w:val="Compact"/>
                    <w:jc w:val="right"/>
                    <w:jc w:val="center"/>
                  </w:pPr>
                  <w:r>
                    <w:t xml:space="preserve">11 [7, 22]</w:t>
                  </w:r>
                </w:p>
              </w:tc>
              <w:tc>
                <w:tcPr/>
                <w:p>
                  <w:pPr>
                    <w:pStyle w:val="Compact"/>
                    <w:jc w:val="right"/>
                    <w:jc w:val="center"/>
                  </w:pPr>
                  <w:r>
                    <w:t xml:space="preserve">9 [6, 16]</w:t>
                  </w:r>
                </w:p>
              </w:tc>
              <w:tc>
                <w:tcPr/>
                <w:p>
                  <w:pPr>
                    <w:pStyle w:val="Compact"/>
                    <w:jc w:val="right"/>
                    <w:jc w:val="center"/>
                  </w:pPr>
                  <w:r>
                    <w:t xml:space="preserve">14 [8, 25]</w:t>
                  </w:r>
                </w:p>
              </w:tc>
            </w:tr>
            <w:tr>
              <w:tc>
                <w:tcPr/>
                <w:p>
                  <w:pPr>
                    <w:pStyle w:val="Compact"/>
                    <w:jc w:val="left"/>
                    <w:jc w:val="center"/>
                  </w:pPr>
                  <w:r>
                    <w:t xml:space="preserve">HbA1c (mmol/mol)</w:t>
                  </w:r>
                </w:p>
              </w:tc>
              <w:tc>
                <w:tcPr/>
                <w:p>
                  <w:pPr>
                    <w:pStyle w:val="Compact"/>
                    <w:jc w:val="right"/>
                    <w:jc w:val="center"/>
                  </w:pPr>
                  <w:r>
                    <w:t xml:space="preserve">67 [57, 78]</w:t>
                  </w:r>
                </w:p>
              </w:tc>
              <w:tc>
                <w:tcPr/>
                <w:p>
                  <w:pPr>
                    <w:pStyle w:val="Compact"/>
                    <w:jc w:val="right"/>
                    <w:jc w:val="center"/>
                  </w:pPr>
                  <w:r>
                    <w:t xml:space="preserve">63 [55, 73]</w:t>
                  </w:r>
                </w:p>
              </w:tc>
              <w:tc>
                <w:tcPr/>
                <w:p>
                  <w:pPr>
                    <w:pStyle w:val="Compact"/>
                    <w:jc w:val="right"/>
                    <w:jc w:val="center"/>
                  </w:pPr>
                  <w:r>
                    <w:t xml:space="preserve">72.0 [60, 85]</w:t>
                  </w:r>
                </w:p>
              </w:tc>
            </w:tr>
            <w:tr>
              <w:tc>
                <w:tcPr/>
                <w:p>
                  <w:pPr>
                    <w:pStyle w:val="Compact"/>
                    <w:jc w:val="left"/>
                    <w:jc w:val="center"/>
                  </w:pPr>
                  <w:r>
                    <w:t xml:space="preserve">CGM duration w/o missing data (weeks/participant)</w:t>
                  </w:r>
                </w:p>
              </w:tc>
              <w:tc>
                <w:tcPr/>
                <w:p>
                  <w:pPr>
                    <w:pStyle w:val="Compact"/>
                    <w:jc w:val="right"/>
                    <w:jc w:val="center"/>
                  </w:pPr>
                  <w:r>
                    <w:t xml:space="preserve">9.1 [7.2, 10.3]</w:t>
                  </w:r>
                </w:p>
              </w:tc>
              <w:tc>
                <w:tcPr/>
                <w:p>
                  <w:pPr>
                    <w:pStyle w:val="Compact"/>
                    <w:jc w:val="right"/>
                    <w:jc w:val="center"/>
                  </w:pPr>
                  <w:r>
                    <w:t xml:space="preserve">9.5 [7.7, 10.7]</w:t>
                  </w:r>
                </w:p>
              </w:tc>
              <w:tc>
                <w:tcPr/>
                <w:p>
                  <w:pPr>
                    <w:pStyle w:val="Compact"/>
                    <w:jc w:val="right"/>
                    <w:jc w:val="center"/>
                  </w:pPr>
                  <w:r>
                    <w:t xml:space="preserve">8.6 [6.9, 9.9]</w:t>
                  </w:r>
                </w:p>
              </w:tc>
            </w:tr>
            <w:tr>
              <w:tc>
                <w:tcPr/>
                <w:p>
                  <w:pPr>
                    <w:pStyle w:val="Compact"/>
                    <w:jc w:val="left"/>
                    <w:jc w:val="center"/>
                  </w:pPr>
                  <w:r>
                    <w:t xml:space="preserve">Missing CGM values (weeks/per participant)</w:t>
                  </w:r>
                </w:p>
              </w:tc>
              <w:tc>
                <w:tcPr/>
                <w:p>
                  <w:pPr>
                    <w:pStyle w:val="Compact"/>
                    <w:jc w:val="right"/>
                    <w:jc w:val="center"/>
                  </w:pPr>
                  <w:r>
                    <w:t xml:space="preserve">3.3 [1.6, 5.1]</w:t>
                  </w:r>
                </w:p>
              </w:tc>
              <w:tc>
                <w:tcPr/>
                <w:p>
                  <w:pPr>
                    <w:pStyle w:val="Compact"/>
                    <w:jc w:val="right"/>
                    <w:jc w:val="center"/>
                  </w:pPr>
                  <w:r>
                    <w:t xml:space="preserve">2.6 [1.3, 4.5]</w:t>
                  </w:r>
                </w:p>
              </w:tc>
              <w:tc>
                <w:tcPr/>
                <w:p>
                  <w:pPr>
                    <w:pStyle w:val="Compact"/>
                    <w:jc w:val="right"/>
                    <w:jc w:val="center"/>
                  </w:pPr>
                  <w:r>
                    <w:t xml:space="preserve">4.1 [1.8, 5.6]</w:t>
                  </w:r>
                </w:p>
              </w:tc>
            </w:tr>
            <w:tr>
              <w:tc>
                <w:tcPr/>
                <w:p>
                  <w:pPr>
                    <w:pStyle w:val="Compact"/>
                    <w:jc w:val="left"/>
                    <w:jc w:val="center"/>
                  </w:pPr>
                  <w:r>
                    <w:t xml:space="preserve">CGM-derived metrics</w:t>
                  </w:r>
                </w:p>
              </w:tc>
              <w:tc>
                <w:tcPr/>
                <w:p>
                  <w:pPr>
                    <w:pStyle w:val="Compact"/>
                  </w:pPr>
                </w:p>
              </w:tc>
              <w:tc>
                <w:tcPr/>
                <w:p>
                  <w:pPr>
                    <w:pStyle w:val="Compact"/>
                  </w:pPr>
                </w:p>
              </w:tc>
              <w:tc>
                <w:tcPr/>
                <w:p>
                  <w:pPr>
                    <w:pStyle w:val="Compact"/>
                  </w:pPr>
                </w:p>
              </w:tc>
            </w:tr>
            <w:tr>
              <w:tc>
                <w:tcPr/>
                <w:p>
                  <w:pPr>
                    <w:pStyle w:val="Compact"/>
                    <w:jc w:val="left"/>
                    <w:jc w:val="center"/>
                  </w:pPr>
                  <w:r>
                    <w:t xml:space="preserve">    – CGM days (n/participant)</w:t>
                  </w:r>
                </w:p>
              </w:tc>
              <w:tc>
                <w:tcPr/>
                <w:p>
                  <w:pPr>
                    <w:pStyle w:val="Compact"/>
                    <w:jc w:val="right"/>
                    <w:jc w:val="center"/>
                  </w:pPr>
                  <w:r>
                    <w:t xml:space="preserve">58 [46, 69]</w:t>
                  </w:r>
                </w:p>
              </w:tc>
              <w:tc>
                <w:tcPr/>
                <w:p>
                  <w:pPr>
                    <w:pStyle w:val="Compact"/>
                    <w:jc w:val="right"/>
                    <w:jc w:val="center"/>
                  </w:pPr>
                  <w:r>
                    <w:t xml:space="preserve">63 [47, 71]</w:t>
                  </w:r>
                </w:p>
              </w:tc>
              <w:tc>
                <w:tcPr/>
                <w:p>
                  <w:pPr>
                    <w:pStyle w:val="Compact"/>
                    <w:jc w:val="right"/>
                    <w:jc w:val="center"/>
                  </w:pPr>
                  <w:r>
                    <w:t xml:space="preserve">56 [45, 66]</w:t>
                  </w:r>
                </w:p>
              </w:tc>
            </w:tr>
            <w:tr>
              <w:tc>
                <w:tcPr/>
                <w:p>
                  <w:pPr>
                    <w:pStyle w:val="Compact"/>
                    <w:jc w:val="left"/>
                    <w:jc w:val="center"/>
                  </w:pPr>
                  <w:r>
                    <w:t xml:space="preserve">    – Glucose management indicator (%)</w:t>
                  </w:r>
                </w:p>
              </w:tc>
              <w:tc>
                <w:tcPr/>
                <w:p>
                  <w:pPr>
                    <w:pStyle w:val="Compact"/>
                    <w:jc w:val="right"/>
                    <w:jc w:val="center"/>
                  </w:pPr>
                  <w:r>
                    <w:t xml:space="preserve">7.5 [7.0, 8.2]</w:t>
                  </w:r>
                </w:p>
              </w:tc>
              <w:tc>
                <w:tcPr/>
                <w:p>
                  <w:pPr>
                    <w:pStyle w:val="Compact"/>
                    <w:jc w:val="right"/>
                    <w:jc w:val="center"/>
                  </w:pPr>
                  <w:r>
                    <w:t xml:space="preserve">7.4 [6.9, 7.9]</w:t>
                  </w:r>
                </w:p>
              </w:tc>
              <w:tc>
                <w:tcPr/>
                <w:p>
                  <w:pPr>
                    <w:pStyle w:val="Compact"/>
                    <w:jc w:val="right"/>
                    <w:jc w:val="center"/>
                  </w:pPr>
                  <w:r>
                    <w:t xml:space="preserve">7.7 [7.0, 8.5]</w:t>
                  </w:r>
                </w:p>
              </w:tc>
            </w:tr>
            <w:tr>
              <w:tc>
                <w:tcPr/>
                <w:p>
                  <w:pPr>
                    <w:pStyle w:val="Compact"/>
                    <w:jc w:val="left"/>
                    <w:jc w:val="center"/>
                  </w:pPr>
                  <w:r>
                    <w:t xml:space="preserve">    – Time in range (%/per participant)</w:t>
                  </w:r>
                </w:p>
              </w:tc>
              <w:tc>
                <w:tcPr/>
                <w:p>
                  <w:pPr>
                    <w:pStyle w:val="Compact"/>
                    <w:jc w:val="right"/>
                    <w:jc w:val="center"/>
                  </w:pPr>
                  <w:r>
                    <w:t xml:space="preserve">47 [35, 57]</w:t>
                  </w:r>
                </w:p>
              </w:tc>
              <w:tc>
                <w:tcPr/>
                <w:p>
                  <w:pPr>
                    <w:pStyle w:val="Compact"/>
                    <w:jc w:val="right"/>
                    <w:jc w:val="center"/>
                  </w:pPr>
                  <w:r>
                    <w:t xml:space="preserve">49 [39, 60]</w:t>
                  </w:r>
                </w:p>
              </w:tc>
              <w:tc>
                <w:tcPr/>
                <w:p>
                  <w:pPr>
                    <w:pStyle w:val="Compact"/>
                    <w:jc w:val="right"/>
                    <w:jc w:val="center"/>
                  </w:pPr>
                  <w:r>
                    <w:t xml:space="preserve">42 [31, 54]</w:t>
                  </w:r>
                </w:p>
              </w:tc>
            </w:tr>
            <w:tr>
              <w:tc>
                <w:tcPr/>
                <w:p>
                  <w:pPr>
                    <w:pStyle w:val="Compact"/>
                    <w:jc w:val="left"/>
                    <w:jc w:val="center"/>
                  </w:pPr>
                  <w:r>
                    <w:t xml:space="preserve">    – Time above range (%/per participant)</w:t>
                  </w:r>
                </w:p>
              </w:tc>
              <w:tc>
                <w:tcPr/>
                <w:p>
                  <w:pPr>
                    <w:pStyle w:val="Compact"/>
                    <w:jc w:val="right"/>
                    <w:jc w:val="center"/>
                  </w:pPr>
                  <w:r>
                    <w:t xml:space="preserve">45 [30, 56]</w:t>
                  </w:r>
                </w:p>
              </w:tc>
              <w:tc>
                <w:tcPr/>
                <w:p>
                  <w:pPr>
                    <w:pStyle w:val="Compact"/>
                    <w:jc w:val="right"/>
                    <w:jc w:val="center"/>
                  </w:pPr>
                  <w:r>
                    <w:t xml:space="preserve">42 [28, 53]</w:t>
                  </w:r>
                </w:p>
              </w:tc>
              <w:tc>
                <w:tcPr/>
                <w:p>
                  <w:pPr>
                    <w:pStyle w:val="Compact"/>
                    <w:jc w:val="right"/>
                    <w:jc w:val="center"/>
                  </w:pPr>
                  <w:r>
                    <w:t xml:space="preserve">48 [32, 60]</w:t>
                  </w:r>
                </w:p>
              </w:tc>
            </w:tr>
            <w:tr>
              <w:tc>
                <w:tcPr/>
                <w:p>
                  <w:pPr>
                    <w:pStyle w:val="Compact"/>
                    <w:jc w:val="left"/>
                    <w:jc w:val="center"/>
                  </w:pPr>
                  <w:r>
                    <w:t xml:space="preserve">    – Time below range (%/per participant)</w:t>
                  </w:r>
                </w:p>
              </w:tc>
              <w:tc>
                <w:tcPr/>
                <w:p>
                  <w:pPr>
                    <w:pStyle w:val="Compact"/>
                    <w:jc w:val="right"/>
                    <w:jc w:val="center"/>
                  </w:pPr>
                  <w:r>
                    <w:t xml:space="preserve">8 [4, 14]</w:t>
                  </w:r>
                </w:p>
              </w:tc>
              <w:tc>
                <w:tcPr/>
                <w:p>
                  <w:pPr>
                    <w:pStyle w:val="Compact"/>
                    <w:jc w:val="right"/>
                    <w:jc w:val="center"/>
                  </w:pPr>
                  <w:r>
                    <w:t xml:space="preserve">6 [4, 10]</w:t>
                  </w:r>
                </w:p>
              </w:tc>
              <w:tc>
                <w:tcPr/>
                <w:p>
                  <w:pPr>
                    <w:pStyle w:val="Compact"/>
                    <w:jc w:val="right"/>
                    <w:jc w:val="center"/>
                  </w:pPr>
                  <w:r>
                    <w:t xml:space="preserve">11 [5, 15]</w:t>
                  </w:r>
                </w:p>
              </w:tc>
            </w:tr>
            <w:tr>
              <w:tc>
                <w:tcPr/>
                <w:p>
                  <w:pPr>
                    <w:pStyle w:val="Compact"/>
                    <w:jc w:val="left"/>
                    <w:jc w:val="center"/>
                  </w:pPr>
                  <w:r>
                    <w:t xml:space="preserve">    – Coefficient of variation (%)</w:t>
                  </w:r>
                </w:p>
              </w:tc>
              <w:tc>
                <w:tcPr/>
                <w:p>
                  <w:pPr>
                    <w:pStyle w:val="Compact"/>
                    <w:jc w:val="right"/>
                    <w:jc w:val="center"/>
                  </w:pPr>
                  <w:r>
                    <w:t xml:space="preserve">43.3 [39.6, 48.6]</w:t>
                  </w:r>
                </w:p>
              </w:tc>
              <w:tc>
                <w:tcPr/>
                <w:p>
                  <w:pPr>
                    <w:pStyle w:val="Compact"/>
                    <w:jc w:val="right"/>
                    <w:jc w:val="center"/>
                  </w:pPr>
                  <w:r>
                    <w:t xml:space="preserve">42.2 [38.6, 46.5]</w:t>
                  </w:r>
                </w:p>
              </w:tc>
              <w:tc>
                <w:tcPr/>
                <w:p>
                  <w:pPr>
                    <w:pStyle w:val="Compact"/>
                    <w:jc w:val="right"/>
                    <w:jc w:val="center"/>
                  </w:pPr>
                  <w:r>
                    <w:t xml:space="preserve">46.7 [40.4, 51.9]</w:t>
                  </w:r>
                </w:p>
              </w:tc>
            </w:tr>
            <w:tr>
              <w:tc>
                <w:tcPr/>
                <w:p>
                  <w:pPr>
                    <w:pStyle w:val="Compact"/>
                    <w:jc w:val="left"/>
                    <w:jc w:val="center"/>
                  </w:pPr>
                  <w:r>
                    <w:t xml:space="preserve">    – Mean amplitude of glycemic excursions (mmol/L)</w:t>
                  </w:r>
                </w:p>
              </w:tc>
              <w:tc>
                <w:tcPr/>
                <w:p>
                  <w:pPr>
                    <w:pStyle w:val="Compact"/>
                    <w:jc w:val="right"/>
                    <w:jc w:val="center"/>
                  </w:pPr>
                  <w:r>
                    <w:t xml:space="preserve">9.9 [8.2, 12.1]</w:t>
                  </w:r>
                </w:p>
              </w:tc>
              <w:tc>
                <w:tcPr/>
                <w:p>
                  <w:pPr>
                    <w:pStyle w:val="Compact"/>
                    <w:jc w:val="right"/>
                    <w:jc w:val="center"/>
                  </w:pPr>
                  <w:r>
                    <w:t xml:space="preserve">9.6 [8.1, 11.2]</w:t>
                  </w:r>
                </w:p>
              </w:tc>
              <w:tc>
                <w:tcPr/>
                <w:p>
                  <w:pPr>
                    <w:pStyle w:val="Compact"/>
                    <w:jc w:val="right"/>
                    <w:jc w:val="center"/>
                  </w:pPr>
                  <w:r>
                    <w:t xml:space="preserve">10.6 [8.5, 13.0]</w:t>
                  </w:r>
                </w:p>
              </w:tc>
            </w:tr>
          </w:tbl>
          <w:bookmarkEnd w:id="119"/>
          <w:p/>
        </w:tc>
      </w:tr>
    </w:tbl>
    <w:p>
      <w:pPr>
        <w:pStyle w:val="BodyText"/>
      </w:pPr>
      <w:r>
        <w:t xml:space="preserve">Categorical values are given by number (percentage), and numerical values are given by median [interquartile range].</w:t>
      </w:r>
    </w:p>
    <w:bookmarkEnd w:id="120"/>
    <w:bookmarkStart w:id="123" w:name="X8791eece424a9103699e922fdf11dbf6b825367"/>
    <w:p>
      <w:pPr>
        <w:pStyle w:val="Heading2"/>
      </w:pPr>
      <w:r>
        <w:t xml:space="preserve">5.4 Study II: Results from a Foundation Model Embedding Analysis</w:t>
      </w:r>
    </w:p>
    <w:bookmarkStart w:id="121" w:name="X3451edc627c0e3f5d8a5736b918adf0a8adcef9"/>
    <w:p>
      <w:pPr>
        <w:pStyle w:val="Heading3"/>
      </w:pPr>
      <w:r>
        <w:t xml:space="preserve">Representation learning of CGM data (Study 2)</w:t>
      </w:r>
    </w:p>
    <w:bookmarkEnd w:id="121"/>
    <w:bookmarkStart w:id="122" w:name="prediction-of-nt-probnp-study-2"/>
    <w:p>
      <w:pPr>
        <w:pStyle w:val="Heading3"/>
      </w:pPr>
      <w:r>
        <w:t xml:space="preserve">Prediction of NT-proBNP (Study 2)</w:t>
      </w:r>
    </w:p>
    <w:p>
      <w:pPr>
        <w:pStyle w:val="Compact"/>
        <w:numPr>
          <w:ilvl w:val="0"/>
          <w:numId w:val="1047"/>
        </w:numPr>
      </w:pPr>
      <w:r>
        <w:t xml:space="preserve">Prediction NT-proBNP with different baseline models</w:t>
      </w:r>
    </w:p>
    <w:p>
      <w:pPr>
        <w:pStyle w:val="Compact"/>
        <w:numPr>
          <w:ilvl w:val="0"/>
          <w:numId w:val="1047"/>
        </w:numPr>
      </w:pPr>
      <w:r>
        <w:t xml:space="preserve">Predicting NT-proBNP using only age</w:t>
      </w:r>
    </w:p>
    <w:p>
      <w:pPr>
        <w:pStyle w:val="Compact"/>
        <w:numPr>
          <w:ilvl w:val="0"/>
          <w:numId w:val="1047"/>
        </w:numPr>
      </w:pPr>
      <w:r>
        <w:t xml:space="preserve">PRedicting NT-proBNP using only CGM metrics</w:t>
      </w:r>
    </w:p>
    <w:p>
      <w:pPr>
        <w:pStyle w:val="Compact"/>
        <w:numPr>
          <w:ilvl w:val="0"/>
          <w:numId w:val="1047"/>
        </w:numPr>
      </w:pPr>
      <w:r>
        <w:t xml:space="preserve">Predicting NT-proBNP using SCORE2-Diabetes inputs and score together with other CGM data -&gt; Supplementary material of paper 2</w:t>
      </w:r>
    </w:p>
    <w:bookmarkEnd w:id="122"/>
    <w:bookmarkEnd w:id="123"/>
    <w:bookmarkStart w:id="130" w:name="X040d53506ddcab770974762280367409745da67"/>
    <w:p>
      <w:pPr>
        <w:pStyle w:val="Heading2"/>
      </w:pPr>
      <w:r>
        <w:t xml:space="preserve">5.5 Study III: Results from an Algorithmic Fairness Study</w:t>
      </w:r>
    </w:p>
    <w:bookmarkStart w:id="129" w:name="bias-in-machine-learning-models-study-3"/>
    <w:p>
      <w:pPr>
        <w:pStyle w:val="Heading3"/>
      </w:pPr>
      <w:r>
        <w:t xml:space="preserve">Bias in Machine Learning models (Study 3)</w:t>
      </w:r>
    </w:p>
    <w:p>
      <w:pPr>
        <w:pStyle w:val="Compact"/>
        <w:numPr>
          <w:ilvl w:val="0"/>
          <w:numId w:val="1048"/>
        </w:numPr>
      </w:pPr>
      <w:r>
        <w:t xml:space="preserve">Baseline characteristics of the T1DX cohort stratified by race status</w:t>
      </w:r>
    </w:p>
    <w:p>
      <w:pPr>
        <w:pStyle w:val="Compact"/>
        <w:numPr>
          <w:ilvl w:val="0"/>
          <w:numId w:val="1048"/>
        </w:numPr>
      </w:pPr>
      <w:r>
        <w:t xml:space="preserve">Fairness metrics of the LMEM model before and after fine-tuning</w:t>
      </w:r>
    </w:p>
    <w:tbl>
      <w:tblPr>
        <w:tblStyle w:val="Table"/>
        <w:tblW w:type="pct" w:w="5000"/>
        <w:tblLayout w:type="fixed"/>
        <w:tblLook w:firstRow="0" w:lastRow="0" w:firstColumn="0" w:lastColumn="0" w:noHBand="0" w:noVBand="0" w:val="0000"/>
      </w:tblPr>
      <w:tblGrid>
        <w:gridCol w:w="7920"/>
      </w:tblGrid>
      <w:tr>
        <w:tc>
          <w:tcPr/>
          <w:bookmarkStart w:id="128" w:name="fig-prisma"/>
          <w:p>
            <w:pPr>
              <w:jc w:val="center"/>
            </w:pPr>
            <w:hyperlink r:id="rId127">
              <w:r>
                <w:drawing>
                  <wp:inline>
                    <wp:extent cx="2862469" cy="1125415"/>
                    <wp:effectExtent b="0" l="0" r="0" t="0"/>
                    <wp:docPr descr="" title="" id="125" name="Picture"/>
                    <a:graphic>
                      <a:graphicData uri="http://schemas.openxmlformats.org/drawingml/2006/picture">
                        <pic:pic>
                          <pic:nvPicPr>
                            <pic:cNvPr descr="figures/4_results_fig/study_3_Fig2.png" id="126" name="Picture"/>
                            <pic:cNvPicPr>
                              <a:picLocks noChangeArrowheads="1" noChangeAspect="1"/>
                            </pic:cNvPicPr>
                          </pic:nvPicPr>
                          <pic:blipFill>
                            <a:blip r:embed="rId124"/>
                            <a:stretch>
                              <a:fillRect/>
                            </a:stretch>
                          </pic:blipFill>
                          <pic:spPr bwMode="auto">
                            <a:xfrm>
                              <a:off x="0" y="0"/>
                              <a:ext cx="2862469" cy="1125415"/>
                            </a:xfrm>
                            <a:prstGeom prst="rect">
                              <a:avLst/>
                            </a:prstGeom>
                            <a:noFill/>
                            <a:ln w="9525">
                              <a:noFill/>
                              <a:headEnd/>
                              <a:tailEnd/>
                            </a:ln>
                          </pic:spPr>
                        </pic:pic>
                      </a:graphicData>
                    </a:graphic>
                  </wp:inline>
                </w:drawing>
              </w:r>
            </w:hyperlink>
          </w:p>
          <w:p>
            <w:pPr>
              <w:jc w:val="center"/>
            </w:pPr>
            <w:r>
              <w:rPr>
                <w:i/>
                <w:iCs/>
              </w:rPr>
              <w:t xml:space="preserve">Note:</w:t>
            </w:r>
            <w:r>
              <w:t xml:space="preserve"> </w:t>
            </w:r>
            <w:r>
              <w:t xml:space="preserve">The y-axis starts at 1.9 mmol/L and not 0</w:t>
            </w:r>
          </w:p>
          <w:p>
            <w:pPr>
              <w:jc w:val="center"/>
            </w:pPr>
            <w:pPr>
              <w:jc w:val="left"/>
              <w:spacing w:before="200"/>
              <w:pStyle w:val="ImageCaption"/>
            </w:pPr>
            <w:r>
              <w:t xml:space="preserve">Figure 5.2: Estimated root mean squared errors (RMSE) across 11 different proportions of White and Black participants in the dataset.</w:t>
            </w:r>
          </w:p>
          <w:bookmarkEnd w:id="128"/>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Ratio</w:t>
            </w:r>
          </w:p>
        </w:tc>
        <w:tc>
          <w:tcPr/>
          <w:p>
            <w:pPr>
              <w:pStyle w:val="Compact"/>
              <w:jc w:val="left"/>
            </w:pPr>
            <w:r>
              <w:t xml:space="preserve">LOCF</w:t>
            </w:r>
          </w:p>
        </w:tc>
        <w:tc>
          <w:tcPr/>
          <w:p>
            <w:pPr>
              <w:pStyle w:val="Compact"/>
              <w:jc w:val="left"/>
            </w:pPr>
            <w:r>
              <w:t xml:space="preserve">Base-Individual</w:t>
            </w:r>
          </w:p>
        </w:tc>
        <w:tc>
          <w:tcPr/>
          <w:p>
            <w:pPr>
              <w:pStyle w:val="Compact"/>
              <w:jc w:val="left"/>
            </w:pPr>
            <w:r>
              <w:t xml:space="preserve">Base-Generalized</w:t>
            </w:r>
          </w:p>
        </w:tc>
        <w:tc>
          <w:tcPr/>
          <w:p>
            <w:pPr>
              <w:pStyle w:val="Compact"/>
              <w:jc w:val="left"/>
            </w:pPr>
            <w:r>
              <w:t xml:space="preserve">Transfer Learned</w:t>
            </w:r>
          </w:p>
        </w:tc>
      </w:tr>
      <w:tr>
        <w:tc>
          <w:tcPr/>
          <w:p>
            <w:pPr>
              <w:pStyle w:val="Compact"/>
              <w:jc w:val="left"/>
            </w:pPr>
            <w:r>
              <w:rPr>
                <w:b/>
                <w:bCs/>
              </w:rPr>
              <w:t xml:space="preserve">Model performance (RMSE) for White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2.04 [1.95, 2.13]</w:t>
            </w:r>
          </w:p>
        </w:tc>
        <w:tc>
          <w:tcPr/>
          <w:p>
            <w:pPr>
              <w:pStyle w:val="Compact"/>
              <w:jc w:val="left"/>
            </w:pPr>
            <w:r>
              <w:t xml:space="preserve">2.02 [1.94, 2.11]</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2.04 [1.95, 2.12]</w:t>
            </w:r>
          </w:p>
        </w:tc>
        <w:tc>
          <w:tcPr/>
          <w:p>
            <w:pPr>
              <w:pStyle w:val="Compact"/>
              <w:jc w:val="left"/>
            </w:pPr>
            <w:r>
              <w:t xml:space="preserve">2.02 [1.94, 2.10]</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40</w:t>
            </w:r>
          </w:p>
        </w:tc>
        <w:tc>
          <w:tcPr/>
          <w:p>
            <w:pPr>
              <w:pStyle w:val="Compact"/>
              <w:jc w:val="left"/>
            </w:pPr>
            <w:r>
              <w:t xml:space="preserve">2.45 [2.32, 2.57]</w:t>
            </w:r>
          </w:p>
        </w:tc>
        <w:tc>
          <w:tcPr/>
          <w:p>
            <w:pPr>
              <w:pStyle w:val="Compact"/>
              <w:jc w:val="left"/>
            </w:pPr>
            <w:r>
              <w:t xml:space="preserve">2.54 [2.38, 2.70]</w:t>
            </w:r>
          </w:p>
        </w:tc>
        <w:tc>
          <w:tcPr/>
          <w:p>
            <w:pPr>
              <w:pStyle w:val="Compact"/>
              <w:jc w:val="left"/>
            </w:pPr>
            <w:r>
              <w:t xml:space="preserve">2.03 [1.94, 2.12]</w:t>
            </w:r>
          </w:p>
        </w:tc>
        <w:tc>
          <w:tcPr/>
          <w:p>
            <w:pPr>
              <w:pStyle w:val="Compact"/>
              <w:jc w:val="left"/>
            </w:pPr>
            <w:r>
              <w:t xml:space="preserve">2.02 [1.94, 2.10]</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2.03 [1.94, 2.11]</w:t>
            </w:r>
          </w:p>
        </w:tc>
        <w:tc>
          <w:tcPr/>
          <w:p>
            <w:pPr>
              <w:pStyle w:val="Compact"/>
              <w:jc w:val="left"/>
            </w:pPr>
            <w:r>
              <w:t xml:space="preserve">2.02 [1.93, 2.10]</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2.02 [1.94, 2.11]</w:t>
            </w:r>
          </w:p>
        </w:tc>
        <w:tc>
          <w:tcPr/>
          <w:p>
            <w:pPr>
              <w:pStyle w:val="Compact"/>
              <w:jc w:val="left"/>
            </w:pPr>
            <w:r>
              <w:t xml:space="preserve">2.02 [1.93, 2.10]</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2.02 [1.93, 2.11]</w:t>
            </w:r>
          </w:p>
        </w:tc>
        <w:tc>
          <w:tcPr/>
          <w:p>
            <w:pPr>
              <w:pStyle w:val="Compact"/>
              <w:jc w:val="left"/>
            </w:pPr>
            <w:r>
              <w:t xml:space="preserve">2.01 [1.93, 2.10]</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[1.93, 2.10]</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2.01 [1.92, 2.10]</w:t>
            </w:r>
          </w:p>
        </w:tc>
        <w:tc>
          <w:tcPr/>
          <w:p>
            <w:pPr>
              <w:pStyle w:val="Compact"/>
              <w:jc w:val="left"/>
            </w:pPr>
            <w:r>
              <w:t xml:space="preserve">2.01 [1.92, 2.10]</w:t>
            </w:r>
          </w:p>
        </w:tc>
      </w:tr>
      <w:tr>
        <w:tc>
          <w:tcPr/>
          <w:p>
            <w:pPr>
              <w:pStyle w:val="Compact"/>
              <w:jc w:val="left"/>
            </w:pPr>
            <w:r>
              <w:rPr>
                <w:b/>
                <w:bCs/>
              </w:rPr>
              <w:t xml:space="preserve">Model performance (RMSE) for Black participants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[1.91, 2.08]</w:t>
            </w: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2.05 [1.96, 2.14]</w:t>
            </w:r>
          </w:p>
        </w:tc>
        <w:tc>
          <w:tcPr/>
          <w:p>
            <w:pPr>
              <w:pStyle w:val="Compact"/>
              <w:jc w:val="left"/>
            </w:pPr>
            <w:r>
              <w:t xml:space="preserve">2.00 [1.92, 2.08]</w:t>
            </w:r>
          </w:p>
        </w:tc>
      </w:tr>
      <w:tr>
        <w:tc>
          <w:tcPr/>
          <w:p>
            <w:pPr>
              <w:pStyle w:val="Compact"/>
              <w:jc w:val="left"/>
            </w:pPr>
            <w:r>
              <w:t xml:space="preserve">30</w:t>
            </w:r>
          </w:p>
        </w:tc>
        <w:tc>
          <w:tcPr/>
          <w:p>
            <w:pPr>
              <w:pStyle w:val="Compact"/>
            </w:pPr>
          </w:p>
        </w:tc>
        <w:tc>
          <w:tcPr/>
          <w:p>
            <w:pPr>
              <w:pStyle w:val="Compact"/>
            </w:pP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40</w:t>
            </w:r>
          </w:p>
        </w:tc>
        <w:tc>
          <w:tcPr/>
          <w:p>
            <w:pPr>
              <w:pStyle w:val="Compact"/>
              <w:jc w:val="left"/>
            </w:pPr>
            <w:r>
              <w:t xml:space="preserve">2.41 [2.28, 2.53]</w:t>
            </w:r>
          </w:p>
        </w:tc>
        <w:tc>
          <w:tcPr/>
          <w:p>
            <w:pPr>
              <w:pStyle w:val="Compact"/>
              <w:jc w:val="left"/>
            </w:pPr>
            <w:r>
              <w:t xml:space="preserve">2.63 [2.47, 2.79]</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50</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(independent</w:t>
            </w:r>
            <w:r>
              <w:t xml:space="preserve"> </w:t>
            </w:r>
            <w:r>
              <w:t xml:space="preserve"> </w:t>
            </w:r>
            <w:r>
              <w:t xml:space="preserve">of ratio)</w:t>
            </w:r>
          </w:p>
        </w:tc>
        <w:tc>
          <w:tcPr/>
          <w:p>
            <w:pPr>
              <w:pStyle w:val="Compact"/>
              <w:jc w:val="left"/>
            </w:pPr>
            <w:r>
              <w:t xml:space="preserve">2.05 [1.97, 2.14]</w:t>
            </w:r>
          </w:p>
        </w:tc>
        <w:tc>
          <w:tcPr/>
          <w:p>
            <w:pPr>
              <w:pStyle w:val="Compact"/>
              <w:jc w:val="left"/>
            </w:pPr>
            <w:r>
              <w:t xml:space="preserve">2.00 [1.92, 2.08]</w:t>
            </w:r>
          </w:p>
        </w:tc>
      </w:tr>
      <w:tr>
        <w:tc>
          <w:tcPr/>
          <w:p>
            <w:pPr>
              <w:pStyle w:val="Compact"/>
              <w:jc w:val="left"/>
            </w:pPr>
            <w:r>
              <w:t xml:space="preserve">60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70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2.08]</w:t>
            </w:r>
          </w:p>
        </w:tc>
      </w:tr>
      <w:tr>
        <w:tc>
          <w:tcPr/>
          <w:p>
            <w:pPr>
              <w:pStyle w:val="Compact"/>
              <w:jc w:val="left"/>
            </w:pPr>
            <w:r>
              <w:t xml:space="preserve">80</w:t>
            </w:r>
          </w:p>
        </w:tc>
        <w:tc>
          <w:tcPr/>
          <w:p>
            <w:pPr>
              <w:pStyle w:val="Compact"/>
            </w:pPr>
          </w:p>
        </w:tc>
        <w:tc>
          <w:tcPr/>
          <w:p>
            <w:pPr>
              <w:pStyle w:val="Compact"/>
            </w:pPr>
          </w:p>
        </w:tc>
        <w:tc>
          <w:tcPr/>
          <w:p>
            <w:pPr>
              <w:pStyle w:val="Compact"/>
              <w:jc w:val="left"/>
            </w:pPr>
            <w:r>
              <w:t xml:space="preserve">2.06 [1.97, 2.14]</w:t>
            </w:r>
          </w:p>
        </w:tc>
        <w:tc>
          <w:tcPr/>
          <w:p>
            <w:pPr>
              <w:pStyle w:val="Compact"/>
              <w:jc w:val="left"/>
            </w:pPr>
            <w:r>
              <w:t xml:space="preserve">2.00 [1.92, 2.09]</w:t>
            </w:r>
          </w:p>
        </w:tc>
      </w:tr>
      <w:tr>
        <w:tc>
          <w:tcPr/>
          <w:p>
            <w:pPr>
              <w:pStyle w:val="Compact"/>
              <w:jc w:val="left"/>
            </w:pPr>
            <w:r>
              <w:t xml:space="preserve">90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r>
        <w:tc>
          <w:tcPr/>
          <w:p>
            <w:pPr>
              <w:pStyle w:val="Compact"/>
              <w:jc w:val="left"/>
            </w:pPr>
            <w:r>
              <w:t xml:space="preserve">100</w:t>
            </w:r>
          </w:p>
        </w:tc>
        <w:tc>
          <w:tcPr/>
          <w:p>
            <w:pPr>
              <w:pStyle w:val="Compact"/>
            </w:pPr>
          </w:p>
        </w:tc>
        <w:tc>
          <w:tcPr/>
          <w:p>
            <w:pPr>
              <w:pStyle w:val="Compact"/>
            </w:pPr>
          </w:p>
        </w:tc>
        <w:tc>
          <w:tcPr/>
          <w:p>
            <w:pPr>
              <w:pStyle w:val="Compact"/>
              <w:jc w:val="left"/>
            </w:pPr>
            <w:r>
              <w:t xml:space="preserve">2.06 [1.97, 2.15]</w:t>
            </w:r>
          </w:p>
        </w:tc>
        <w:tc>
          <w:tcPr/>
          <w:p>
            <w:pPr>
              <w:pStyle w:val="Compact"/>
              <w:jc w:val="left"/>
            </w:pPr>
            <w:r>
              <w:t xml:space="preserve">2.00 [1.92, 2.09]</w:t>
            </w:r>
          </w:p>
        </w:tc>
      </w:tr>
    </w:tbl>
    <w:p>
      <w:pPr>
        <w:pStyle w:val="BodyText"/>
      </w:pPr>
      <w:r>
        <w:t xml:space="preserve">Values that vary by proportion are estimated using linear mixed-effects models. These models were adjusted to the population’s age (40% children) and sex (57% women) distribution. Abbreviations: LOCF = last observation carried forward.</w:t>
      </w:r>
    </w:p>
    <w:p>
      <w:pPr>
        <w:pStyle w:val="BodyText"/>
      </w:pPr>
      <w:r>
        <w:t xml:space="preserve">Root mean squared errors with 95% CIs for the different models.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1.893</w:t>
            </w:r>
          </w:p>
        </w:tc>
        <w:tc>
          <w:tcPr/>
          <w:p>
            <w:pPr>
              <w:pStyle w:val="Compact"/>
              <w:jc w:val="left"/>
            </w:pPr>
            <w:r>
              <w:t xml:space="preserve">[1.762, 2.024]</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0.007</w:t>
            </w:r>
          </w:p>
        </w:tc>
        <w:tc>
          <w:tcPr/>
          <w:p>
            <w:pPr>
              <w:pStyle w:val="Compact"/>
              <w:jc w:val="left"/>
            </w:pPr>
            <w:r>
              <w:t xml:space="preserve">[-0.118, 0.132]</w:t>
            </w:r>
          </w:p>
        </w:tc>
        <w:tc>
          <w:tcPr/>
          <w:p>
            <w:pPr>
              <w:pStyle w:val="Compact"/>
              <w:jc w:val="left"/>
            </w:pPr>
            <w:r>
              <w:t xml:space="preserve">0.91</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0.482</w:t>
            </w:r>
          </w:p>
        </w:tc>
        <w:tc>
          <w:tcPr/>
          <w:p>
            <w:pPr>
              <w:pStyle w:val="Compact"/>
              <w:jc w:val="left"/>
            </w:pPr>
            <w:r>
              <w:t xml:space="preserve">[0.355, 0.610]</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-0.076</w:t>
            </w:r>
          </w:p>
        </w:tc>
        <w:tc>
          <w:tcPr/>
          <w:p>
            <w:pPr>
              <w:pStyle w:val="Compact"/>
              <w:jc w:val="left"/>
            </w:pPr>
            <w:r>
              <w:t xml:space="preserve">[-0.201, 0.048]</w:t>
            </w:r>
          </w:p>
        </w:tc>
        <w:tc>
          <w:tcPr/>
          <w:p>
            <w:pPr>
              <w:pStyle w:val="Compact"/>
              <w:jc w:val="left"/>
            </w:pPr>
            <w:r>
              <w:t xml:space="preserve">0.23</w:t>
            </w:r>
          </w:p>
        </w:tc>
      </w:tr>
      <w:tr>
        <w:tc>
          <w:tcPr/>
          <w:p>
            <w:pPr>
              <w:pStyle w:val="Compact"/>
              <w:jc w:val="left"/>
            </w:pPr>
            <w:r>
              <w:t xml:space="preserve">Training size Base-Generalized (per 100,000 samples)*</w:t>
            </w:r>
          </w:p>
        </w:tc>
        <w:tc>
          <w:tcPr/>
          <w:p>
            <w:pPr>
              <w:pStyle w:val="Compact"/>
              <w:jc w:val="left"/>
            </w:pPr>
            <w:r>
              <w:t xml:space="preserve">0.019</w:t>
            </w:r>
          </w:p>
        </w:tc>
        <w:tc>
          <w:tcPr/>
          <w:p>
            <w:pPr>
              <w:pStyle w:val="Compact"/>
              <w:jc w:val="left"/>
            </w:pPr>
            <w:r>
              <w:t xml:space="preserve">[-0.055, 0.093]</w:t>
            </w:r>
          </w:p>
        </w:tc>
        <w:tc>
          <w:tcPr/>
          <w:p>
            <w:pPr>
              <w:pStyle w:val="Compact"/>
              <w:jc w:val="left"/>
            </w:pPr>
            <w:r>
              <w:t xml:space="preserve">0.62</w:t>
            </w:r>
          </w:p>
        </w:tc>
      </w:tr>
      <w:tr>
        <w:tc>
          <w:tcPr/>
          <w:p>
            <w:pPr>
              <w:pStyle w:val="Compact"/>
              <w:jc w:val="left"/>
            </w:pPr>
            <w:r>
              <w:t xml:space="preserve">Ratio (per 10%)</w:t>
            </w:r>
          </w:p>
        </w:tc>
        <w:tc>
          <w:tcPr/>
          <w:p>
            <w:pPr>
              <w:pStyle w:val="Compact"/>
              <w:jc w:val="left"/>
            </w:pPr>
            <w:r>
              <w:t xml:space="preserve">-0.003</w:t>
            </w:r>
          </w:p>
        </w:tc>
        <w:tc>
          <w:tcPr/>
          <w:p>
            <w:pPr>
              <w:pStyle w:val="Compact"/>
              <w:jc w:val="left"/>
            </w:pPr>
            <w:r>
              <w:t xml:space="preserve">[-0.007, 0.001]</w:t>
            </w:r>
          </w:p>
        </w:tc>
        <w:tc>
          <w:tcPr/>
          <w:p>
            <w:pPr>
              <w:pStyle w:val="Compact"/>
              <w:jc w:val="left"/>
            </w:pPr>
            <w:r>
              <w:t xml:space="preserve">0.12</w:t>
            </w:r>
          </w:p>
        </w:tc>
      </w:tr>
      <w:tr>
        <w:tc>
          <w:tcPr/>
          <w:p>
            <w:pPr>
              <w:pStyle w:val="Compact"/>
              <w:jc w:val="left"/>
            </w:pPr>
            <w:r>
              <w:t xml:space="preserve">Ratio · Race</w:t>
            </w:r>
          </w:p>
        </w:tc>
        <w:tc>
          <w:tcPr/>
          <w:p>
            <w:pPr>
              <w:pStyle w:val="Compact"/>
              <w:jc w:val="left"/>
            </w:pPr>
            <w:r>
              <w:t xml:space="preserve">0.004</w:t>
            </w:r>
          </w:p>
        </w:tc>
        <w:tc>
          <w:tcPr/>
          <w:p>
            <w:pPr>
              <w:pStyle w:val="Compact"/>
              <w:jc w:val="left"/>
            </w:pPr>
            <w:r>
              <w:t xml:space="preserve">[0.001, 0.008]</w:t>
            </w:r>
          </w:p>
        </w:tc>
        <w:tc>
          <w:tcPr/>
          <w:p>
            <w:pPr>
              <w:pStyle w:val="Compact"/>
              <w:jc w:val="left"/>
            </w:pPr>
            <w:r>
              <w:t xml:space="preserve">0.02</w:t>
            </w:r>
          </w:p>
        </w:tc>
      </w:tr>
    </w:tbl>
    <w:p>
      <w:pPr>
        <w:pStyle w:val="BodyText"/>
      </w:pPr>
      <w:r>
        <w:t xml:space="preserve">*Training size was centered at 510,000 as the training data had a mean of 514,293 samples.</w:t>
      </w:r>
    </w:p>
    <w:p>
      <w:pPr>
        <w:pStyle w:val="BodyText"/>
      </w:pPr>
      <w:r>
        <w:t xml:space="preserve">Model coefficients from linear mixed effects models for root mean squared errors of the Base-Generalized models.</w:t>
      </w:r>
    </w:p>
    <w:p>
      <w:pPr>
        <w:pStyle w:val="BodyText"/>
      </w:pPr>
      <w:r>
        <w:t xml:space="preserve">Lorum ipsum Lorum ipsum Lorum ipsum Lorum ipsum Lorum ipsum Lorum ipsum Lorum ipsum Lorum ipsum Lorum ipsum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left"/>
            </w:pPr>
            <w:r>
              <w:t xml:space="preserve">Coefficient</w:t>
            </w:r>
          </w:p>
        </w:tc>
        <w:tc>
          <w:tcPr/>
          <w:p>
            <w:pPr>
              <w:pStyle w:val="Compact"/>
              <w:jc w:val="left"/>
            </w:pPr>
            <w:r>
              <w:t xml:space="preserve">95% CI</w:t>
            </w:r>
          </w:p>
        </w:tc>
        <w:tc>
          <w:tcPr/>
          <w:p>
            <w:pPr>
              <w:pStyle w:val="Compact"/>
              <w:jc w:val="left"/>
            </w:pPr>
            <w:r>
              <w:t xml:space="preserve">P-value</w:t>
            </w:r>
          </w:p>
        </w:tc>
      </w:tr>
      <w:tr>
        <w:tc>
          <w:tcPr/>
          <w:p>
            <w:pPr>
              <w:pStyle w:val="Compact"/>
              <w:jc w:val="left"/>
            </w:pPr>
            <w:r>
              <w:t xml:space="preserve">Intercept</w:t>
            </w:r>
          </w:p>
        </w:tc>
        <w:tc>
          <w:tcPr/>
          <w:p>
            <w:pPr>
              <w:pStyle w:val="Compact"/>
              <w:jc w:val="left"/>
            </w:pPr>
            <w:r>
              <w:t xml:space="preserve">1.890</w:t>
            </w:r>
          </w:p>
        </w:tc>
        <w:tc>
          <w:tcPr/>
          <w:p>
            <w:pPr>
              <w:pStyle w:val="Compact"/>
              <w:jc w:val="left"/>
            </w:pPr>
            <w:r>
              <w:t xml:space="preserve">[1.768, 2.015]</w:t>
            </w:r>
          </w:p>
        </w:tc>
        <w:tc>
          <w:tcPr/>
          <w:p>
            <w:pPr>
              <w:pStyle w:val="Compact"/>
              <w:jc w:val="left"/>
            </w:pPr>
            <w:r>
              <w:t xml:space="preserve">&lt;0.001</w:t>
            </w:r>
          </w:p>
        </w:tc>
      </w:tr>
      <w:tr>
        <w:tc>
          <w:tcPr/>
          <w:p>
            <w:pPr>
              <w:pStyle w:val="Compact"/>
              <w:jc w:val="left"/>
            </w:pPr>
            <w:r>
              <w:rPr>
                <w:b/>
                <w:bCs/>
              </w:rPr>
              <w:t xml:space="preserve">Race</w:t>
            </w:r>
          </w:p>
        </w:tc>
        <w:tc>
          <w:tcPr/>
          <w:p>
            <w:pPr>
              <w:pStyle w:val="Compact"/>
            </w:pPr>
          </w:p>
        </w:tc>
        <w:tc>
          <w:tcPr/>
          <w:p>
            <w:pPr>
              <w:pStyle w:val="Compact"/>
            </w:pPr>
          </w:p>
        </w:tc>
        <w:tc>
          <w:tcPr/>
          <w:p>
            <w:pPr>
              <w:pStyle w:val="Compact"/>
            </w:pPr>
          </w:p>
        </w:tc>
      </w:tr>
      <w:tr>
        <w:tc>
          <w:tcPr/>
          <w:p>
            <w:pPr>
              <w:pStyle w:val="Compact"/>
              <w:jc w:val="left"/>
            </w:pPr>
            <w:r>
              <w:t xml:space="preserve">     White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Black</w:t>
            </w:r>
          </w:p>
        </w:tc>
        <w:tc>
          <w:tcPr/>
          <w:p>
            <w:pPr>
              <w:pStyle w:val="Compact"/>
              <w:jc w:val="left"/>
            </w:pPr>
            <w:r>
              <w:t xml:space="preserve">-0.028</w:t>
            </w:r>
          </w:p>
        </w:tc>
        <w:tc>
          <w:tcPr/>
          <w:p>
            <w:pPr>
              <w:pStyle w:val="Compact"/>
              <w:jc w:val="left"/>
            </w:pPr>
            <w:r>
              <w:t xml:space="preserve">[-0.147, 0.092]</w:t>
            </w:r>
          </w:p>
        </w:tc>
        <w:tc>
          <w:tcPr/>
          <w:p>
            <w:pPr>
              <w:pStyle w:val="Compact"/>
              <w:jc w:val="left"/>
            </w:pPr>
            <w:r>
              <w:t xml:space="preserve">0.65</w:t>
            </w:r>
          </w:p>
        </w:tc>
      </w:tr>
      <w:tr>
        <w:tc>
          <w:tcPr/>
          <w:p>
            <w:pPr>
              <w:pStyle w:val="Compact"/>
              <w:jc w:val="left"/>
            </w:pPr>
            <w:r>
              <w:rPr>
                <w:b/>
                <w:bCs/>
              </w:rPr>
              <w:t xml:space="preserve">Age</w:t>
            </w:r>
          </w:p>
        </w:tc>
        <w:tc>
          <w:tcPr/>
          <w:p>
            <w:pPr>
              <w:pStyle w:val="Compact"/>
            </w:pPr>
          </w:p>
        </w:tc>
        <w:tc>
          <w:tcPr/>
          <w:p>
            <w:pPr>
              <w:pStyle w:val="Compact"/>
            </w:pPr>
          </w:p>
        </w:tc>
        <w:tc>
          <w:tcPr/>
          <w:p>
            <w:pPr>
              <w:pStyle w:val="Compact"/>
            </w:pPr>
          </w:p>
        </w:tc>
      </w:tr>
      <w:tr>
        <w:tc>
          <w:tcPr/>
          <w:p>
            <w:pPr>
              <w:pStyle w:val="Compact"/>
              <w:jc w:val="left"/>
            </w:pPr>
            <w:r>
              <w:t xml:space="preserve">     Adult</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Child</w:t>
            </w:r>
          </w:p>
        </w:tc>
        <w:tc>
          <w:tcPr/>
          <w:p>
            <w:pPr>
              <w:pStyle w:val="Compact"/>
              <w:jc w:val="left"/>
            </w:pPr>
            <w:r>
              <w:t xml:space="preserve">0.411</w:t>
            </w:r>
          </w:p>
        </w:tc>
        <w:tc>
          <w:tcPr/>
          <w:p>
            <w:pPr>
              <w:pStyle w:val="Compact"/>
              <w:jc w:val="left"/>
            </w:pPr>
            <w:r>
              <w:t xml:space="preserve">[0.290, 0.533]</w:t>
            </w:r>
          </w:p>
        </w:tc>
        <w:tc>
          <w:tcPr/>
          <w:p>
            <w:pPr>
              <w:pStyle w:val="Compact"/>
              <w:jc w:val="left"/>
            </w:pPr>
            <w:r>
              <w:t xml:space="preserve">&lt;0.001</w:t>
            </w:r>
          </w:p>
        </w:tc>
      </w:tr>
      <w:tr>
        <w:tc>
          <w:tcPr/>
          <w:p>
            <w:pPr>
              <w:pStyle w:val="Compact"/>
              <w:jc w:val="left"/>
            </w:pPr>
            <w:r>
              <w:rPr>
                <w:b/>
                <w:bCs/>
              </w:rPr>
              <w:t xml:space="preserve">Sex</w:t>
            </w:r>
          </w:p>
        </w:tc>
        <w:tc>
          <w:tcPr/>
          <w:p>
            <w:pPr>
              <w:pStyle w:val="Compact"/>
            </w:pPr>
          </w:p>
        </w:tc>
        <w:tc>
          <w:tcPr/>
          <w:p>
            <w:pPr>
              <w:pStyle w:val="Compact"/>
            </w:pPr>
          </w:p>
        </w:tc>
        <w:tc>
          <w:tcPr/>
          <w:p>
            <w:pPr>
              <w:pStyle w:val="Compact"/>
            </w:pPr>
          </w:p>
        </w:tc>
      </w:tr>
      <w:tr>
        <w:tc>
          <w:tcPr/>
          <w:p>
            <w:pPr>
              <w:pStyle w:val="Compact"/>
              <w:jc w:val="left"/>
            </w:pPr>
            <w:r>
              <w:t xml:space="preserve">     Male</w:t>
            </w:r>
          </w:p>
        </w:tc>
        <w:tc>
          <w:tcPr/>
          <w:p>
            <w:pPr>
              <w:pStyle w:val="Compact"/>
              <w:jc w:val="left"/>
            </w:pPr>
            <w:r>
              <w:t xml:space="preserve">Reference</w:t>
            </w:r>
          </w:p>
        </w:tc>
        <w:tc>
          <w:tcPr/>
          <w:p>
            <w:pPr>
              <w:pStyle w:val="Compact"/>
            </w:pPr>
          </w:p>
        </w:tc>
        <w:tc>
          <w:tcPr/>
          <w:p>
            <w:pPr>
              <w:pStyle w:val="Compact"/>
            </w:pPr>
          </w:p>
        </w:tc>
      </w:tr>
      <w:tr>
        <w:tc>
          <w:tcPr/>
          <w:p>
            <w:pPr>
              <w:pStyle w:val="Compact"/>
              <w:jc w:val="left"/>
            </w:pPr>
            <w:r>
              <w:t xml:space="preserve">     Female</w:t>
            </w:r>
          </w:p>
        </w:tc>
        <w:tc>
          <w:tcPr/>
          <w:p>
            <w:pPr>
              <w:pStyle w:val="Compact"/>
              <w:jc w:val="left"/>
            </w:pPr>
            <w:r>
              <w:t xml:space="preserve">-0.057</w:t>
            </w:r>
          </w:p>
        </w:tc>
        <w:tc>
          <w:tcPr/>
          <w:p>
            <w:pPr>
              <w:pStyle w:val="Compact"/>
              <w:jc w:val="left"/>
            </w:pPr>
            <w:r>
              <w:t xml:space="preserve">[-0.173, 0.060]</w:t>
            </w:r>
          </w:p>
        </w:tc>
        <w:tc>
          <w:tcPr/>
          <w:p>
            <w:pPr>
              <w:pStyle w:val="Compact"/>
              <w:jc w:val="left"/>
            </w:pPr>
            <w:r>
              <w:t xml:space="preserve">0.34</w:t>
            </w:r>
          </w:p>
        </w:tc>
      </w:tr>
      <w:tr>
        <w:tc>
          <w:tcPr/>
          <w:p>
            <w:pPr>
              <w:pStyle w:val="Compact"/>
              <w:jc w:val="left"/>
            </w:pPr>
            <w:r>
              <w:t xml:space="preserve">Training size Base-Generalized (per 100,000 samples)*</w:t>
            </w:r>
          </w:p>
        </w:tc>
        <w:tc>
          <w:tcPr/>
          <w:p>
            <w:pPr>
              <w:pStyle w:val="Compact"/>
              <w:jc w:val="left"/>
            </w:pPr>
            <w:r>
              <w:t xml:space="preserve">0.011</w:t>
            </w:r>
          </w:p>
        </w:tc>
        <w:tc>
          <w:tcPr/>
          <w:p>
            <w:pPr>
              <w:pStyle w:val="Compact"/>
              <w:jc w:val="left"/>
            </w:pPr>
            <w:r>
              <w:t xml:space="preserve">[-0.060, 0.081]</w:t>
            </w:r>
          </w:p>
        </w:tc>
        <w:tc>
          <w:tcPr/>
          <w:p>
            <w:pPr>
              <w:pStyle w:val="Compact"/>
              <w:jc w:val="left"/>
            </w:pPr>
            <w:r>
              <w:t xml:space="preserve">0.77</w:t>
            </w:r>
          </w:p>
        </w:tc>
      </w:tr>
      <w:tr>
        <w:tc>
          <w:tcPr/>
          <w:p>
            <w:pPr>
              <w:pStyle w:val="Compact"/>
              <w:jc w:val="left"/>
            </w:pPr>
            <w:r>
              <w:t xml:space="preserve">Training size tl (per 1,000 samples)**</w:t>
            </w:r>
          </w:p>
        </w:tc>
        <w:tc>
          <w:tcPr/>
          <w:p>
            <w:pPr>
              <w:pStyle w:val="Compact"/>
              <w:jc w:val="left"/>
            </w:pPr>
            <w:r>
              <w:t xml:space="preserve">-0.111</w:t>
            </w:r>
          </w:p>
        </w:tc>
        <w:tc>
          <w:tcPr/>
          <w:p>
            <w:pPr>
              <w:pStyle w:val="Compact"/>
              <w:jc w:val="left"/>
            </w:pPr>
            <w:r>
              <w:t xml:space="preserve">[-0.161, -0.061]</w:t>
            </w:r>
          </w:p>
        </w:tc>
        <w:tc>
          <w:tcPr/>
          <w:p>
            <w:pPr>
              <w:pStyle w:val="Compact"/>
              <w:jc w:val="left"/>
            </w:pPr>
            <w:r>
              <w:t xml:space="preserve">&lt;0.001</w:t>
            </w:r>
          </w:p>
        </w:tc>
      </w:tr>
      <w:tr>
        <w:tc>
          <w:tcPr/>
          <w:p>
            <w:pPr>
              <w:pStyle w:val="Compact"/>
              <w:jc w:val="left"/>
            </w:pPr>
            <w:r>
              <w:t xml:space="preserve">Ratio (per 10 units)</w:t>
            </w:r>
          </w:p>
        </w:tc>
        <w:tc>
          <w:tcPr/>
          <w:p>
            <w:pPr>
              <w:pStyle w:val="Compact"/>
              <w:jc w:val="left"/>
            </w:pPr>
            <w:r>
              <w:t xml:space="preserve">-0.001</w:t>
            </w:r>
          </w:p>
        </w:tc>
        <w:tc>
          <w:tcPr/>
          <w:p>
            <w:pPr>
              <w:pStyle w:val="Compact"/>
              <w:jc w:val="left"/>
            </w:pPr>
            <w:r>
              <w:t xml:space="preserve">[-0.003, 0.001]</w:t>
            </w:r>
          </w:p>
        </w:tc>
        <w:tc>
          <w:tcPr/>
          <w:p>
            <w:pPr>
              <w:pStyle w:val="Compact"/>
              <w:jc w:val="left"/>
            </w:pPr>
            <w:r>
              <w:t xml:space="preserve">0.46</w:t>
            </w:r>
          </w:p>
        </w:tc>
      </w:tr>
      <w:tr>
        <w:tc>
          <w:tcPr/>
          <w:p>
            <w:pPr>
              <w:pStyle w:val="Compact"/>
              <w:jc w:val="left"/>
            </w:pPr>
            <w:r>
              <w:t xml:space="preserve">Ratio · Race</w:t>
            </w:r>
          </w:p>
        </w:tc>
        <w:tc>
          <w:tcPr/>
          <w:p>
            <w:pPr>
              <w:pStyle w:val="Compact"/>
              <w:jc w:val="left"/>
            </w:pPr>
            <w:r>
              <w:t xml:space="preserve">0.002</w:t>
            </w:r>
          </w:p>
        </w:tc>
        <w:tc>
          <w:tcPr/>
          <w:p>
            <w:pPr>
              <w:pStyle w:val="Compact"/>
              <w:jc w:val="left"/>
            </w:pPr>
            <w:r>
              <w:t xml:space="preserve">[-0.001, 0.005]</w:t>
            </w:r>
          </w:p>
        </w:tc>
        <w:tc>
          <w:tcPr/>
          <w:p>
            <w:pPr>
              <w:pStyle w:val="Compact"/>
              <w:jc w:val="left"/>
            </w:pPr>
            <w:r>
              <w:t xml:space="preserve">0.20</w:t>
            </w:r>
          </w:p>
        </w:tc>
      </w:tr>
    </w:tbl>
    <w:p>
      <w:pPr>
        <w:pStyle w:val="BodyText"/>
      </w:pPr>
      <w:r>
        <w:t xml:space="preserve">*Training size was centered at 510,000 as the training data had a mean of 514,293 samples.</w:t>
      </w:r>
      <w:r>
        <w:br/>
      </w:r>
      <w:r>
        <w:t xml:space="preserve">**Training size for the transfer learned approach was centered at 4,400 as the training data for fine-tuning had a mean of 4,371 samples.</w:t>
      </w:r>
    </w:p>
    <w:p>
      <w:pPr>
        <w:pStyle w:val="BodyText"/>
      </w:pPr>
      <w:r>
        <w:t xml:space="preserve">Model coefficients from linear mixed effects models for root mean squared errors of the Transfer Learned models.</w:t>
      </w:r>
    </w:p>
    <w:bookmarkEnd w:id="129"/>
    <w:bookmarkEnd w:id="130"/>
    <w:bookmarkEnd w:id="131"/>
    <w:bookmarkStart w:id="132" w:name="discussion"/>
    <w:p>
      <w:pPr>
        <w:pStyle w:val="Heading1"/>
      </w:pPr>
      <w:r>
        <w:t xml:space="preserve">6. Discussion</w:t>
      </w:r>
    </w:p>
    <w:bookmarkEnd w:id="132"/>
    <w:bookmarkStart w:id="133" w:name="main-findings"/>
    <w:p>
      <w:pPr>
        <w:pStyle w:val="Heading1"/>
      </w:pPr>
      <w:r>
        <w:t xml:space="preserve">7. Main findings</w:t>
      </w:r>
    </w:p>
    <w:p>
      <w:pPr>
        <w:pStyle w:val="Compact"/>
        <w:numPr>
          <w:ilvl w:val="0"/>
          <w:numId w:val="1049"/>
        </w:numPr>
      </w:pPr>
      <w:r>
        <w:t xml:space="preserve">Scoping review highlighted a chaotic landscape of wildly different study designs in the literature</w:t>
      </w:r>
    </w:p>
    <w:p>
      <w:pPr>
        <w:pStyle w:val="Compact"/>
        <w:numPr>
          <w:ilvl w:val="0"/>
          <w:numId w:val="1049"/>
        </w:numPr>
      </w:pPr>
      <w:r>
        <w:t xml:space="preserve">Mention other reviews, Yapanis + the other one that I forgot</w:t>
      </w:r>
    </w:p>
    <w:p>
      <w:pPr>
        <w:pStyle w:val="Compact"/>
        <w:numPr>
          <w:ilvl w:val="0"/>
          <w:numId w:val="1049"/>
        </w:numPr>
      </w:pPr>
      <w:r>
        <w:t xml:space="preserve">Representation learning of CGM data can capture complex patterns in glucose dynamics that are not captured by traditional CGM metrics</w:t>
      </w:r>
    </w:p>
    <w:p>
      <w:pPr>
        <w:pStyle w:val="Compact"/>
        <w:numPr>
          <w:ilvl w:val="0"/>
          <w:numId w:val="1049"/>
        </w:numPr>
      </w:pPr>
      <w:r>
        <w:t xml:space="preserve">Machine learning models can predict NT-proBNP levels using CGM data, however the performance of these models is modest and there is still room for improvement</w:t>
      </w:r>
    </w:p>
    <w:p>
      <w:pPr>
        <w:pStyle w:val="Compact"/>
        <w:numPr>
          <w:ilvl w:val="0"/>
          <w:numId w:val="1049"/>
        </w:numPr>
      </w:pPr>
      <w:r>
        <w:t xml:space="preserve">Bias is a concern in machine learning models, and fine-tuning on a subset of the data can help mitigate bias as measured by fairness metrics</w:t>
      </w:r>
    </w:p>
    <w:p>
      <w:pPr>
        <w:pStyle w:val="Compact"/>
        <w:numPr>
          <w:ilvl w:val="0"/>
          <w:numId w:val="1049"/>
        </w:numPr>
      </w:pPr>
      <w:r>
        <w:t xml:space="preserve">Grouped fairness is easier to evaluate and mitigate than individual fairness, but it is still an important step in ensuring that machine learning models are equitable and do not perpetuate existing biases in healthcare.</w:t>
      </w:r>
    </w:p>
    <w:bookmarkEnd w:id="133"/>
    <w:bookmarkStart w:id="134" w:name="Xbf29ea52f551bc60726c4630fcd6f164398598d"/>
    <w:p>
      <w:pPr>
        <w:pStyle w:val="Heading1"/>
      </w:pPr>
      <w:r>
        <w:t xml:space="preserve">8. Machine learning vs traditional statistical methods</w:t>
      </w:r>
    </w:p>
    <w:bookmarkEnd w:id="134"/>
    <w:bookmarkStart w:id="136" w:name="X1e42a1fe3cc42b3f06045cbef69c1753095adf0"/>
    <w:p>
      <w:pPr>
        <w:pStyle w:val="Heading1"/>
      </w:pPr>
      <w:r>
        <w:t xml:space="preserve">9. something about data and cross-sectional vs longitudinal data and how this affects the choice of methods</w:t>
      </w:r>
    </w:p>
    <w:p>
      <w:pPr>
        <w:pStyle w:val="Compact"/>
        <w:numPr>
          <w:ilvl w:val="0"/>
          <w:numId w:val="1050"/>
        </w:numPr>
      </w:pPr>
      <w:r>
        <w:t xml:space="preserve">Mention the collins protocol that creates a study focused on answer this question</w:t>
      </w:r>
    </w:p>
    <w:p>
      <w:pPr>
        <w:pStyle w:val="Compact"/>
        <w:numPr>
          <w:ilvl w:val="0"/>
          <w:numId w:val="1050"/>
        </w:numPr>
      </w:pPr>
      <w:r>
        <w:t xml:space="preserve">Mention the CANCAN dataset and the weird trend with people being better of the more comobidities</w:t>
      </w:r>
    </w:p>
    <w:p>
      <w:pPr>
        <w:pStyle w:val="Compact"/>
        <w:numPr>
          <w:ilvl w:val="0"/>
          <w:numId w:val="1050"/>
        </w:numPr>
      </w:pPr>
      <w:r>
        <w:t xml:space="preserve">Why not use CONGA; AI: In participants with insufficient valid CGM observations, CONGA could not be calculated reliably using the available implementation</w:t>
      </w:r>
    </w:p>
    <w:bookmarkStart w:id="135" w:name="study-3-method-choices"/>
    <w:p>
      <w:pPr>
        <w:pStyle w:val="Heading2"/>
      </w:pPr>
      <w:r>
        <w:t xml:space="preserve">9.1 Study 3 Method choices</w:t>
      </w:r>
    </w:p>
    <w:p>
      <w:pPr>
        <w:pStyle w:val="FirstParagraph"/>
      </w:pPr>
      <w:r>
        <w:rPr>
          <w:b/>
          <w:bCs/>
        </w:rPr>
        <w:t xml:space="preserve">PREDICTION HORIZON</w:t>
      </w:r>
      <w:r>
        <w:t xml:space="preserve"> </w:t>
      </w:r>
      <w:r>
        <w:t xml:space="preserve">Many studies in the literature tests a variety of different prediction horizons but it seems to always predict best, the shorter the prediction horizon is. Most often sensors do also have a higher resolution then 15 minuts (3-5 minutes resolution)</w:t>
      </w:r>
    </w:p>
    <w:p>
      <w:pPr>
        <w:pStyle w:val="Compact"/>
        <w:numPr>
          <w:ilvl w:val="0"/>
          <w:numId w:val="1051"/>
        </w:numPr>
      </w:pPr>
      <w:r>
        <w:t xml:space="preserve">In the discussion I could mention LSTM vs CNN vs MLP and talk about the difference in model doesn’t make that big of a difference.</w:t>
      </w:r>
    </w:p>
    <w:bookmarkEnd w:id="135"/>
    <w:bookmarkEnd w:id="136"/>
    <w:bookmarkStart w:id="137" w:name="clinical-implications"/>
    <w:p>
      <w:pPr>
        <w:pStyle w:val="Heading1"/>
      </w:pPr>
      <w:r>
        <w:t xml:space="preserve">10. Clinical implications</w:t>
      </w:r>
    </w:p>
    <w:bookmarkEnd w:id="137"/>
    <w:bookmarkStart w:id="138" w:name="strengths-and-limitations"/>
    <w:p>
      <w:pPr>
        <w:pStyle w:val="Heading1"/>
      </w:pPr>
      <w:r>
        <w:t xml:space="preserve">11. Strengths and limitations</w:t>
      </w:r>
    </w:p>
    <w:bookmarkEnd w:id="138"/>
    <w:bookmarkStart w:id="139" w:name="conclusions-and-future-perspectives"/>
    <w:p>
      <w:pPr>
        <w:pStyle w:val="Heading1"/>
      </w:pPr>
      <w:r>
        <w:t xml:space="preserve">12. Conclusions and future perspectives</w:t>
      </w:r>
    </w:p>
    <w:bookmarkEnd w:id="139"/>
    <w:bookmarkStart w:id="140" w:name="conclusion"/>
    <w:p>
      <w:pPr>
        <w:pStyle w:val="Heading1"/>
      </w:pPr>
      <w:r>
        <w:t xml:space="preserve">13. Conclusion</w:t>
      </w:r>
    </w:p>
    <w:p>
      <w:pPr>
        <w:pStyle w:val="Compact"/>
        <w:numPr>
          <w:ilvl w:val="0"/>
          <w:numId w:val="1052"/>
        </w:numPr>
      </w:pPr>
      <w:r>
        <w:t xml:space="preserve">CGM data has the potential to provide valuable insights into cardiovascular risk in diabetes, but there are still many challenges to overcome in terms of study design, data quality, and machine learning methods.</w:t>
      </w:r>
    </w:p>
    <w:bookmarkEnd w:id="140"/>
    <w:bookmarkStart w:id="141" w:name="perspectives"/>
    <w:p>
      <w:pPr>
        <w:pStyle w:val="Heading1"/>
      </w:pPr>
      <w:r>
        <w:t xml:space="preserve">14. Perspectives</w:t>
      </w:r>
    </w:p>
    <w:bookmarkEnd w:id="141"/>
    <w:bookmarkStart w:id="190" w:name="sec-refs"/>
    <w:p>
      <w:pPr>
        <w:pStyle w:val="Heading1"/>
      </w:pPr>
      <w:r>
        <w:t xml:space="preserve">References</w:t>
      </w:r>
    </w:p>
    <w:bookmarkStart w:id="189" w:name="refs"/>
    <w:bookmarkStart w:id="142" w:name="ref-YurunLu2025"/>
    <w:p>
      <w:pPr>
        <w:pStyle w:val="Bibliography"/>
      </w:pPr>
      <w:r>
        <w:t xml:space="preserve">1.</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142"/>
    <w:bookmarkStart w:id="143" w:name="ref-Tricco2018"/>
    <w:p>
      <w:pPr>
        <w:pStyle w:val="Bibliography"/>
      </w:pPr>
      <w:r>
        <w:t xml:space="preserve">2.</w:t>
      </w:r>
      <w:r>
        <w:t xml:space="preserve"> </w:t>
      </w:r>
      <w:r>
        <w:t xml:space="preserve">	</w:t>
      </w:r>
      <w:r>
        <w:t xml:space="preserve">Tricco AC, Lillie E, Zarin W, et al. PRISMA extension for scoping reviews (PRISMA-ScR): Checklist and explanation. Annals of internal medicine 2018;169(7):467–7.</w:t>
      </w:r>
      <w:r>
        <w:t xml:space="preserve"> </w:t>
      </w:r>
    </w:p>
    <w:bookmarkEnd w:id="143"/>
    <w:bookmarkStart w:id="145" w:name="ref-Peters2024"/>
    <w:p>
      <w:pPr>
        <w:pStyle w:val="Bibliography"/>
      </w:pPr>
      <w:r>
        <w:t xml:space="preserve">3.</w:t>
      </w:r>
      <w:r>
        <w:t xml:space="preserve"> </w:t>
      </w:r>
      <w:r>
        <w:t xml:space="preserve">	</w:t>
      </w:r>
      <w:r>
        <w:t xml:space="preserve">Peters MDJ, Godfrey C, McInerney P, Munn Z, Tricco AC, Khalil H. Chapter 10: Scoping reviews [Internet]. In: Aromataris E, Lockwood C, Porritt K, Pilla B, Jordan Z, editors. JBI manual for evidence synthesis. JBI; 2024. Available from:</w:t>
      </w:r>
      <w:r>
        <w:t xml:space="preserve"> </w:t>
      </w:r>
      <w:hyperlink r:id="rId144">
        <w:r>
          <w:rPr>
            <w:rStyle w:val="Hyperlink"/>
          </w:rPr>
          <w:t xml:space="preserve">https://jbi-global-wiki.refined.site/space/MANUAL/355862497/10.+Scoping+reviews</w:t>
        </w:r>
      </w:hyperlink>
    </w:p>
    <w:bookmarkEnd w:id="145"/>
    <w:bookmarkStart w:id="147" w:name="ref-Thomsen2026"/>
    <w:p>
      <w:pPr>
        <w:pStyle w:val="Bibliography"/>
      </w:pPr>
      <w:r>
        <w:t xml:space="preserve">4.</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46">
        <w:r>
          <w:rPr>
            <w:rStyle w:val="Hyperlink"/>
          </w:rPr>
          <w:t xml:space="preserve">https://doi.org/10.2196/89374</w:t>
        </w:r>
      </w:hyperlink>
    </w:p>
    <w:bookmarkEnd w:id="147"/>
    <w:bookmarkStart w:id="148" w:name="ref-Foreman2021"/>
    <w:p>
      <w:pPr>
        <w:pStyle w:val="Bibliography"/>
      </w:pPr>
      <w:r>
        <w:t xml:space="preserve">5.</w:t>
      </w:r>
      <w:r>
        <w:t xml:space="preserve"> </w:t>
      </w:r>
      <w:r>
        <w:t xml:space="preserve">	</w:t>
      </w:r>
      <w:r>
        <w:t xml:space="preserve">Foreman YD, Doorn WPTM van, Schaper NC, et al. Greater daily glucose variability and lower time in range assessed with continuous glucose monitoring are associated with greater aortic stiffness: The maastricht study. Diabetologia 2021;64(8):1880–92.</w:t>
      </w:r>
      <w:r>
        <w:t xml:space="preserve"> </w:t>
      </w:r>
    </w:p>
    <w:bookmarkEnd w:id="148"/>
    <w:bookmarkStart w:id="149" w:name="ref-Yapanis2022"/>
    <w:p>
      <w:pPr>
        <w:pStyle w:val="Bibliography"/>
      </w:pPr>
      <w:r>
        <w:t xml:space="preserve">6.</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49"/>
    <w:bookmarkStart w:id="150" w:name="ref-Helleputte2022"/>
    <w:p>
      <w:pPr>
        <w:pStyle w:val="Bibliography"/>
      </w:pPr>
      <w:r>
        <w:t xml:space="preserve">7.</w:t>
      </w:r>
      <w:r>
        <w:t xml:space="preserve"> </w:t>
      </w:r>
      <w:r>
        <w:t xml:space="preserve">	</w:t>
      </w:r>
      <w:r>
        <w:t xml:space="preserve">Helleputte S, Calders P, Rodenbach A, et al. Time-varying parameters of glycemic control and glycation in relation to arterial stiffness in patients with type 1 diabetes. Cardiovascular diabetology 2022;21(1):277–10.</w:t>
      </w:r>
      <w:r>
        <w:t xml:space="preserve"> </w:t>
      </w:r>
    </w:p>
    <w:bookmarkEnd w:id="150"/>
    <w:bookmarkStart w:id="151" w:name="ref-Lu2021"/>
    <w:p>
      <w:pPr>
        <w:pStyle w:val="Bibliography"/>
      </w:pPr>
      <w:r>
        <w:t xml:space="preserve">8.</w:t>
      </w:r>
      <w:r>
        <w:t xml:space="preserve"> </w:t>
      </w:r>
      <w:r>
        <w:t xml:space="preserve">	</w:t>
      </w:r>
      <w:r>
        <w:t xml:space="preserve">Lu J, Wang C, Shen Y, et al. Time in range in relation to all-cause and cardiovascular mortality in patients with type 2 diabetes: A prospective cohort study. Diabetes care 2021;44(2):549–55.</w:t>
      </w:r>
      <w:r>
        <w:t xml:space="preserve"> </w:t>
      </w:r>
    </w:p>
    <w:bookmarkEnd w:id="151"/>
    <w:bookmarkStart w:id="152" w:name="ref-Martinez2021"/>
    <w:p>
      <w:pPr>
        <w:pStyle w:val="Bibliography"/>
      </w:pPr>
      <w:r>
        <w:t xml:space="preserve">9.</w:t>
      </w:r>
      <w:r>
        <w:t xml:space="preserve"> </w:t>
      </w:r>
      <w:r>
        <w:t xml:space="preserve">	</w:t>
      </w:r>
      <w:r>
        <w:t xml:space="preserve">Martinez M, Santamarina J, Pavesi A, Musso C, Umpierrez GE. Glycemic variability and cardiovascular disease in patients with type 2 diabetes. BMJ open diabetes research &amp; care 2021;9(1):e002032–.</w:t>
      </w:r>
      <w:r>
        <w:t xml:space="preserve"> </w:t>
      </w:r>
    </w:p>
    <w:bookmarkEnd w:id="152"/>
    <w:bookmarkStart w:id="153" w:name="ref-Mita2023"/>
    <w:p>
      <w:pPr>
        <w:pStyle w:val="Bibliography"/>
      </w:pPr>
      <w:r>
        <w:t xml:space="preserve">10.</w:t>
      </w:r>
      <w:r>
        <w:t xml:space="preserve"> </w:t>
      </w:r>
      <w:r>
        <w:t xml:space="preserve">	</w:t>
      </w:r>
      <w:r>
        <w:t xml:space="preserve">Mita T, Katakami N, Okada Y, et al. Continuous glucose monitoring-derived time in range and CV are associated with altered tissue characteristics of the carotid artery wall in people with type 2 diabetes. Diabetologia 2023;66(12):2356–67.</w:t>
      </w:r>
      <w:r>
        <w:t xml:space="preserve"> </w:t>
      </w:r>
    </w:p>
    <w:bookmarkEnd w:id="153"/>
    <w:bookmarkStart w:id="154" w:name="ref-Lu2020"/>
    <w:p>
      <w:pPr>
        <w:pStyle w:val="Bibliography"/>
      </w:pPr>
      <w:r>
        <w:t xml:space="preserve">11.</w:t>
      </w:r>
      <w:r>
        <w:t xml:space="preserve"> </w:t>
      </w:r>
      <w:r>
        <w:t xml:space="preserve">	</w:t>
      </w:r>
      <w:r>
        <w:t xml:space="preserve">Lu J, Ma X, Shen Y, et al. Time in range is associated with carotid intima-media thickness in type 2 diabetes. Diabetes technology &amp; therapeutics 2020;22(2):72–8.</w:t>
      </w:r>
      <w:r>
        <w:t xml:space="preserve"> </w:t>
      </w:r>
    </w:p>
    <w:bookmarkEnd w:id="154"/>
    <w:bookmarkStart w:id="155" w:name="ref-Mo2013"/>
    <w:p>
      <w:pPr>
        <w:pStyle w:val="Bibliography"/>
      </w:pPr>
      <w:r>
        <w:t xml:space="preserve">12.</w:t>
      </w:r>
      <w:r>
        <w:t xml:space="preserve"> </w:t>
      </w:r>
      <w:r>
        <w:t xml:space="preserve">	</w:t>
      </w:r>
      <w:r>
        <w:t xml:space="preserve">Mo Y, Zhou J, Li M, et al. Glycemic variability is associated with subclinical atherosclerosis in chinese type 2 diabetic patients. Cardiovascular diabetology 2013;12(1):15–5.</w:t>
      </w:r>
      <w:r>
        <w:t xml:space="preserve"> </w:t>
      </w:r>
    </w:p>
    <w:bookmarkEnd w:id="155"/>
    <w:bookmarkStart w:id="156" w:name="ref-Wakasugi2021"/>
    <w:p>
      <w:pPr>
        <w:pStyle w:val="Bibliography"/>
      </w:pPr>
      <w:r>
        <w:t xml:space="preserve">13.</w:t>
      </w:r>
      <w:r>
        <w:t xml:space="preserve"> </w:t>
      </w:r>
      <w:r>
        <w:t xml:space="preserve">	</w:t>
      </w:r>
      <w:r>
        <w:t xml:space="preserve">Wakasugi S, Mita T, Katakami N, et al. Associations between continuous glucose monitoring-derived metrics and arterial stiffness in japanese patients with type 2 diabetes. Cardiovascular diabetology 2021;20(1):15–2.</w:t>
      </w:r>
      <w:r>
        <w:t xml:space="preserve"> </w:t>
      </w:r>
    </w:p>
    <w:bookmarkEnd w:id="156"/>
    <w:bookmarkStart w:id="158" w:name="ref-Magri2018"/>
    <w:p>
      <w:pPr>
        <w:pStyle w:val="Bibliography"/>
      </w:pPr>
      <w:r>
        <w:t xml:space="preserve">14.</w:t>
      </w:r>
      <w:r>
        <w:t xml:space="preserve"> </w:t>
      </w:r>
      <w:r>
        <w:t xml:space="preserve">	</w:t>
      </w:r>
      <w:r>
        <w:t xml:space="preserve">Magri CJ, Mintoff D, Camilleri L, Xuereb RG, Galea J, Fava S. Relationship of hyperglycaemia, hypoglycaemia, and glucose variability to atherosclerotic disease in type 2 diabetes. Journal of Diabetes Research [Internet] 2018;2018(1):7464320. Available from:</w:t>
      </w:r>
      <w:r>
        <w:t xml:space="preserve"> </w:t>
      </w:r>
      <w:hyperlink r:id="rId157">
        <w:r>
          <w:rPr>
            <w:rStyle w:val="Hyperlink"/>
          </w:rPr>
          <w:t xml:space="preserve">https://onlinelibrary.wiley.com/doi/abs/10.1155/2018/7464320</w:t>
        </w:r>
      </w:hyperlink>
    </w:p>
    <w:bookmarkEnd w:id="158"/>
    <w:bookmarkStart w:id="159" w:name="ref-Su2011"/>
    <w:p>
      <w:pPr>
        <w:pStyle w:val="Bibliography"/>
      </w:pPr>
      <w:r>
        <w:t xml:space="preserve">15.</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59"/>
    <w:bookmarkStart w:id="160" w:name="ref-Tang2016"/>
    <w:p>
      <w:pPr>
        <w:pStyle w:val="Bibliography"/>
      </w:pPr>
      <w:r>
        <w:t xml:space="preserve">16.</w:t>
      </w:r>
      <w:r>
        <w:t xml:space="preserve"> </w:t>
      </w:r>
      <w:r>
        <w:t xml:space="preserve">	</w:t>
      </w:r>
      <w:r>
        <w:t xml:space="preserve">Tang X, Li S, Wang Y, et al. Glycemic variability evaluated by continuous glucose monitoring system is associated with the 10-y cardiovascular risk of diabetic patients with well-controlled HbA1c. Clinica chimica acta 2016;461:146–50.</w:t>
      </w:r>
      <w:r>
        <w:t xml:space="preserve"> </w:t>
      </w:r>
    </w:p>
    <w:bookmarkEnd w:id="160"/>
    <w:bookmarkStart w:id="161" w:name="ref-Zhang2013"/>
    <w:p>
      <w:pPr>
        <w:pStyle w:val="Bibliography"/>
      </w:pPr>
      <w:r>
        <w:t xml:space="preserve">17.</w:t>
      </w:r>
      <w:r>
        <w:t xml:space="preserve"> </w:t>
      </w:r>
      <w:r>
        <w:t xml:space="preserve">	</w:t>
      </w:r>
      <w:r>
        <w:t xml:space="preserve">Zhang X, Xu X, Jiao X, et al. The effects of glucose fluctuation on the severity of coronary artery disease in type 2 diabetes mellitus. Journal of diabetes research 2013;2013(2013):1–6.</w:t>
      </w:r>
      <w:r>
        <w:t xml:space="preserve"> </w:t>
      </w:r>
    </w:p>
    <w:bookmarkEnd w:id="161"/>
    <w:bookmarkStart w:id="163" w:name="ref-Thomas2023"/>
    <w:p>
      <w:pPr>
        <w:pStyle w:val="Bibliography"/>
      </w:pPr>
      <w:r>
        <w:t xml:space="preserve">18.</w:t>
      </w:r>
      <w:r>
        <w:t xml:space="preserve"> </w:t>
      </w:r>
      <w:r>
        <w:t xml:space="preserve">	</w:t>
      </w:r>
      <w:r>
        <w:t xml:space="preserve">Thomas J, Graziosi S, Brunton J, et al.</w:t>
      </w:r>
      <w:r>
        <w:t xml:space="preserve"> </w:t>
      </w:r>
      <w:r>
        <w:t xml:space="preserve">EPPI-Reviewer</w:t>
      </w:r>
      <w:r>
        <w:t xml:space="preserve">: Advanced software for systematic reviews, maps and evidence synthesis [Internet]. University College London; EPPI Centre, UCL Social Research Institute; 2023. Available from:</w:t>
      </w:r>
      <w:r>
        <w:t xml:space="preserve"> </w:t>
      </w:r>
      <w:hyperlink r:id="rId162">
        <w:r>
          <w:rPr>
            <w:rStyle w:val="Hyperlink"/>
          </w:rPr>
          <w:t xml:space="preserve">https://eppi.ioe.ac.uk/cms/er4/</w:t>
        </w:r>
      </w:hyperlink>
    </w:p>
    <w:bookmarkEnd w:id="163"/>
    <w:bookmarkStart w:id="164" w:name="ref-Haddaway2022"/>
    <w:p>
      <w:pPr>
        <w:pStyle w:val="Bibliography"/>
      </w:pPr>
      <w:r>
        <w:t xml:space="preserve">19.</w:t>
      </w:r>
      <w:r>
        <w:t xml:space="preserve"> </w:t>
      </w:r>
      <w:r>
        <w:t xml:space="preserve">	</w:t>
      </w:r>
      <w:r>
        <w:t xml:space="preserve">Haddaway NR, Grainger M, Gray CT. Citationchaser: A tool for transparent and efficient forward and backward citation chasing in systematic searching. Research synthesis methods 2022;13(4):533–45.</w:t>
      </w:r>
      <w:r>
        <w:t xml:space="preserve"> </w:t>
      </w:r>
    </w:p>
    <w:bookmarkEnd w:id="164"/>
    <w:bookmarkStart w:id="166" w:name="ref-JAEB_2016"/>
    <w:p>
      <w:pPr>
        <w:pStyle w:val="Bibliography"/>
      </w:pPr>
      <w:r>
        <w:t xml:space="preserve">20.</w:t>
      </w:r>
      <w:r>
        <w:t xml:space="preserve"> </w:t>
      </w:r>
      <w:r>
        <w:t xml:space="preserve">	</w:t>
      </w:r>
      <w:r>
        <w:t xml:space="preserve">Jaeb Center for Health Research. Jaeb center for health research: Datasets &amp; documents [Internet]. 2016 [cited 2024 Feb 20];Available from:</w:t>
      </w:r>
      <w:r>
        <w:t xml:space="preserve"> </w:t>
      </w:r>
      <w:hyperlink r:id="rId165">
        <w:r>
          <w:rPr>
            <w:rStyle w:val="Hyperlink"/>
          </w:rPr>
          <w:t xml:space="preserve">https://public.jaeb.org/datasets/diabetes</w:t>
        </w:r>
      </w:hyperlink>
    </w:p>
    <w:bookmarkEnd w:id="166"/>
    <w:bookmarkStart w:id="167" w:name="ref-Bergenstal2017"/>
    <w:p>
      <w:pPr>
        <w:pStyle w:val="Bibliography"/>
      </w:pPr>
      <w:r>
        <w:t xml:space="preserve">21.</w:t>
      </w:r>
      <w:r>
        <w:t xml:space="preserve"> </w:t>
      </w:r>
      <w:r>
        <w:t xml:space="preserve">	</w:t>
      </w:r>
      <w:r>
        <w:t xml:space="preserve">Bergenstal RM, Gal RL, Connor CG, et al. Racial differences in the relationship of glucose concentrations and hemoglobin A1c levels. Annals of Internal Medicine 2017;167(2):95–102.</w:t>
      </w:r>
      <w:r>
        <w:t xml:space="preserve"> </w:t>
      </w:r>
    </w:p>
    <w:bookmarkEnd w:id="167"/>
    <w:bookmarkStart w:id="168" w:name="ref-Kaneshiro2011"/>
    <w:p>
      <w:pPr>
        <w:pStyle w:val="Bibliography"/>
      </w:pPr>
      <w:r>
        <w:t xml:space="preserve">22.</w:t>
      </w:r>
      <w:r>
        <w:t xml:space="preserve"> </w:t>
      </w:r>
      <w:r>
        <w:t xml:space="preserve">	</w:t>
      </w:r>
      <w:r>
        <w:t xml:space="preserve">Kaneshiro B, Geling O, Gellert K, Millar L. The challenges of collecting data on race and ethnicity in a diverse, multiethnic state. Hawaii medical journal (1962) 2011;70(8):168–71.</w:t>
      </w:r>
      <w:r>
        <w:t xml:space="preserve"> </w:t>
      </w:r>
    </w:p>
    <w:bookmarkEnd w:id="168"/>
    <w:bookmarkStart w:id="169" w:name="ref-Lutsker2026"/>
    <w:p>
      <w:pPr>
        <w:pStyle w:val="Bibliography"/>
      </w:pPr>
      <w:r>
        <w:t xml:space="preserve">23.</w:t>
      </w:r>
      <w:r>
        <w:t xml:space="preserve"> </w:t>
      </w:r>
      <w:r>
        <w:t xml:space="preserve">	</w:t>
      </w:r>
      <w:r>
        <w:t xml:space="preserve">Lutsker G, Sapir G, Shilo S, et al. A foundation model for continuous glucose monitoring data. Nature (London) 2026;650(8103):978–86.</w:t>
      </w:r>
      <w:r>
        <w:t xml:space="preserve"> </w:t>
      </w:r>
    </w:p>
    <w:bookmarkEnd w:id="169"/>
    <w:bookmarkStart w:id="171" w:name="ref-McInnes2018_umap"/>
    <w:p>
      <w:pPr>
        <w:pStyle w:val="Bibliography"/>
      </w:pPr>
      <w:r>
        <w:t xml:space="preserve">24.</w:t>
      </w:r>
      <w:r>
        <w:t xml:space="preserve"> </w:t>
      </w:r>
      <w:r>
        <w:t xml:space="preserve">	</w:t>
      </w:r>
      <w:r>
        <w:t xml:space="preserve">McInnes L, Healy J, Melville J. UMAP: Uniform manifold approximation and projection for dimension reduction. arXiv preprint arXiv:180203426 [Internet] 2018;Available from:</w:t>
      </w:r>
      <w:r>
        <w:t xml:space="preserve"> </w:t>
      </w:r>
      <w:hyperlink r:id="rId170">
        <w:r>
          <w:rPr>
            <w:rStyle w:val="Hyperlink"/>
          </w:rPr>
          <w:t xml:space="preserve">https://arxiv.org/abs/1802.03426</w:t>
        </w:r>
      </w:hyperlink>
    </w:p>
    <w:bookmarkEnd w:id="171"/>
    <w:bookmarkStart w:id="172" w:name="ref-Danne2017"/>
    <w:p>
      <w:pPr>
        <w:pStyle w:val="Bibliography"/>
      </w:pPr>
      <w:r>
        <w:t xml:space="preserve">25.</w:t>
      </w:r>
      <w:r>
        <w:t xml:space="preserve"> </w:t>
      </w:r>
      <w:r>
        <w:t xml:space="preserve">	</w:t>
      </w:r>
      <w:r>
        <w:t xml:space="preserve">Danne T, Nimri R, Battelino T, et al. International consensus on use of continuous glucose monitoring. Diabetes care 2017;40(12):1631–40.</w:t>
      </w:r>
      <w:r>
        <w:t xml:space="preserve"> </w:t>
      </w:r>
    </w:p>
    <w:bookmarkEnd w:id="172"/>
    <w:bookmarkStart w:id="174" w:name="ref-NICE_2028_guidelines"/>
    <w:p>
      <w:pPr>
        <w:pStyle w:val="Bibliography"/>
      </w:pPr>
      <w:r>
        <w:t xml:space="preserve">26.</w:t>
      </w:r>
      <w:r>
        <w:t xml:space="preserve"> </w:t>
      </w:r>
      <w:r>
        <w:t xml:space="preserve">	</w:t>
      </w:r>
      <w:r>
        <w:t xml:space="preserve">National Guideline Centre (UK). Chronic heart failure in adults: Diagnosis and management [Internet]. London, UK: National Institute for Health; Care Excellence (NICE); 2018. Available from:</w:t>
      </w:r>
      <w:r>
        <w:t xml:space="preserve"> </w:t>
      </w:r>
      <w:hyperlink r:id="rId173">
        <w:r>
          <w:rPr>
            <w:rStyle w:val="Hyperlink"/>
          </w:rPr>
          <w:t xml:space="preserve">https://www.ncbi.nlm.nih.gov/books/NBK536098/</w:t>
        </w:r>
      </w:hyperlink>
    </w:p>
    <w:bookmarkEnd w:id="174"/>
    <w:bookmarkStart w:id="175" w:name="ref-Service1970"/>
    <w:p>
      <w:pPr>
        <w:pStyle w:val="Bibliography"/>
      </w:pPr>
      <w:r>
        <w:t xml:space="preserve">27.</w:t>
      </w:r>
      <w:r>
        <w:t xml:space="preserve"> </w:t>
      </w:r>
      <w:r>
        <w:t xml:space="preserve">	</w:t>
      </w:r>
      <w:r>
        <w:t xml:space="preserve">Service FJ, Molnar GD, Rosevear JW, Ackerman E, Gatewood LC, Taylor WF. Mean amplitude of glycemic excursions, a measure of diabetic instability. Diabetes (New York, NY) 1970;19(9):644–55.</w:t>
      </w:r>
      <w:r>
        <w:t xml:space="preserve"> </w:t>
      </w:r>
    </w:p>
    <w:bookmarkEnd w:id="175"/>
    <w:bookmarkStart w:id="177" w:name="ref-Collins2024"/>
    <w:p>
      <w:pPr>
        <w:pStyle w:val="Bibliography"/>
      </w:pPr>
      <w:r>
        <w:t xml:space="preserve">28.</w:t>
      </w:r>
      <w:r>
        <w:t xml:space="preserve"> </w:t>
      </w:r>
      <w:r>
        <w:t xml:space="preserve">	</w:t>
      </w:r>
      <w:r>
        <w:t xml:space="preserve">Collins GS, Moons KGM, Dhiman P, et al. TRIPOD+AI statement: Updated guidance for reporting clinical prediction models that use regression or machine learning methods. BMJ [Internet] 2024;385. Available from:</w:t>
      </w:r>
      <w:r>
        <w:t xml:space="preserve"> </w:t>
      </w:r>
      <w:hyperlink r:id="rId176">
        <w:r>
          <w:rPr>
            <w:rStyle w:val="Hyperlink"/>
          </w:rPr>
          <w:t xml:space="preserve">https://www.bmj.com/content/385/bmj-2023-078378</w:t>
        </w:r>
      </w:hyperlink>
    </w:p>
    <w:bookmarkEnd w:id="177"/>
    <w:bookmarkStart w:id="179" w:name="ref-Riley2023"/>
    <w:p>
      <w:pPr>
        <w:pStyle w:val="Bibliography"/>
      </w:pPr>
      <w:r>
        <w:t xml:space="preserve">29.</w:t>
      </w:r>
      <w:r>
        <w:t xml:space="preserve"> </w:t>
      </w:r>
      <w:r>
        <w:t xml:space="preserve">	</w:t>
      </w:r>
      <w:r>
        <w:t xml:space="preserve">Riley RD, Collins GS. Stability of clinical prediction models developed using statistical or machine learning methods. Biometrical Journal [Internet] 2023;65(8):2200302. Available from:</w:t>
      </w:r>
      <w:r>
        <w:t xml:space="preserve"> </w:t>
      </w:r>
      <w:hyperlink r:id="rId178">
        <w:r>
          <w:rPr>
            <w:rStyle w:val="Hyperlink"/>
          </w:rPr>
          <w:t xml:space="preserve">https://onlinelibrary.wiley.com/doi/abs/10.1002/bimj.202200302</w:t>
        </w:r>
      </w:hyperlink>
    </w:p>
    <w:bookmarkEnd w:id="179"/>
    <w:bookmarkStart w:id="181" w:name="ref-VanCalster2025"/>
    <w:p>
      <w:pPr>
        <w:pStyle w:val="Bibliography"/>
      </w:pPr>
      <w:r>
        <w:t xml:space="preserve">30.</w:t>
      </w:r>
      <w:r>
        <w:t xml:space="preserve"> </w:t>
      </w:r>
      <w:r>
        <w:t xml:space="preserve">	</w:t>
      </w:r>
      <w:r>
        <w:t xml:space="preserve">Van Calster B, Collins GS, Vickers AJ, et al.</w:t>
      </w:r>
      <w:r>
        <w:t xml:space="preserve"> Evaluation of performance measures in predictive artificial intelligence models to support medical decisions: Overview and guidance. The Lancet Digital Health [Internet] 2025;7(12):100916. Available from:</w:t>
      </w:r>
      <w:r>
        <w:t xml:space="preserve"> </w:t>
      </w:r>
      <w:hyperlink r:id="rId180">
        <w:r>
          <w:rPr>
            <w:rStyle w:val="Hyperlink"/>
          </w:rPr>
          <w:t xml:space="preserve">https://www.sciencedirect.com/science/article/pii/S2589750025000986</w:t>
        </w:r>
      </w:hyperlink>
    </w:p>
    <w:bookmarkEnd w:id="181"/>
    <w:bookmarkStart w:id="182" w:name="ref-Pennells2023_score2dm"/>
    <w:p>
      <w:pPr>
        <w:pStyle w:val="Bibliography"/>
      </w:pPr>
      <w:r>
        <w:t xml:space="preserve">31.</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182"/>
    <w:bookmarkStart w:id="184" w:name="ref-Thomsen2025"/>
    <w:p>
      <w:pPr>
        <w:pStyle w:val="Bibliography"/>
      </w:pPr>
      <w:r>
        <w:t xml:space="preserve">32.</w:t>
      </w:r>
      <w:r>
        <w:t xml:space="preserve"> </w:t>
      </w:r>
      <w:r>
        <w:t xml:space="preserve">	</w:t>
      </w:r>
      <w:r>
        <w:t xml:space="preserve">Thomsen HB, Li LY, Isaksen AA, et al.</w:t>
      </w:r>
      <w:r>
        <w:t xml:space="preserve"> </w:t>
      </w:r>
      <w:hyperlink r:id="rId183">
        <w:r>
          <w:rPr>
            <w:rStyle w:val="Hyperlink"/>
          </w:rPr>
          <w:t xml:space="preserve">Racial disparities in continuous glucose monitoring-based 60-min glucose predictions among people with type 1 diabetes</w:t>
        </w:r>
      </w:hyperlink>
      <w:r>
        <w:t xml:space="preserve">. PLOS Digital Health 2025;4(6):e0000918.</w:t>
      </w:r>
      <w:r>
        <w:t xml:space="preserve"> </w:t>
      </w:r>
    </w:p>
    <w:bookmarkEnd w:id="184"/>
    <w:bookmarkStart w:id="185" w:name="ref-Thomsen_github_1"/>
    <w:p>
      <w:pPr>
        <w:pStyle w:val="Bibliography"/>
      </w:pPr>
      <w:r>
        <w:t xml:space="preserve">33.</w:t>
      </w:r>
      <w:r>
        <w:t xml:space="preserve"> </w:t>
      </w:r>
      <w:r>
        <w:t xml:space="preserve">	</w:t>
      </w:r>
      <w:r>
        <w:t xml:space="preserve">Thomsen HB. Jchr_racial_diff: Code and data repository. GitHub repository. 2023;</w:t>
      </w:r>
    </w:p>
    <w:bookmarkEnd w:id="185"/>
    <w:bookmarkStart w:id="186" w:name="ref-Deng2021"/>
    <w:p>
      <w:pPr>
        <w:pStyle w:val="Bibliography"/>
      </w:pPr>
      <w:r>
        <w:t xml:space="preserve">34.</w:t>
      </w:r>
      <w:r>
        <w:t xml:space="preserve"> </w:t>
      </w:r>
      <w:r>
        <w:t xml:space="preserve">	</w:t>
      </w:r>
      <w:r>
        <w:t xml:space="preserve">Deng Y, Lu L, Aponte L, et al. Deep transfer learning and data augmentation improve glucose levels prediction in type 2 diabetes patients. NPJ digital medicine 2021;4(1):109–13.</w:t>
      </w:r>
      <w:r>
        <w:t xml:space="preserve"> </w:t>
      </w:r>
    </w:p>
    <w:bookmarkEnd w:id="186"/>
    <w:bookmarkStart w:id="187" w:name="ref-Tian2024"/>
    <w:p>
      <w:pPr>
        <w:pStyle w:val="Bibliography"/>
      </w:pPr>
      <w:r>
        <w:t xml:space="preserve">35.</w:t>
      </w:r>
      <w:r>
        <w:t xml:space="preserve"> </w:t>
      </w:r>
      <w:r>
        <w:t xml:space="preserve">	</w:t>
      </w:r>
      <w:r>
        <w:t xml:space="preserve">Tian T, Aaron RE, Kohn MA, Klonoff DC. The need for a modern error grid for clinical accuracy of blood glucose monitors and continuous glucose monitors. Journal of diabetes science and technology 2024;18(1):3–9.</w:t>
      </w:r>
      <w:r>
        <w:t xml:space="preserve"> </w:t>
      </w:r>
    </w:p>
    <w:bookmarkEnd w:id="187"/>
    <w:bookmarkStart w:id="188" w:name="ref-Klonoff2014"/>
    <w:p>
      <w:pPr>
        <w:pStyle w:val="Bibliography"/>
      </w:pPr>
      <w:r>
        <w:t xml:space="preserve">36.</w:t>
      </w:r>
      <w:r>
        <w:t xml:space="preserve"> </w:t>
      </w:r>
      <w:r>
        <w:t xml:space="preserve">	</w:t>
      </w:r>
      <w:r>
        <w:t xml:space="preserve">Klonoff DC, Lias C, Vigersky R, et al. The surveillance error grid. Journal of diabetes science and technology 2014;8(4):658–72.</w:t>
      </w:r>
      <w:r>
        <w:t xml:space="preserve"> </w:t>
      </w:r>
    </w:p>
    <w:bookmarkEnd w:id="188"/>
    <w:bookmarkEnd w:id="189"/>
    <w:bookmarkEnd w:id="190"/>
    <w:bookmarkStart w:id="191" w:name="sec-english"/>
    <w:p>
      <w:pPr>
        <w:pStyle w:val="Heading1"/>
      </w:pPr>
      <w:r>
        <w:t xml:space="preserve">English summary</w:t>
      </w:r>
    </w:p>
    <w:p>
      <w:pPr>
        <w:pStyle w:val="FirstParagraph"/>
      </w:pPr>
      <w:r>
        <w:rPr>
          <w:b/>
          <w:bCs/>
        </w:rPr>
        <w:t xml:space="preserve">Background</w:t>
      </w:r>
      <w:r>
        <w:t xml:space="preserve">: Type 2 diabetes (T2D) is an increasing burden on healthcare services due to changes in demography and lifestyle. Migrants are particularly vulnerable to T2D, having a higher prevalence of the disease compared to native populations in western Europe, with some evidence suggesting a higher risk of complications and mortality. Evidence on disparities in care that may contribute to this excess risk in migrants is sparse, but register-based studies are well-suited to explore this in a Danish context. However, these studies are vulnerable to biases due to the lack of a validated method to identify T2D cases in the general population.</w:t>
      </w:r>
    </w:p>
    <w:p>
      <w:pPr>
        <w:pStyle w:val="BodyText"/>
      </w:pPr>
      <w:r>
        <w:rPr>
          <w:b/>
          <w:bCs/>
        </w:rPr>
        <w:t xml:space="preserve">Aims</w:t>
      </w:r>
      <w:r>
        <w:t xml:space="preserve">: This dissertation aimed to develop and validate a register-based classification of type 1 diabetes (T1D) and T2D, and utilise it to explore specific areas of monitoring, biomarker levels, and pharmacological treatment, where disparities in T2D care between migrant groups and native Danes may contribute to excess complication risk in migrants.</w:t>
      </w:r>
    </w:p>
    <w:p>
      <w:pPr>
        <w:pStyle w:val="BodyText"/>
      </w:pPr>
      <w:r>
        <w:rPr>
          <w:b/>
          <w:bCs/>
        </w:rPr>
        <w:t xml:space="preserve">Methods</w:t>
      </w:r>
      <w:r>
        <w:t xml:space="preserve">: Three cross-sectional register-based studies were performed. Study I validated two register-based classifications of diabetes - the</w:t>
      </w:r>
      <w:r>
        <w:t xml:space="preserve"> </w:t>
      </w:r>
      <w:r>
        <w:rPr>
          <w:i/>
          <w:iCs/>
        </w:rPr>
        <w:t xml:space="preserve">Open-Source Diabetes Classifier</w:t>
      </w:r>
      <w:r>
        <w:t xml:space="preserve"> </w:t>
      </w:r>
      <w:r>
        <w:t xml:space="preserve">(OSDC), and the</w:t>
      </w:r>
      <w:r>
        <w:t xml:space="preserve"> </w:t>
      </w:r>
      <w:r>
        <w:rPr>
          <w:i/>
          <w:iCs/>
        </w:rPr>
        <w:t xml:space="preserve">Register of Selected Chronic Diseases</w:t>
      </w:r>
      <w:r>
        <w:t xml:space="preserve"> </w:t>
      </w:r>
      <w:r>
        <w:t xml:space="preserve">(RSCD) - in a population of survey respondents from Central Denmark Region (</w:t>
      </w:r>
      <w:r>
        <w:rPr>
          <w:i/>
          <w:iCs/>
        </w:rPr>
        <w:t xml:space="preserve">Health In Central Denmark</w:t>
      </w:r>
      <w:r>
        <w:t xml:space="preserve">), while the two subsequent studies examined T2D prevalence and care in nationwide populations, using native Danes as the reference group. Study II computed relative risk (RR) of prevalent T2D and non-fulfilment of eleven indicators corresponding to guideline-recommendations. Study III computed RR of using glucose-lowering drug (GLD) combination therapy, and RR of using each type of GLD.</w:t>
      </w:r>
    </w:p>
    <w:p>
      <w:pPr>
        <w:pStyle w:val="BodyText"/>
      </w:pPr>
      <w:r>
        <w:rPr>
          <w:b/>
          <w:bCs/>
        </w:rPr>
        <w:t xml:space="preserve">Results</w:t>
      </w:r>
      <w:r>
        <w:t xml:space="preserve">: In study I, both register-based diabetes classifiers identified valid populations of T1D and T2D in a general population (positive predictive values from 87.5% to 94.4%, negative predictive values above 98.9%), although sensitivity in the OSDC was substantially higher compared to the RSCD in both T1D (77.3% vs. 70.0%) and in T2D (94.4% vs. 90.5%). Neither algorithm was able to accurately classify diabetes type in individuals with T1D onset after age 40, nor T2D onset before age 40. In study II, prevalence of T2D was higher in all migrants excluding the Europe-group (fully-adjusted RR from 0.96 [95% confidence interval: 0.94-0.99] (Europe group) to 4.04 [3.89-4.20] (Sri Lanka group)). Non-fulfilment of recommendations for care was common regardless of origin: in eight of the eleven indicators of care studied &gt;25% of native Danes did not meet guideline-recommendations. Apart from monitoring in the Sri Lanka group, migrants were at similar or higher risk of non-fulfilment than native Danes across all indicators of monitoring (crude RR from 0.64 [0.51-0.80] (hemoglobin-A1c (HbA1c) monitoring, Sri Lanka group) to 1.62 [1.36-1.95] (HbA1c monitoring, Somalia group)), HbA1c control (crude RR from 1.27 [1.24-1.30] (Middle East group) to 1.46 [1.41-1.52] (Pakistan group)), and low-density lipoprotein cholesterol (LDL-C) control (crude RR from 1.08 [1.03-1.14] (Former Yugoslavia group) to 1.78 [1.67-1.90] (Somalia group)), while no overall disparities were observed for the presence of pharmacological treatment (crude RR from 0.61 [0.46-0.80] (GLD, Sri Lanka group) to 1.67 [1.34-2.09] (GLD, Somalia group)). In study III, migrants were less likely to use GLD combination therapy than native Danes (fully adjusted RR from 0.77 [0.71-0.85] (Somalia group) to 1.00 [0.97-1.04] (Former Yugoslavia group)). Migrants were more likely to use oral GLD types (fully adjusted RR (use of any oral GLD) from 0.99 [0.97-1.01] (Europe group) to 1.09 [1.06-1.11] (Sri Lanka group)), but less likely to use injection-based GLD types such as insulins (fully adjusted RR from 0.66 [0.62-0.71] (Sri Lanka group) to 0.94 [0.89-0.99] (Europe group)) and, especially, glucagon-like peptide-1 receptor agonists (GLP1RA) (fully adjusted RR from 0.29 [0.22-0.39] (Somalia group) to 0.95 [0.89-1.01] (Europe group)).</w:t>
      </w:r>
    </w:p>
    <w:p>
      <w:pPr>
        <w:pStyle w:val="BodyText"/>
      </w:pPr>
      <w:r>
        <w:rPr>
          <w:b/>
          <w:bCs/>
        </w:rPr>
        <w:t xml:space="preserve">Conclusion and perspectives</w:t>
      </w:r>
      <w:r>
        <w:t xml:space="preserve"> </w:t>
      </w:r>
      <w:r>
        <w:t xml:space="preserve">This dissertation was able to accurately identify populations of T1D and T2D in register data from the general Danish population. Diabetes epidemiologists can rely on the OSDC and the RSCD to provide valid study populations for Danish register-based research, but researchers should be aware of limitations in cases with atypical age at onset and potential challenges due to evolving GLD indications in the future. This dissertation found room for improvement in T2D care in Denmark, and presented several disparities in T2D care between migrants and native Danes. These may contribute excess risk of complication and mortality in migrants, especially among migrants from Somalia, who received the poorest care of all groups overall. Overall, the large disparity in use of GLP1RA between migrants and native Danes may provide a target for future interventions to improve care and reduce complication risk among migrants with T2D.</w:t>
      </w:r>
    </w:p>
    <w:bookmarkEnd w:id="191"/>
    <w:bookmarkStart w:id="192" w:name="sec-danish"/>
    <w:p>
      <w:pPr>
        <w:pStyle w:val="Heading1"/>
      </w:pPr>
      <w:r>
        <w:t xml:space="preserve">Dansk resumé</w:t>
      </w:r>
    </w:p>
    <w:p>
      <w:pPr>
        <w:pStyle w:val="FirstParagraph"/>
      </w:pPr>
      <w:r>
        <w:rPr>
          <w:b/>
          <w:bCs/>
        </w:rPr>
        <w:t xml:space="preserve">Baggrund</w:t>
      </w:r>
      <w:r>
        <w:t xml:space="preserve">: Type 2 diabetes (T2D) er en stigende belastning på sundhedsvæsenet på grund af ændringer i demografi og livsstil. Indvandrere er særligt sårbare overfor T2D, idet de har en højere forekomst af sygdommen i forhold til indfødte befolkninger i Vesteuropa, ligesom nogle undersøgelser peger på en højere risiko for diabetiske komplikationer og død. Potentielle uligheder i behandlingen, der kan bidrage til den øgede risiko hos indvandrere med T2D, er dårligt belyst, men registerbaserede studier er velegnede til at undersøge dette i en dansk sammenhæng. Disse undersøgelser er imidlertid sårbare, idet der ikke foreligger nogen validerede metoder til at identificere T2D-tilfælde i den generelle danske befolkning.</w:t>
      </w:r>
    </w:p>
    <w:p>
      <w:pPr>
        <w:pStyle w:val="BodyText"/>
      </w:pPr>
      <w:r>
        <w:rPr>
          <w:b/>
          <w:bCs/>
        </w:rPr>
        <w:t xml:space="preserve">Formål</w:t>
      </w:r>
      <w:r>
        <w:t xml:space="preserve">: Denne afhandling havde til formål at udvikle og validere en registerbaseret klassifikation af type 1 diabetes (T1D) og T2D, og anvende den til at undersøge specifikke områder i behandlingen af T2D - kontroller, biomarkør-niveauer og medicinsk behandling - hvor uligheder mellem indvandrergrupper og indfødte danskere kan bidrage til øget risiko for komplikationer hos indvandrere.</w:t>
      </w:r>
    </w:p>
    <w:p>
      <w:pPr>
        <w:pStyle w:val="BodyText"/>
      </w:pPr>
      <w:r>
        <w:rPr>
          <w:b/>
          <w:bCs/>
        </w:rPr>
        <w:t xml:space="preserve">Metoder</w:t>
      </w:r>
      <w:r>
        <w:t xml:space="preserve">: Som led i afhandlingen blev tre tværsnitsstudier baseret på register-data gennemført. Studie I validerede to registerbaserede klassifikationer af diabetes -</w:t>
      </w:r>
      <w:r>
        <w:t xml:space="preserve"> </w:t>
      </w:r>
      <w:r>
        <w:rPr>
          <w:i/>
          <w:iCs/>
        </w:rPr>
        <w:t xml:space="preserve">Open-Source Diabetes Classifier</w:t>
      </w:r>
      <w:r>
        <w:t xml:space="preserve"> </w:t>
      </w:r>
      <w:r>
        <w:t xml:space="preserve">(OSDC) og</w:t>
      </w:r>
      <w:r>
        <w:t xml:space="preserve"> </w:t>
      </w:r>
      <w:r>
        <w:rPr>
          <w:i/>
          <w:iCs/>
        </w:rPr>
        <w:t xml:space="preserve">Register for Udvalgte Kroniske Sygdomme</w:t>
      </w:r>
      <w:r>
        <w:t xml:space="preserve"> </w:t>
      </w:r>
      <w:r>
        <w:t xml:space="preserve">(RUKS) - blandt spørgeskema-besvarelser fra personer i Region Midtjylland (</w:t>
      </w:r>
      <w:r>
        <w:rPr>
          <w:i/>
          <w:iCs/>
        </w:rPr>
        <w:t xml:space="preserve">Helbred i Midt</w:t>
      </w:r>
      <w:r>
        <w:t xml:space="preserve">), mens de to efterfølgende studier undersøgte forekomst og behandling af T2D i hele landet og sammenlignede indvandrergrupper med indfødte danskere. Studie II beregnede relativ risiko (RR) for forekomst af T2D og for manglende opfyldelse af elleve indikatorer for behandlingskvalitet svarende til anbefalinger i gældende kliniske retningslinjer. Studie III beregnede RR for brug af kombinationsbehandling med blodsukker-nedsættende lægemidler (GLD) og RR for brug af hver type GLD.</w:t>
      </w:r>
    </w:p>
    <w:p>
      <w:pPr>
        <w:pStyle w:val="BodyText"/>
      </w:pPr>
      <w:r>
        <w:rPr>
          <w:b/>
          <w:bCs/>
        </w:rPr>
        <w:t xml:space="preserve">Resultater</w:t>
      </w:r>
      <w:r>
        <w:t xml:space="preserve">: I studie I identificerede begge registerbaserede diabetesklassifikationer gyldige populationer af T1D og T2D i en bred befolkning (positive prædiktive værdier fra 87,5% til 94,4%, negative prædiktive værdier over 98,9%), dog med en væsentlig højere sensitivitet i OSDC sammenlignet med RUKS både i T1D (77,3% vs. 70,0%) og i T2D (94,4% vs. 90,5%). Ingen af algoritmerne var i stand til nøjagtigt at klassificere diabetestype hos personer med T1D debut efter 40-årsalderen eller T2D debut før 40-årsalderen. I studie II var forekomsten af T2D højere i alle indvandrergrupper undtagen Europa-gruppen (fuldt justeret RR fra 0,96 [95% konfidensinterval: 0,94-0,99] (Europa-gruppen) til 4,04 [3,89-4,20] (Sri Lanka-gruppen)). Manglende opfyldelse af de vejledende behandlingsanbefalinger var hyppig - uanset oprindelse: i otte ud af elleve indikatorer opfyldte &gt;25% af indfødte danskere ikke anbefalingerne. Fraset rutinemæssig kontrolundersøgelser i Sri Lanka-gruppen, havde indvandrergrupperne tilsvarende eller højere risiko end indfødte danskere for ikke at opfylde behandlingsanbefalinger på tværs af alle indikatorer for rutinemæssig kontrolundersøgelser (rå RR fra 0,64 [0,51-0,80] (hæmoglobin-A1c (HbA1c-undersøgelse, Sri Lanka-gruppen) til 1,62 [1,36-1,95] (HbA1c-undersøgelse, Somalia-gruppen)), blodsukkerniveau (rå RR fra 1,27 [1,24-1,30] (Mellemøsten-gruppen) til 1,46 [1,41-1,52] (Pakistan-gruppen)) og kolesterolniveau (rå RR fra 1,08 [1,03-1,14] (Eksjugoslavien-gruppen) til 1,78 [1,67-1,90] (Somalia-gruppen)), mens der ikke sås nogen gennemgående forskelle for tilstedeværelse af medicinsk behandling (rå RR fra 0,61 [0,46-0,80] (GLD, Sri Lanka-gruppen) til 1,67 [1,34-2,09] (GLD, Somalia-gruppen)). I studie III var indvandrere mindre tilbøjelige til at få GLD kombinationsbehandling end indfødte danskere (fuldt justeret RR fra 0,77 [0,71-0,85] (Somalia-gruppen) til 1,00 [0,97-1,04] (Eksjugoslavien-gruppen)). Indvandrere var mere tilbøjelige til at benytte orale GLD typer (fuldt justeret RR (brug af ethvert oralt GLD) fra 0,99 [0,97-1,01] (Europa-gruppen) til 1,09 [1,06-1,11] (Sri Lanka-gruppen)), men mindre tilbøjelige til at benytte injektionsbaserede GLD typer så som insuliner (fuldt justeret RR fra 0,66 [0,62-0,71] (Sri Lanka-gruppen) til 0,94 [0,89-0,99] (Europa-gruppen)) og især glucagon-like peptide-1 receptor agonister (GLP1RA) (fuldt justeret RR fra 0,29 [0,22-0,39] (Somalia-gruppen) til 0,95 [0,89-1,01] (Europa-gruppen)).</w:t>
      </w:r>
    </w:p>
    <w:p>
      <w:pPr>
        <w:pStyle w:val="BodyText"/>
      </w:pPr>
      <w:r>
        <w:rPr>
          <w:b/>
          <w:bCs/>
        </w:rPr>
        <w:t xml:space="preserve">Konklusion og perspektiver</w:t>
      </w:r>
      <w:r>
        <w:t xml:space="preserve">: Denne ph.d.-afhandling kunne præcist identificere befolkninger med T1D og T2D i den brede danske befolkning ud fra registerdata. Diabetesforskere kan anvende OSDC og RUKS til at danne gyldige studiepopulationer ud fra de danske registre, men bør være opmærksomme på deres begrænsninger, herunder blandt patienter med atypisk alder for sygdomsdebut samt potentielle udfordringer som følge af udviklingen i brugen af GLD i fremtiden. Afhandlingen fandt plads til forbedringer i behandlingen af T2D i Danmark, og viste flere uligheder mellem indvandrere og indfødte danskere i behandlingen af T2D, som kan medføre øget risiko for komplikationer og død blandt indvandrere - særligt blandt indvandrere fra Somalia, som havde den laveste behandlingskvalitet af alle grupper. Den store forskel i brugen af GLP1RA mellem indvandrere og indfødte danskere kan muligvis være et mål for fremtidige interventioner til at øge behandlingskvaliteten og mindske komplikationsrisikoen blandt indvandrere med T2D.</w:t>
      </w:r>
    </w:p>
    <w:bookmarkEnd w:id="192"/>
    <w:bookmarkStart w:id="195" w:name="sec-suppl-search-strings"/>
    <w:p>
      <w:pPr>
        <w:pStyle w:val="Heading1"/>
      </w:pPr>
      <w:r>
        <w:t xml:space="preserve">Appendix A — Search strings (Study I)</w:t>
      </w:r>
    </w:p>
    <w:tbl>
      <w:tblPr>
        <w:tblStyle w:val="Table"/>
        <w:tblW w:type="pct" w:w="5000"/>
        <w:tblLayout w:type="fixed"/>
        <w:tblLook w:firstRow="0" w:lastRow="0" w:firstColumn="0" w:lastColumn="0" w:noHBand="0" w:noVBand="0" w:val="0000"/>
      </w:tblPr>
      <w:tblGrid>
        <w:gridCol w:w="7920"/>
      </w:tblGrid>
      <w:tr>
        <w:tc>
          <w:tcPr/>
          <w:bookmarkStart w:id="193"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193"/>
          <w:p/>
        </w:tc>
      </w:tr>
    </w:tbl>
    <w:p/>
    <w:tbl>
      <w:tblPr>
        <w:tblStyle w:val="Table"/>
        <w:tblW w:type="pct" w:w="5000"/>
        <w:tblLayout w:type="fixed"/>
        <w:tblLook w:firstRow="0" w:lastRow="0" w:firstColumn="0" w:lastColumn="0" w:noHBand="0" w:noVBand="0" w:val="0000"/>
      </w:tblPr>
      <w:tblGrid>
        <w:gridCol w:w="7920"/>
      </w:tblGrid>
      <w:tr>
        <w:tc>
          <w:tcPr/>
          <w:bookmarkStart w:id="194"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194"/>
          <w:p/>
        </w:tc>
      </w:tr>
    </w:tbl>
    <w:bookmarkEnd w:id="195"/>
    <w:bookmarkStart w:id="198"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53"/>
        </w:numPr>
      </w:pPr>
      <w:r>
        <w:t xml:space="preserve">Addenda: contents added since the submitted version of the dissertation.</w:t>
      </w:r>
    </w:p>
    <w:p>
      <w:pPr>
        <w:pStyle w:val="Compact"/>
        <w:numPr>
          <w:ilvl w:val="0"/>
          <w:numId w:val="1053"/>
        </w:numPr>
      </w:pPr>
      <w:r>
        <w:t xml:space="preserve">Errata: corrections to errors discovered since submission of the dissertation.</w:t>
      </w:r>
    </w:p>
    <w:bookmarkStart w:id="196" w:name="addenda"/>
    <w:p>
      <w:pPr>
        <w:pStyle w:val="Heading2"/>
      </w:pPr>
      <w:r>
        <w:t xml:space="preserve">B.1 Addenda</w:t>
      </w:r>
    </w:p>
    <w:bookmarkEnd w:id="196"/>
    <w:bookmarkStart w:id="197" w:name="errata"/>
    <w:p>
      <w:pPr>
        <w:pStyle w:val="Heading2"/>
      </w:pPr>
      <w:r>
        <w:t xml:space="preserve">B.2 Errata</w:t>
      </w:r>
    </w:p>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3"/>
  </w:num>
  <w:num w:numId="1027">
    <w:abstractNumId w:val="992"/>
  </w:num>
  <w:num w:numId="1028">
    <w:abstractNumId w:val="992"/>
  </w:num>
  <w:num w:numId="1029">
    <w:abstractNumId w:val="992"/>
  </w:num>
  <w:num w:numId="1030">
    <w:abstractNumId w:val="993"/>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1"/>
  </w:num>
  <w:num w:numId="1051">
    <w:abstractNumId w:val="992"/>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89" Target="media/rId89.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106" Target="media/rId106.png" /><Relationship Type="http://schemas.openxmlformats.org/officeDocument/2006/relationships/image" Id="rId124" Target="media/rId124.png"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hyperlink" Id="rId170" Target="https://arxiv.org/abs/1802.03426" TargetMode="External" /><Relationship Type="http://schemas.openxmlformats.org/officeDocument/2006/relationships/hyperlink" Id="rId183" Target="https://doi.org/10.1371/journal.pdig.0000918" TargetMode="External" /><Relationship Type="http://schemas.openxmlformats.org/officeDocument/2006/relationships/hyperlink" Id="rId146" Target="https://doi.org/10.2196/89374" TargetMode="External" /><Relationship Type="http://schemas.openxmlformats.org/officeDocument/2006/relationships/hyperlink" Id="rId162" Target="https://eppi.ioe.ac.uk/cms/er4/" TargetMode="External" /><Relationship Type="http://schemas.openxmlformats.org/officeDocument/2006/relationships/hyperlink" Id="rId144" Target="https://jbi-global-wiki.refined.site/space/MANUAL/355862497/10.+Scoping+reviews" TargetMode="External" /><Relationship Type="http://schemas.openxmlformats.org/officeDocument/2006/relationships/hyperlink" Id="rId178" Target="https://onlinelibrary.wiley.com/doi/abs/10.1002/bimj.202200302" TargetMode="External" /><Relationship Type="http://schemas.openxmlformats.org/officeDocument/2006/relationships/hyperlink" Id="rId157" Target="https://onlinelibrary.wiley.com/doi/abs/10.1155/2018/7464320" TargetMode="External" /><Relationship Type="http://schemas.openxmlformats.org/officeDocument/2006/relationships/hyperlink" Id="rId165" Target="https://public.jaeb.org/datasets/diabetes" TargetMode="External" /><Relationship Type="http://schemas.openxmlformats.org/officeDocument/2006/relationships/hyperlink" Id="rId36" Target="https://raw.githubusercontent.com/HeleneThomsen/dissertation/main/figures/3_methods_fig/cancan_timeline.png" TargetMode="External" /><Relationship Type="http://schemas.openxmlformats.org/officeDocument/2006/relationships/hyperlink" Id="rId55" Target="https://raw.githubusercontent.com/HeleneThomsen/dissertation/main/figures/3_methods_fig/study2_clin_strata.png" TargetMode="External" /><Relationship Type="http://schemas.openxmlformats.org/officeDocument/2006/relationships/hyperlink" Id="rId50" Target="https://raw.githubusercontent.com/HeleneThomsen/dissertation/main/figures/3_methods_fig/study2_co_sim_emb.png" TargetMode="External" /><Relationship Type="http://schemas.openxmlformats.org/officeDocument/2006/relationships/hyperlink" Id="rId45" Target="https://raw.githubusercontent.com/HeleneThomsen/dissertation/main/figures/3_methods_fig/study2_embedding.png" TargetMode="External" /><Relationship Type="http://schemas.openxmlformats.org/officeDocument/2006/relationships/hyperlink" Id="rId92" Target="https://raw.githubusercontent.com/HeleneThomsen/dissertation/main/figures/3_methods_fig/study3_SEG_empty.png" TargetMode="External" /><Relationship Type="http://schemas.openxmlformats.org/officeDocument/2006/relationships/hyperlink" Id="rId74" Target="https://raw.githubusercontent.com/HeleneThomsen/dissertation/main/figures/3_methods_fig/study3_partitioning.png" TargetMode="External" /><Relationship Type="http://schemas.openxmlformats.org/officeDocument/2006/relationships/hyperlink" Id="rId68" Target="https://raw.githubusercontent.com/HeleneThomsen/dissertation/main/figures/3_methods_fig/study3_pred_horizon.png" TargetMode="External" /><Relationship Type="http://schemas.openxmlformats.org/officeDocument/2006/relationships/hyperlink" Id="rId79" Target="https://raw.githubusercontent.com/HeleneThomsen/dissertation/main/figures/3_methods_fig/study3_train_finetune_test_split.png" TargetMode="External" /><Relationship Type="http://schemas.openxmlformats.org/officeDocument/2006/relationships/hyperlink" Id="rId85" Target="https://raw.githubusercontent.com/HeleneThomsen/dissertation/main/figures/3_methods_fig/study3_training_approaches.png" TargetMode="External" /><Relationship Type="http://schemas.openxmlformats.org/officeDocument/2006/relationships/hyperlink" Id="rId103" Target="https://raw.githubusercontent.com/HeleneThomsen/dissertation/main/figures/4_results_fig/study_1_prisma.svg" TargetMode="External" /><Relationship Type="http://schemas.openxmlformats.org/officeDocument/2006/relationships/hyperlink" Id="rId109" Target="https://raw.githubusercontent.com/HeleneThomsen/dissertation/main/figures/4_results_fig/study_1_world_map.png" TargetMode="External" /><Relationship Type="http://schemas.openxmlformats.org/officeDocument/2006/relationships/hyperlink" Id="rId127" Target="https://raw.githubusercontent.com/HeleneThomsen/dissertation/main/figures/4_results_fig/study_3_Fig2.png" TargetMode="External" /><Relationship Type="http://schemas.openxmlformats.org/officeDocument/2006/relationships/hyperlink" Id="rId176" Target="https://www.bmj.com/content/385/bmj-2023-078378" TargetMode="External" /><Relationship Type="http://schemas.openxmlformats.org/officeDocument/2006/relationships/hyperlink" Id="rId173" Target="https://www.ncbi.nlm.nih.gov/books/NBK536098/" TargetMode="External" /><Relationship Type="http://schemas.openxmlformats.org/officeDocument/2006/relationships/hyperlink" Id="rId180" Target="https://www.sciencedirect.com/science/article/pii/S2589750025000986" TargetMode="External" /></Relationships>
</file>

<file path=word/_rels/footnotes.xml.rels><?xml version="1.0" encoding="UTF-8"?><Relationships xmlns="http://schemas.openxmlformats.org/package/2006/relationships"><Relationship Type="http://schemas.openxmlformats.org/officeDocument/2006/relationships/hyperlink" Id="rId170" Target="https://arxiv.org/abs/1802.03426" TargetMode="External" /><Relationship Type="http://schemas.openxmlformats.org/officeDocument/2006/relationships/hyperlink" Id="rId183" Target="https://doi.org/10.1371/journal.pdig.0000918" TargetMode="External" /><Relationship Type="http://schemas.openxmlformats.org/officeDocument/2006/relationships/hyperlink" Id="rId146" Target="https://doi.org/10.2196/89374" TargetMode="External" /><Relationship Type="http://schemas.openxmlformats.org/officeDocument/2006/relationships/hyperlink" Id="rId162" Target="https://eppi.ioe.ac.uk/cms/er4/" TargetMode="External" /><Relationship Type="http://schemas.openxmlformats.org/officeDocument/2006/relationships/hyperlink" Id="rId144" Target="https://jbi-global-wiki.refined.site/space/MANUAL/355862497/10.+Scoping+reviews" TargetMode="External" /><Relationship Type="http://schemas.openxmlformats.org/officeDocument/2006/relationships/hyperlink" Id="rId178" Target="https://onlinelibrary.wiley.com/doi/abs/10.1002/bimj.202200302" TargetMode="External" /><Relationship Type="http://schemas.openxmlformats.org/officeDocument/2006/relationships/hyperlink" Id="rId157" Target="https://onlinelibrary.wiley.com/doi/abs/10.1155/2018/7464320" TargetMode="External" /><Relationship Type="http://schemas.openxmlformats.org/officeDocument/2006/relationships/hyperlink" Id="rId165" Target="https://public.jaeb.org/datasets/diabetes" TargetMode="External" /><Relationship Type="http://schemas.openxmlformats.org/officeDocument/2006/relationships/hyperlink" Id="rId36" Target="https://raw.githubusercontent.com/HeleneThomsen/dissertation/main/figures/3_methods_fig/cancan_timeline.png" TargetMode="External" /><Relationship Type="http://schemas.openxmlformats.org/officeDocument/2006/relationships/hyperlink" Id="rId55" Target="https://raw.githubusercontent.com/HeleneThomsen/dissertation/main/figures/3_methods_fig/study2_clin_strata.png" TargetMode="External" /><Relationship Type="http://schemas.openxmlformats.org/officeDocument/2006/relationships/hyperlink" Id="rId50" Target="https://raw.githubusercontent.com/HeleneThomsen/dissertation/main/figures/3_methods_fig/study2_co_sim_emb.png" TargetMode="External" /><Relationship Type="http://schemas.openxmlformats.org/officeDocument/2006/relationships/hyperlink" Id="rId45" Target="https://raw.githubusercontent.com/HeleneThomsen/dissertation/main/figures/3_methods_fig/study2_embedding.png" TargetMode="External" /><Relationship Type="http://schemas.openxmlformats.org/officeDocument/2006/relationships/hyperlink" Id="rId92" Target="https://raw.githubusercontent.com/HeleneThomsen/dissertation/main/figures/3_methods_fig/study3_SEG_empty.png" TargetMode="External" /><Relationship Type="http://schemas.openxmlformats.org/officeDocument/2006/relationships/hyperlink" Id="rId74" Target="https://raw.githubusercontent.com/HeleneThomsen/dissertation/main/figures/3_methods_fig/study3_partitioning.png" TargetMode="External" /><Relationship Type="http://schemas.openxmlformats.org/officeDocument/2006/relationships/hyperlink" Id="rId68" Target="https://raw.githubusercontent.com/HeleneThomsen/dissertation/main/figures/3_methods_fig/study3_pred_horizon.png" TargetMode="External" /><Relationship Type="http://schemas.openxmlformats.org/officeDocument/2006/relationships/hyperlink" Id="rId79" Target="https://raw.githubusercontent.com/HeleneThomsen/dissertation/main/figures/3_methods_fig/study3_train_finetune_test_split.png" TargetMode="External" /><Relationship Type="http://schemas.openxmlformats.org/officeDocument/2006/relationships/hyperlink" Id="rId85" Target="https://raw.githubusercontent.com/HeleneThomsen/dissertation/main/figures/3_methods_fig/study3_training_approaches.png" TargetMode="External" /><Relationship Type="http://schemas.openxmlformats.org/officeDocument/2006/relationships/hyperlink" Id="rId103" Target="https://raw.githubusercontent.com/HeleneThomsen/dissertation/main/figures/4_results_fig/study_1_prisma.svg" TargetMode="External" /><Relationship Type="http://schemas.openxmlformats.org/officeDocument/2006/relationships/hyperlink" Id="rId109" Target="https://raw.githubusercontent.com/HeleneThomsen/dissertation/main/figures/4_results_fig/study_1_world_map.png" TargetMode="External" /><Relationship Type="http://schemas.openxmlformats.org/officeDocument/2006/relationships/hyperlink" Id="rId127" Target="https://raw.githubusercontent.com/HeleneThomsen/dissertation/main/figures/4_results_fig/study_3_Fig2.png" TargetMode="External" /><Relationship Type="http://schemas.openxmlformats.org/officeDocument/2006/relationships/hyperlink" Id="rId176" Target="https://www.bmj.com/content/385/bmj-2023-078378" TargetMode="External" /><Relationship Type="http://schemas.openxmlformats.org/officeDocument/2006/relationships/hyperlink" Id="rId173" Target="https://www.ncbi.nlm.nih.gov/books/NBK536098/" TargetMode="External" /><Relationship Type="http://schemas.openxmlformats.org/officeDocument/2006/relationships/hyperlink" Id="rId180" Target="https://www.sciencedirect.com/science/article/pii/S25897500250009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2026-07-02T14:20:36Z</dcterms:created>
  <dcterms:modified xsi:type="dcterms:W3CDTF">2026-07-02T14:20:36Z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citestyle.csl</vt:lpwstr>
  </property>
  <property fmtid="{D5CDD505-2E9C-101B-9397-08002B2CF9AE}" pid="9" name="date">
    <vt:lpwstr>2026</vt:lpwstr>
  </property>
  <property fmtid="{D5CDD505-2E9C-101B-9397-08002B2CF9AE}" pid="10" name="date-format">
    <vt:lpwstr>YYYY</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2</vt:lpwstr>
  </property>
  <property fmtid="{D5CDD505-2E9C-101B-9397-08002B2CF9AE}" pid="17" name="template-partials">
    <vt:lpwstr/>
  </property>
  <property fmtid="{D5CDD505-2E9C-101B-9397-08002B2CF9AE}" pid="18" name="toc-title">
    <vt:lpwstr>Table of contents</vt:lpwstr>
  </property>
</Properties>
</file>