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4.png" ContentType="image/png"/>
  <Override PartName="/word/media/rId56.png" ContentType="image/png"/>
  <Override PartName="/word/media/rId67.png" ContentType="image/png"/>
  <Override PartName="/word/media/rId72.png" ContentType="image/png"/>
  <Override PartName="/word/media/rId117.png" ContentType="image/png"/>
  <Override PartName="/word/media/rId112.png" ContentType="image/png"/>
  <Override PartName="/word/media/rId103.png" ContentType="image/png"/>
  <Override PartName="/word/media/rId164.png" ContentType="image/png"/>
  <Override PartName="/word/media/rId143.png" ContentType="image/png"/>
  <Override PartName="/word/media/rId138.png" ContentType="image/png"/>
  <Override PartName="/word/media/rId160.png" ContentType="image/png"/>
  <Override PartName="/word/media/rId148.png" ContentType="image/png"/>
  <Override PartName="/word/media/rId154.png" ContentType="image/png"/>
  <Override PartName="/word/media/rId107.png" ContentType="image/png"/>
  <Override PartName="/word/media/rId130.png" ContentType="image/png"/>
  <Override PartName="/word/media/rId98.png" ContentType="image/png"/>
  <Override PartName="/word/media/rId122.png" ContentType="image/png"/>
  <Override PartName="/word/media/rId91.png" ContentType="image/png"/>
  <Override PartName="/word/media/rId171.png" ContentType="image/png"/>
  <Override PartName="/word/media/rId176.png" ContentType="image/png"/>
  <Override PartName="/word/media/rId194.png" ContentType="image/png"/>
  <Override PartName="/word/media/rId456.png" ContentType="image/png"/>
  <Override PartName="/word/media/rId14.png" ContentType="image/png"/>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Machine Learning Methods for Continuous Glucose Monitoring Data and their Potential in Cardiovascular Risk Assessment</w:t>
      </w:r>
    </w:p>
    <w:p>
      <w:pPr>
        <w:pStyle w:val="Author"/>
      </w:pPr>
      <w:r>
        <w:t xml:space="preserve">Helene Bei Thomsen</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supervisors-and-assessment-committee"/>
    <w:p>
      <w:pPr>
        <w:pStyle w:val="Heading1"/>
      </w:pPr>
      <w:r>
        <w:t xml:space="preserve">Supervisors and Assessment Committee</w:t>
      </w:r>
    </w:p>
    <w:bookmarkEnd w:id="9"/>
    <w:bookmarkStart w:id="10" w:name="cover-page"/>
    <w:p>
      <w:pPr>
        <w:pStyle w:val="Heading1"/>
      </w:pPr>
      <w:r>
        <w:t xml:space="preserve">Cover Page</w:t>
      </w:r>
    </w:p>
    <w:bookmarkEnd w:id="10"/>
    <w:p>
      <w:pPr>
        <w:pStyle w:val="FirstParagraph"/>
      </w:pPr>
      <w:r>
        <w:drawing>
          <wp:inline>
            <wp:extent cx="2133600" cy="2133600"/>
            <wp:effectExtent b="0" l="0" r="0" t="0"/>
            <wp:docPr descr="" title="" id="12" name="Picture"/>
            <a:graphic>
              <a:graphicData uri="http://schemas.openxmlformats.org/drawingml/2006/picture">
                <pic:pic>
                  <pic:nvPicPr>
                    <pic:cNvPr descr="figures/ausegl_blaa.png" id="13" name="Picture"/>
                    <pic:cNvPicPr>
                      <a:picLocks noChangeArrowheads="1" noChangeAspect="1"/>
                    </pic:cNvPicPr>
                  </pic:nvPicPr>
                  <pic:blipFill>
                    <a:blip r:embed="rId11"/>
                    <a:stretch>
                      <a:fillRect/>
                    </a:stretch>
                  </pic:blipFill>
                  <pic:spPr bwMode="auto">
                    <a:xfrm>
                      <a:off x="0" y="0"/>
                      <a:ext cx="2133600" cy="2133600"/>
                    </a:xfrm>
                    <a:prstGeom prst="rect">
                      <a:avLst/>
                    </a:prstGeom>
                    <a:noFill/>
                    <a:ln w="9525">
                      <a:noFill/>
                      <a:headEnd/>
                      <a:tailEnd/>
                    </a:ln>
                  </pic:spPr>
                </pic:pic>
              </a:graphicData>
            </a:graphic>
          </wp:inline>
        </w:drawing>
      </w:r>
    </w:p>
    <w:p>
      <w:pPr>
        <w:pStyle w:val="BodyText"/>
      </w:pPr>
      <w:r>
        <w:rPr>
          <w:b/>
          <w:bCs/>
        </w:rPr>
        <w:t xml:space="preserve">PhD Dissertation</w:t>
      </w:r>
      <w:r>
        <w:br/>
      </w:r>
      <w:r>
        <w:rPr>
          <w:b/>
          <w:bCs/>
        </w:rPr>
        <w:t xml:space="preserve">Department of Public Health</w:t>
      </w:r>
      <w:r>
        <w:br/>
      </w:r>
      <w:r>
        <w:rPr>
          <w:b/>
          <w:bCs/>
        </w:rPr>
        <w:t xml:space="preserve">Faculty of Health</w:t>
      </w:r>
      <w:r>
        <w:br/>
      </w:r>
      <w:r>
        <w:rPr>
          <w:b/>
          <w:bCs/>
        </w:rPr>
        <w:t xml:space="preserve">Aarhus University</w:t>
      </w:r>
    </w:p>
    <w:p>
      <w:pPr>
        <w:pStyle w:val="BodyText"/>
      </w:pPr>
      <w:r>
        <w:drawing>
          <wp:inline>
            <wp:extent cx="4267200" cy="492321"/>
            <wp:effectExtent b="0" l="0" r="0" t="0"/>
            <wp:docPr descr="" title="" id="15" name="Picture"/>
            <a:graphic>
              <a:graphicData uri="http://schemas.openxmlformats.org/drawingml/2006/picture">
                <pic:pic>
                  <pic:nvPicPr>
                    <pic:cNvPr descr="figures/au_health.png" id="16" name="Picture"/>
                    <pic:cNvPicPr>
                      <a:picLocks noChangeArrowheads="1" noChangeAspect="1"/>
                    </pic:cNvPicPr>
                  </pic:nvPicPr>
                  <pic:blipFill>
                    <a:blip r:embed="rId14"/>
                    <a:stretch>
                      <a:fillRect/>
                    </a:stretch>
                  </pic:blipFill>
                  <pic:spPr bwMode="auto">
                    <a:xfrm>
                      <a:off x="0" y="0"/>
                      <a:ext cx="4267200" cy="492321"/>
                    </a:xfrm>
                    <a:prstGeom prst="rect">
                      <a:avLst/>
                    </a:prstGeom>
                    <a:noFill/>
                    <a:ln w="9525">
                      <a:noFill/>
                      <a:headEnd/>
                      <a:tailEnd/>
                    </a:ln>
                  </pic:spPr>
                </pic:pic>
              </a:graphicData>
            </a:graphic>
          </wp:inline>
        </w:drawing>
      </w:r>
    </w:p>
    <w:bookmarkStart w:id="18" w:name="disclosures-and-notes"/>
    <w:p>
      <w:pPr>
        <w:pStyle w:val="Heading1"/>
      </w:pPr>
      <w:r>
        <w:t xml:space="preserve">Disclosures and Notes</w:t>
      </w:r>
    </w:p>
    <w:bookmarkStart w:id="17" w:name="financial-disclosures"/>
    <w:p>
      <w:pPr>
        <w:pStyle w:val="Heading2"/>
      </w:pPr>
      <w:r>
        <w:t xml:space="preserve">Financial Disclosures</w:t>
      </w:r>
    </w:p>
    <w:p>
      <w:pPr>
        <w:pStyle w:val="FirstParagraph"/>
      </w:pPr>
      <w:r>
        <w:t xml:space="preserve">This PhD project was supported by a research grant from the</w:t>
      </w:r>
      <w:r>
        <w:t xml:space="preserve"> </w:t>
      </w:r>
      <w:r>
        <w:rPr>
          <w:b/>
          <w:bCs/>
        </w:rPr>
        <w:t xml:space="preserve">Danish Diabetes and Endocrine Academy</w:t>
      </w:r>
      <w:r>
        <w:t xml:space="preserve"> </w:t>
      </w:r>
      <w:r>
        <w:t xml:space="preserve">(NNF22SA0079901) and the</w:t>
      </w:r>
      <w:r>
        <w:t xml:space="preserve"> </w:t>
      </w:r>
      <w:r>
        <w:rPr>
          <w:b/>
          <w:bCs/>
        </w:rPr>
        <w:t xml:space="preserve">Danish Cardiovascular Academy</w:t>
      </w:r>
      <w:r>
        <w:t xml:space="preserve"> </w:t>
      </w:r>
      <w:r>
        <w:t xml:space="preserve">(NNF20SA0067242), which are funded by the</w:t>
      </w:r>
      <w:r>
        <w:t xml:space="preserve"> </w:t>
      </w:r>
      <w:r>
        <w:rPr>
          <w:b/>
          <w:bCs/>
        </w:rPr>
        <w:t xml:space="preserve">Novo Nordisk Foundation</w:t>
      </w:r>
      <w:r>
        <w:t xml:space="preserve">. Furthermore, the project was supported by the main supervisor’s Data Science Emerging Investigator grant from the Novo Nordisk Foundation (NNF22OC0076725),</w:t>
      </w:r>
    </w:p>
    <w:p>
      <w:pPr>
        <w:pStyle w:val="BodyText"/>
      </w:pPr>
      <w:r>
        <w:rPr>
          <w:i/>
          <w:iCs/>
        </w:rPr>
        <w:t xml:space="preserve">Logoes from funders are not shown in rendered pdf on github. Even though the official dissertation contains them due to technical issues</w:t>
      </w:r>
    </w:p>
    <w:bookmarkEnd w:id="17"/>
    <w:bookmarkEnd w:id="18"/>
    <w:bookmarkStart w:id="19" w:name="acknowledgements"/>
    <w:p>
      <w:pPr>
        <w:pStyle w:val="Heading1"/>
      </w:pPr>
      <w:r>
        <w:t xml:space="preserve">Acknowledgements</w:t>
      </w:r>
    </w:p>
    <w:p>
      <w:pPr>
        <w:pStyle w:val="FirstParagraph"/>
      </w:pPr>
      <w:r>
        <w:t xml:space="preserve">Completing this PhD dissertation would not have been possible without the guidance, support, and encouragement of many people. I would therefore like to express my sincere gratitude to everyone who contributed to this work and supported me throughout my PhD journey.</w:t>
      </w:r>
    </w:p>
    <w:p>
      <w:pPr>
        <w:pStyle w:val="BodyText"/>
      </w:pPr>
      <w:r>
        <w:t xml:space="preserve">First and foremost, I would like to thank my main supervisor, Adam Hulman. Your guidance and support have been invaluable throughout the past three years. Your creative ideas and extensive knowledge of both epidemiology and data science have strengthened this project and equipped me with valuable skills that I will carry into the next stage of my career. Thank you for giving me this opportunity, for believing in me, and for securing the funding that made part of this PhD possible.</w:t>
      </w:r>
    </w:p>
    <w:p>
      <w:pPr>
        <w:pStyle w:val="BodyText"/>
      </w:pPr>
      <w:r>
        <w:t xml:space="preserve">I am also deeply grateful to the other members of my supervisory team. When changes in my original supervisory team disrupted the initial plans for the project during the first month of my PhD, Anders Aasted Isaksen, Guy Fagherazzi, and Signe Toft Andersen generously stepped in to help guide the project forward.</w:t>
      </w:r>
      <w:r>
        <w:t xml:space="preserve"> </w:t>
      </w:r>
      <w:r>
        <w:t xml:space="preserve">Anders, I am sincerely grateful for the time, effort, and support you contributed to the scoping review. Your exceptional technical abilities, combined with your clinical expertise, have made you an important source of advice and inspiration. I am equally grateful for the welcoming and accepting atmosphere you helped create in the research environment at Steno Diabetes Center Aarhus and your awesome quarto template for the PhD dissertation.</w:t>
      </w:r>
      <w:r>
        <w:t xml:space="preserve"> </w:t>
      </w:r>
      <w:r>
        <w:t xml:space="preserve">Guy, thank you for your insightful comments and for welcoming me into your research group during my stay at the Luxembourg Institute of Health. I am particularly grateful for the opportunity to meet and work alongside your wonderful team, participate in the team retreat, and feel so genuinely included throughout my visit.</w:t>
      </w:r>
      <w:r>
        <w:t xml:space="preserve"> </w:t>
      </w:r>
      <w:r>
        <w:t xml:space="preserve">Signe, thank you for giving me the opportunity to work with the CANCAN data after access to the originally planned data was lost. Your clinical expertise, thorough explanations, and consistently positive attitude have been both encouraging and inspiring. Our discussions have been among the most enjoyable and eye-opening parts of my PhD.</w:t>
      </w:r>
    </w:p>
    <w:p>
      <w:pPr>
        <w:pStyle w:val="BodyText"/>
      </w:pPr>
      <w:r>
        <w:t xml:space="preserve">I would also like to thank Ole Nørgaard and Tue Helms Andersen for their expertise and assistance in developing the literature-search strategy. Your guidance greatly improved the quality of this dissertation and taught me how to conduct literature searches in a more systematic and rigorous manner. Thank you to Benjamin Lebiecka-Johansen and Livie Yumeng Li for their technical assistance with GenomeDK, and to William P. T. M. van Doorn for providing coding support and generously offering help when needed.</w:t>
      </w:r>
      <w:r>
        <w:t xml:space="preserve"> </w:t>
      </w:r>
      <w:r>
        <w:t xml:space="preserve">Thank you to Sanne Fisker for allowing me to accompany her in the clinic and for showing me how the Steno T1D Risk Engine can be used in conversations with patients. Observing these consultations gave me valuable insight into the complex and challenging task of supporting people with diabetes in making decisions about their health. I am also grateful to Tibor V. Varga for welcoming me to visit his research group at the University of Copenhagen and for sharing his expertise in algorithmic fairness.</w:t>
      </w:r>
    </w:p>
    <w:p>
      <w:pPr>
        <w:pStyle w:val="BodyText"/>
      </w:pPr>
      <w:r>
        <w:t xml:space="preserve">I feel fortunate to have met so many wonderful people at Steno Diabetes Center Aarhus (SDCA) and through the Graduate School of Health at Aarhus University. You made me feel welcome, and I never felt isolated or alone during this project. Through the PhD Association at Health, I had the opportunity to meet fellow PhD students from many different research fields, exchange experiences, and find support in navigating the practical and administrative aspects of PhD life. I am equally grateful to my colleagues and office mates at SDCA, who ensured that there was always someone with whom to share a conversation or a lunch break. Livie, Nina, Manu, Jonas, Jie, Thien, and many others. Your company has meant more to me than you may realize.</w:t>
      </w:r>
    </w:p>
    <w:p>
      <w:pPr>
        <w:pStyle w:val="BodyText"/>
      </w:pPr>
      <w:r>
        <w:t xml:space="preserve">I would also like to express my sincere gratitude to the Danish Diabetes and Endocrine Academy and the Danish Cardiovascular Academy for funding this PhD project, believing in its potential, and providing valuable courses and opportunities to develop professional networks. The communities created by the academies have enriched my PhD experience and made this project possible.</w:t>
      </w:r>
      <w:r>
        <w:t xml:space="preserve"> </w:t>
      </w:r>
      <w:r>
        <w:t xml:space="preserve">I am also grateful to Julie and Inger for always responding quickly and patiently whenever the administrative aspects of travel and other practical matters became confusing.</w:t>
      </w:r>
    </w:p>
    <w:p>
      <w:pPr>
        <w:pStyle w:val="BodyText"/>
      </w:pPr>
      <w:r>
        <w:t xml:space="preserve">Finally, I would like to thank my friends and family for supporting me beyond my academic work. Getting an eight-week-old puppy in the middle of a PhD may have been a slightly ambitious decision, but it all worked out, with a great deal of help.</w:t>
      </w:r>
      <w:r>
        <w:t xml:space="preserve"> </w:t>
      </w:r>
      <w:r>
        <w:t xml:space="preserve">Above all, thank you to my parents for the many hours of puppy-sitting and for always stepping in when I needed to travel or when work became particularly demanding. I am also deeply grateful to Astrid, Anna, Livie, Nina, Yasmina and Daniel for bringing food, looking after my puppy, giving feedback and helping me whenever I needed it. Thank you all for being there for me and for supporting me throughout this journey.</w:t>
      </w:r>
      <w:r>
        <w:t xml:space="preserve"> </w:t>
      </w:r>
      <w:r>
        <w:t xml:space="preserve">Lastly, thank you to my dog Bonnie for bringing joy and balance to my life and for always making even the most difficult working days a little brighter.</w:t>
      </w:r>
    </w:p>
    <w:bookmarkEnd w:id="19"/>
    <w:bookmarkStart w:id="23" w:name="sec-linked-papers"/>
    <w:p>
      <w:pPr>
        <w:pStyle w:val="Heading1"/>
      </w:pPr>
      <w:r>
        <w:t xml:space="preserve">Papers in the Dissertation</w:t>
      </w:r>
    </w:p>
    <w:bookmarkStart w:id="20" w:name="study-i"/>
    <w:p>
      <w:pPr>
        <w:pStyle w:val="Heading2"/>
      </w:pPr>
      <w:r>
        <w:t xml:space="preserve">Study I</w:t>
      </w:r>
    </w:p>
    <w:p>
      <w:pPr>
        <w:pStyle w:val="FirstParagraph"/>
      </w:pPr>
      <w:r>
        <w:rPr>
          <w:b/>
          <w:bCs/>
        </w:rPr>
        <w:t xml:space="preserve">Thomsen, H. B.</w:t>
      </w:r>
      <w:r>
        <w:t xml:space="preserve">, Lebiecka-Johansen, B., Nørgaard, O., Andersen, T. H., Andersen, S. T., Fagherazzi, G., Hulman, A., &amp; Isaksen, A. A. (2026). Continuous Glucose Monitoring–Derived Metrics and Cardiovascular Risk Among People With Diabetes: Systematic Scoping Review. JMIR Diabetes, 11(1), e89374. https://doi.org/10.2196/89374</w:t>
      </w:r>
    </w:p>
    <w:bookmarkEnd w:id="20"/>
    <w:bookmarkStart w:id="21" w:name="study-ii"/>
    <w:p>
      <w:pPr>
        <w:pStyle w:val="Heading2"/>
      </w:pPr>
      <w:r>
        <w:t xml:space="preserve">Study II</w:t>
      </w:r>
    </w:p>
    <w:p>
      <w:pPr>
        <w:pStyle w:val="FirstParagraph"/>
      </w:pPr>
      <w:r>
        <w:rPr>
          <w:b/>
          <w:bCs/>
        </w:rPr>
        <w:t xml:space="preserve">Thomsen, H. B.</w:t>
      </w:r>
      <w:r>
        <w:t xml:space="preserve">, Andersen, S. T., Fagherazzi, G., Isaksen, A. A. &amp; Hulman, A. (2026). Foundation model–derived representations of continuous glucose monitoring data: relation to glycemic patterns and cardiovascular risk. (Submitted to JMIR Diabetes on July 14, 2026.)</w:t>
      </w:r>
    </w:p>
    <w:bookmarkEnd w:id="21"/>
    <w:bookmarkStart w:id="22" w:name="study-iii"/>
    <w:p>
      <w:pPr>
        <w:pStyle w:val="Heading2"/>
      </w:pPr>
      <w:r>
        <w:t xml:space="preserve">Study III</w:t>
      </w:r>
    </w:p>
    <w:p>
      <w:pPr>
        <w:pStyle w:val="FirstParagraph"/>
      </w:pPr>
      <w:r>
        <w:rPr>
          <w:b/>
          <w:bCs/>
        </w:rPr>
        <w:t xml:space="preserve">Thomsen, H. B.</w:t>
      </w:r>
      <w:r>
        <w:t xml:space="preserve">, Li, L. Y., Isaksen, A. A., Lebiecka-Johansen, B., Bour, C., Fagherazzi, G., Doorn, W. P. T. M. van, Varga, T. V., &amp; Hulman, A. (2025). Racial disparities in continuous glucose monitoring-based 60-min glucose predictions among people with type 1 diabetes. PLOS Digital Health, 4(6), e0000918. https://doi.org/10.1371/journal.pdig.0000918</w:t>
      </w:r>
    </w:p>
    <w:bookmarkEnd w:id="22"/>
    <w:bookmarkEnd w:id="23"/>
    <w:bookmarkStart w:id="54" w:name="abbreviations"/>
    <w:p>
      <w:pPr>
        <w:pStyle w:val="Heading1"/>
      </w:pPr>
      <w:r>
        <w:t xml:space="preserve">Abbreviations</w:t>
      </w:r>
    </w:p>
    <w:p>
      <w:pPr>
        <w:pStyle w:val="FirstParagraph"/>
      </w:pPr>
      <w:bookmarkStart w:id="24" w:name="acronyms_AGP"/>
      <w:r>
        <w:rPr>
          <w:b/>
          <w:bCs/>
        </w:rPr>
        <w:t xml:space="preserve">AGP</w:t>
      </w:r>
      <w:bookmarkEnd w:id="24"/>
      <w:r>
        <w:t xml:space="preserve">: ambulatory glucose profile</w:t>
      </w:r>
    </w:p>
    <w:p>
      <w:pPr>
        <w:pStyle w:val="BodyText"/>
      </w:pPr>
      <w:bookmarkStart w:id="25" w:name="acronyms_AID"/>
      <w:r>
        <w:rPr>
          <w:b/>
          <w:bCs/>
        </w:rPr>
        <w:t xml:space="preserve">AID</w:t>
      </w:r>
      <w:bookmarkEnd w:id="25"/>
      <w:r>
        <w:t xml:space="preserve">: automated insulin delivery</w:t>
      </w:r>
    </w:p>
    <w:p>
      <w:pPr>
        <w:pStyle w:val="BodyText"/>
      </w:pPr>
      <w:bookmarkStart w:id="26" w:name="acronyms_AUROC"/>
      <w:r>
        <w:rPr>
          <w:b/>
          <w:bCs/>
        </w:rPr>
        <w:t xml:space="preserve">AUROC</w:t>
      </w:r>
      <w:bookmarkEnd w:id="26"/>
      <w:r>
        <w:t xml:space="preserve">: area under the receiver operating characteristic curve</w:t>
      </w:r>
    </w:p>
    <w:p>
      <w:pPr>
        <w:pStyle w:val="BodyText"/>
      </w:pPr>
      <w:bookmarkStart w:id="27" w:name="acronyms_CGM"/>
      <w:r>
        <w:rPr>
          <w:b/>
          <w:bCs/>
        </w:rPr>
        <w:t xml:space="preserve">CGM</w:t>
      </w:r>
      <w:bookmarkEnd w:id="27"/>
      <w:r>
        <w:t xml:space="preserve">: continuous glucose monitoring</w:t>
      </w:r>
    </w:p>
    <w:p>
      <w:pPr>
        <w:pStyle w:val="BodyText"/>
      </w:pPr>
      <w:bookmarkStart w:id="28" w:name="acronyms_CV"/>
      <w:r>
        <w:rPr>
          <w:b/>
          <w:bCs/>
        </w:rPr>
        <w:t xml:space="preserve">CV</w:t>
      </w:r>
      <w:bookmarkEnd w:id="28"/>
      <w:r>
        <w:t xml:space="preserve">: coefficient of variation</w:t>
      </w:r>
    </w:p>
    <w:p>
      <w:pPr>
        <w:pStyle w:val="BodyText"/>
      </w:pPr>
      <w:bookmarkStart w:id="29" w:name="acronyms_CVD"/>
      <w:r>
        <w:rPr>
          <w:b/>
          <w:bCs/>
        </w:rPr>
        <w:t xml:space="preserve">CVD</w:t>
      </w:r>
      <w:bookmarkEnd w:id="29"/>
      <w:r>
        <w:t xml:space="preserve">: cardiovascular disease</w:t>
      </w:r>
    </w:p>
    <w:p>
      <w:pPr>
        <w:pStyle w:val="BodyText"/>
      </w:pPr>
      <w:bookmarkStart w:id="30" w:name="acronyms_eGFR"/>
      <w:r>
        <w:rPr>
          <w:b/>
          <w:bCs/>
        </w:rPr>
        <w:t xml:space="preserve">eGFR</w:t>
      </w:r>
      <w:bookmarkEnd w:id="30"/>
      <w:r>
        <w:t xml:space="preserve">: estimated glomerular filtration rate</w:t>
      </w:r>
    </w:p>
    <w:p>
      <w:pPr>
        <w:pStyle w:val="BodyText"/>
      </w:pPr>
      <w:bookmarkStart w:id="31" w:name="acronyms_GMI"/>
      <w:r>
        <w:rPr>
          <w:b/>
          <w:bCs/>
        </w:rPr>
        <w:t xml:space="preserve">GMI</w:t>
      </w:r>
      <w:bookmarkEnd w:id="31"/>
      <w:r>
        <w:t xml:space="preserve">: glucose management indicator</w:t>
      </w:r>
    </w:p>
    <w:p>
      <w:pPr>
        <w:pStyle w:val="BodyText"/>
      </w:pPr>
      <w:bookmarkStart w:id="32" w:name="acronyms_HbA1c"/>
      <w:r>
        <w:rPr>
          <w:b/>
          <w:bCs/>
        </w:rPr>
        <w:t xml:space="preserve">HbA1c</w:t>
      </w:r>
      <w:bookmarkEnd w:id="32"/>
      <w:r>
        <w:t xml:space="preserve">: hemoglobin A1c</w:t>
      </w:r>
    </w:p>
    <w:p>
      <w:pPr>
        <w:pStyle w:val="BodyText"/>
      </w:pPr>
      <w:bookmarkStart w:id="33" w:name="acronyms_HDL_cholesterol"/>
      <w:r>
        <w:rPr>
          <w:b/>
          <w:bCs/>
        </w:rPr>
        <w:t xml:space="preserve">HDL cholesterol</w:t>
      </w:r>
      <w:bookmarkEnd w:id="33"/>
      <w:r>
        <w:t xml:space="preserve">: high-density lipoprotein cholesterol</w:t>
      </w:r>
    </w:p>
    <w:p>
      <w:pPr>
        <w:pStyle w:val="BodyText"/>
      </w:pPr>
      <w:bookmarkStart w:id="34" w:name="acronyms_IGLU"/>
      <w:r>
        <w:rPr>
          <w:b/>
          <w:bCs/>
        </w:rPr>
        <w:t xml:space="preserve">IGLU</w:t>
      </w:r>
      <w:bookmarkEnd w:id="34"/>
      <w:r>
        <w:t xml:space="preserve">: Interpreting Glucose Data from Continuous Glucose Monitors</w:t>
      </w:r>
    </w:p>
    <w:p>
      <w:pPr>
        <w:pStyle w:val="BodyText"/>
      </w:pPr>
      <w:bookmarkStart w:id="35" w:name="acronyms_LDL_cholesterol"/>
      <w:r>
        <w:rPr>
          <w:b/>
          <w:bCs/>
        </w:rPr>
        <w:t xml:space="preserve">LDL cholesterol</w:t>
      </w:r>
      <w:bookmarkEnd w:id="35"/>
      <w:r>
        <w:t xml:space="preserve">: low-density lipoprotein cholesterol</w:t>
      </w:r>
    </w:p>
    <w:p>
      <w:pPr>
        <w:pStyle w:val="BodyText"/>
      </w:pPr>
      <w:bookmarkStart w:id="36" w:name="acronyms_LMEM"/>
      <w:r>
        <w:rPr>
          <w:b/>
          <w:bCs/>
        </w:rPr>
        <w:t xml:space="preserve">LMEM</w:t>
      </w:r>
      <w:bookmarkEnd w:id="36"/>
      <w:r>
        <w:t xml:space="preserve">: linear mixed effect model</w:t>
      </w:r>
    </w:p>
    <w:p>
      <w:pPr>
        <w:pStyle w:val="BodyText"/>
      </w:pPr>
      <w:bookmarkStart w:id="37" w:name="acronyms_LOCF"/>
      <w:r>
        <w:rPr>
          <w:b/>
          <w:bCs/>
        </w:rPr>
        <w:t xml:space="preserve">LOCF</w:t>
      </w:r>
      <w:bookmarkEnd w:id="37"/>
      <w:r>
        <w:t xml:space="preserve">: last observation carried forward</w:t>
      </w:r>
    </w:p>
    <w:p>
      <w:pPr>
        <w:pStyle w:val="BodyText"/>
      </w:pPr>
      <w:bookmarkStart w:id="38" w:name="acronyms_LSTM"/>
      <w:r>
        <w:rPr>
          <w:b/>
          <w:bCs/>
        </w:rPr>
        <w:t xml:space="preserve">LSTM</w:t>
      </w:r>
      <w:bookmarkEnd w:id="38"/>
      <w:r>
        <w:t xml:space="preserve">: long short-term memory model</w:t>
      </w:r>
    </w:p>
    <w:p>
      <w:pPr>
        <w:pStyle w:val="BodyText"/>
      </w:pPr>
      <w:bookmarkStart w:id="39" w:name="acronyms_MAGE"/>
      <w:r>
        <w:rPr>
          <w:b/>
          <w:bCs/>
        </w:rPr>
        <w:t xml:space="preserve">MAGE</w:t>
      </w:r>
      <w:bookmarkEnd w:id="39"/>
      <w:r>
        <w:t xml:space="preserve">: mean amplitude of glycemic excursions</w:t>
      </w:r>
    </w:p>
    <w:p>
      <w:pPr>
        <w:pStyle w:val="BodyText"/>
      </w:pPr>
      <w:bookmarkStart w:id="40" w:name="acronyms_MBG"/>
      <w:r>
        <w:rPr>
          <w:b/>
          <w:bCs/>
        </w:rPr>
        <w:t xml:space="preserve">MBG</w:t>
      </w:r>
      <w:bookmarkEnd w:id="40"/>
      <w:r>
        <w:t xml:space="preserve">: mean glucose</w:t>
      </w:r>
    </w:p>
    <w:p>
      <w:pPr>
        <w:pStyle w:val="BodyText"/>
      </w:pPr>
      <w:bookmarkStart w:id="41" w:name="acronyms_NT_proBNP"/>
      <w:r>
        <w:rPr>
          <w:b/>
          <w:bCs/>
        </w:rPr>
        <w:t xml:space="preserve">NT-proBNP</w:t>
      </w:r>
      <w:bookmarkEnd w:id="41"/>
      <w:r>
        <w:t xml:space="preserve">: N-terminal pro-B-type natriuretic peptide</w:t>
      </w:r>
    </w:p>
    <w:p>
      <w:pPr>
        <w:pStyle w:val="BodyText"/>
      </w:pPr>
      <w:bookmarkStart w:id="42" w:name="acronyms_RMSE"/>
      <w:r>
        <w:rPr>
          <w:b/>
          <w:bCs/>
        </w:rPr>
        <w:t xml:space="preserve">RMSE</w:t>
      </w:r>
      <w:bookmarkEnd w:id="42"/>
      <w:r>
        <w:t xml:space="preserve">: root mean square error</w:t>
      </w:r>
    </w:p>
    <w:p>
      <w:pPr>
        <w:pStyle w:val="BodyText"/>
      </w:pPr>
      <w:bookmarkStart w:id="43" w:name="acronyms_SCORE2_Diabetes"/>
      <w:r>
        <w:rPr>
          <w:b/>
          <w:bCs/>
        </w:rPr>
        <w:t xml:space="preserve">SCORE2-Diabetes</w:t>
      </w:r>
      <w:bookmarkEnd w:id="43"/>
      <w:r>
        <w:t xml:space="preserve">: Systematic Coronary Risk Evaluation 2-Diabetes</w:t>
      </w:r>
    </w:p>
    <w:p>
      <w:pPr>
        <w:pStyle w:val="BodyText"/>
      </w:pPr>
      <w:bookmarkStart w:id="44" w:name="acronyms_SD"/>
      <w:r>
        <w:rPr>
          <w:b/>
          <w:bCs/>
        </w:rPr>
        <w:t xml:space="preserve">SD</w:t>
      </w:r>
      <w:bookmarkEnd w:id="44"/>
      <w:r>
        <w:t xml:space="preserve">: standard deviation</w:t>
      </w:r>
    </w:p>
    <w:p>
      <w:pPr>
        <w:pStyle w:val="BodyText"/>
      </w:pPr>
      <w:bookmarkStart w:id="45" w:name="acronyms_SEG"/>
      <w:r>
        <w:rPr>
          <w:b/>
          <w:bCs/>
        </w:rPr>
        <w:t xml:space="preserve">SEG</w:t>
      </w:r>
      <w:bookmarkEnd w:id="45"/>
      <w:r>
        <w:t xml:space="preserve">: Surveillance Error Grid</w:t>
      </w:r>
    </w:p>
    <w:p>
      <w:pPr>
        <w:pStyle w:val="BodyText"/>
      </w:pPr>
      <w:bookmarkStart w:id="46" w:name="acronyms_SMBG"/>
      <w:r>
        <w:rPr>
          <w:b/>
          <w:bCs/>
        </w:rPr>
        <w:t xml:space="preserve">SMBG</w:t>
      </w:r>
      <w:bookmarkEnd w:id="46"/>
      <w:r>
        <w:t xml:space="preserve">: self-monitoring blood glucose</w:t>
      </w:r>
    </w:p>
    <w:p>
      <w:pPr>
        <w:pStyle w:val="BodyText"/>
      </w:pPr>
      <w:bookmarkStart w:id="47" w:name="acronyms_T1D"/>
      <w:r>
        <w:rPr>
          <w:b/>
          <w:bCs/>
        </w:rPr>
        <w:t xml:space="preserve">T1D</w:t>
      </w:r>
      <w:bookmarkEnd w:id="47"/>
      <w:r>
        <w:t xml:space="preserve">: type 1 diabetes</w:t>
      </w:r>
    </w:p>
    <w:p>
      <w:pPr>
        <w:pStyle w:val="BodyText"/>
      </w:pPr>
      <w:bookmarkStart w:id="48" w:name="acronyms_T1DX"/>
      <w:r>
        <w:rPr>
          <w:b/>
          <w:bCs/>
        </w:rPr>
        <w:t xml:space="preserve">T1DX</w:t>
      </w:r>
      <w:bookmarkEnd w:id="48"/>
      <w:r>
        <w:t xml:space="preserve">: T1D Exchange</w:t>
      </w:r>
    </w:p>
    <w:p>
      <w:pPr>
        <w:pStyle w:val="BodyText"/>
      </w:pPr>
      <w:bookmarkStart w:id="49" w:name="acronyms_T2D"/>
      <w:r>
        <w:rPr>
          <w:b/>
          <w:bCs/>
        </w:rPr>
        <w:t xml:space="preserve">T2D</w:t>
      </w:r>
      <w:bookmarkEnd w:id="49"/>
      <w:r>
        <w:t xml:space="preserve">: type 2 diabetes</w:t>
      </w:r>
    </w:p>
    <w:p>
      <w:pPr>
        <w:pStyle w:val="BodyText"/>
      </w:pPr>
      <w:bookmarkStart w:id="50" w:name="acronyms_TAR"/>
      <w:r>
        <w:rPr>
          <w:b/>
          <w:bCs/>
        </w:rPr>
        <w:t xml:space="preserve">TAR</w:t>
      </w:r>
      <w:bookmarkEnd w:id="50"/>
      <w:r>
        <w:t xml:space="preserve">: time above range</w:t>
      </w:r>
    </w:p>
    <w:p>
      <w:pPr>
        <w:pStyle w:val="BodyText"/>
      </w:pPr>
      <w:bookmarkStart w:id="51" w:name="acronyms_TBR"/>
      <w:r>
        <w:rPr>
          <w:b/>
          <w:bCs/>
        </w:rPr>
        <w:t xml:space="preserve">TBR</w:t>
      </w:r>
      <w:bookmarkEnd w:id="51"/>
      <w:r>
        <w:t xml:space="preserve">: time below range</w:t>
      </w:r>
    </w:p>
    <w:p>
      <w:pPr>
        <w:pStyle w:val="BodyText"/>
      </w:pPr>
      <w:bookmarkStart w:id="52" w:name="acronyms_TIR"/>
      <w:r>
        <w:rPr>
          <w:b/>
          <w:bCs/>
        </w:rPr>
        <w:t xml:space="preserve">TIR</w:t>
      </w:r>
      <w:bookmarkEnd w:id="52"/>
      <w:r>
        <w:t xml:space="preserve">: time in range</w:t>
      </w:r>
    </w:p>
    <w:p>
      <w:pPr>
        <w:pStyle w:val="BodyText"/>
      </w:pPr>
      <w:bookmarkStart w:id="53" w:name="acronyms_UMAP"/>
      <w:r>
        <w:rPr>
          <w:b/>
          <w:bCs/>
        </w:rPr>
        <w:t xml:space="preserve">UMAP</w:t>
      </w:r>
      <w:bookmarkEnd w:id="53"/>
      <w:r>
        <w:t xml:space="preserve">: uniform manifold approximation and projection</w:t>
      </w:r>
    </w:p>
    <w:bookmarkEnd w:id="54"/>
    <w:bookmarkStart w:id="78" w:name="sec-introduction"/>
    <w:p>
      <w:pPr>
        <w:pStyle w:val="Heading1"/>
      </w:pPr>
      <w:r>
        <w:t xml:space="preserve">1. Introduction</w:t>
      </w:r>
    </w:p>
    <w:bookmarkStart w:id="55" w:name="diabetes"/>
    <w:p>
      <w:pPr>
        <w:pStyle w:val="Heading2"/>
      </w:pPr>
      <w:r>
        <w:t xml:space="preserve">1.1 Diabetes</w:t>
      </w:r>
    </w:p>
    <w:p>
      <w:pPr>
        <w:pStyle w:val="FirstParagraph"/>
      </w:pPr>
      <w:r>
        <w:t xml:space="preserve">Diabetes is a metabolic disease characterized by high blood glucose levels known as hyperglycemia.</w:t>
      </w:r>
      <w:r>
        <w:rPr>
          <w:vertAlign w:val="superscript"/>
        </w:rPr>
        <w:t xml:space="preserve">1,2</w:t>
      </w:r>
      <w:r>
        <w:t xml:space="preserve"> </w:t>
      </w:r>
      <w:r>
        <w:t xml:space="preserve">The most common forms of chronic diabetes are</w:t>
      </w:r>
      <w:r>
        <w:t xml:space="preserve"> </w:t>
      </w:r>
      <w:hyperlink w:anchor="acronyms_T1D">
        <w:r>
          <w:rPr>
            <w:rStyle w:val="Hyperlink"/>
          </w:rPr>
          <w:t xml:space="preserve">type 1 diabetes (T1D)</w:t>
        </w:r>
      </w:hyperlink>
      <w:r>
        <w:t xml:space="preserve"> </w:t>
      </w:r>
      <w:r>
        <w:t xml:space="preserve">and</w:t>
      </w:r>
      <w:r>
        <w:t xml:space="preserve"> </w:t>
      </w:r>
      <w:hyperlink w:anchor="acronyms_T2D">
        <w:r>
          <w:rPr>
            <w:rStyle w:val="Hyperlink"/>
          </w:rPr>
          <w:t xml:space="preserve">type 2 diabetes (T2D)</w:t>
        </w:r>
      </w:hyperlink>
      <w:r>
        <w:t xml:space="preserve">.</w:t>
      </w:r>
      <w:r>
        <w:rPr>
          <w:vertAlign w:val="superscript"/>
        </w:rPr>
        <w:t xml:space="preserve">1</w:t>
      </w:r>
      <w:r>
        <w:t xml:space="preserve"> </w:t>
      </w:r>
      <w:r>
        <w:t xml:space="preserve">T1D is an autoimmune disease characterized by the destruction of the pancreatic islet</w:t>
      </w:r>
      <w:r>
        <w:t xml:space="preserve"> </w:t>
      </w:r>
      <m:oMath>
        <m:r>
          <m:t>β</m:t>
        </m:r>
      </m:oMath>
      <w:r>
        <w:t xml:space="preserve">-cells, leading to an absolute insulin deficiency.</w:t>
      </w:r>
      <w:r>
        <w:rPr>
          <w:vertAlign w:val="superscript"/>
        </w:rPr>
        <w:t xml:space="preserve">3</w:t>
      </w:r>
      <w:r>
        <w:t xml:space="preserve"> </w:t>
      </w:r>
      <w:r>
        <w:t xml:space="preserve">T2D is the most common form of diabetes and in contrast to</w:t>
      </w:r>
      <w:r>
        <w:t xml:space="preserve"> </w:t>
      </w:r>
      <w:hyperlink w:anchor="acronyms_T1D">
        <w:r>
          <w:rPr>
            <w:rStyle w:val="Hyperlink"/>
          </w:rPr>
          <w:t xml:space="preserve">T1D</w:t>
        </w:r>
      </w:hyperlink>
      <w:r>
        <w:t xml:space="preserve"> </w:t>
      </w:r>
      <w:r>
        <w:t xml:space="preserve">it generally begins with insulin resistance in which the body’s cells become less responsive to insulin.</w:t>
      </w:r>
      <w:r>
        <w:rPr>
          <w:vertAlign w:val="superscript"/>
        </w:rPr>
        <w:t xml:space="preserve">1,4</w:t>
      </w:r>
      <w:r>
        <w:t xml:space="preserve"> </w:t>
      </w:r>
      <w:r>
        <w:t xml:space="preserve">Insulin lowers blood glucose by promoting glucose uptake in insulin-sensitive tissues, particularly skeletal muscle and adipose tissue, and by stimulating glycogen synthesis in the liver. As an anabolic hormone, insulin also promotes energy storage and may contribute to weight gain.</w:t>
      </w:r>
      <w:r>
        <w:rPr>
          <w:vertAlign w:val="superscript"/>
        </w:rPr>
        <w:t xml:space="preserve">5</w:t>
      </w:r>
      <w:r>
        <w:t xml:space="preserve"> </w:t>
      </w:r>
      <w:r>
        <w:t xml:space="preserve">Initially, the pancreas compensates by increasing insulin secretion, however over time progressive</w:t>
      </w:r>
      <w:r>
        <w:t xml:space="preserve"> </w:t>
      </w:r>
      <m:oMath>
        <m:r>
          <m:t>β</m:t>
        </m:r>
      </m:oMath>
      <w:r>
        <w:t xml:space="preserve">-cell dysfunction results in inadequate insulin production to meet the body’s demands.</w:t>
      </w:r>
      <w:r>
        <w:rPr>
          <w:vertAlign w:val="superscript"/>
        </w:rPr>
        <w:t xml:space="preserve">1,2,4</w:t>
      </w:r>
      <w:r>
        <w:t xml:space="preserve"> </w:t>
      </w:r>
      <w:r>
        <w:t xml:space="preserve">Despite their distinct underlying pathophysiology, both</w:t>
      </w:r>
      <w:r>
        <w:t xml:space="preserve"> </w:t>
      </w:r>
      <w:hyperlink w:anchor="acronyms_T1D">
        <w:r>
          <w:rPr>
            <w:rStyle w:val="Hyperlink"/>
          </w:rPr>
          <w:t xml:space="preserve">T1D</w:t>
        </w:r>
      </w:hyperlink>
      <w:r>
        <w:t xml:space="preserve"> </w:t>
      </w:r>
      <w:r>
        <w:t xml:space="preserve">and</w:t>
      </w:r>
      <w:r>
        <w:t xml:space="preserve"> </w:t>
      </w:r>
      <w:hyperlink w:anchor="acronyms_T2D">
        <w:r>
          <w:rPr>
            <w:rStyle w:val="Hyperlink"/>
          </w:rPr>
          <w:t xml:space="preserve">T2D</w:t>
        </w:r>
      </w:hyperlink>
      <w:r>
        <w:t xml:space="preserve"> </w:t>
      </w:r>
      <w:r>
        <w:t xml:space="preserve">are characterized by chronic hyperglycemia.</w:t>
      </w:r>
    </w:p>
    <w:p>
      <w:pPr>
        <w:pStyle w:val="BodyText"/>
      </w:pPr>
      <w:r>
        <w:t xml:space="preserve">Diabetes can be diagnosed based on a bloodtest to check</w:t>
      </w:r>
      <w:r>
        <w:t xml:space="preserve"> </w:t>
      </w:r>
      <w:hyperlink w:anchor="acronyms_HbA1c">
        <w:r>
          <w:rPr>
            <w:rStyle w:val="Hyperlink"/>
          </w:rPr>
          <w:t xml:space="preserve">hemoglobin A1c (HbA1c)</w:t>
        </w:r>
      </w:hyperlink>
      <w:r>
        <w:t xml:space="preserve"> </w:t>
      </w:r>
      <w:r>
        <w:t xml:space="preserve">levels or through plasma glucose criteria (</w:t>
      </w:r>
      <w:r>
        <w:rPr>
          <w:b/>
          <w:bCs/>
        </w:rPr>
        <w:t xml:space="preserve">?@tbl-diagnosis_criteria</w:t>
      </w:r>
      <w:r>
        <w:t xml:space="preserve">).</w:t>
      </w:r>
      <w:r>
        <w:rPr>
          <w:vertAlign w:val="superscript"/>
        </w:rPr>
        <w:t xml:space="preserve">3,6</w:t>
      </w:r>
    </w:p>
    <w:p>
      <w:pPr>
        <w:pStyle w:val="BodyText"/>
      </w:pPr>
      <w:r>
        <w:t xml:space="preserve">Although both plasma glucose tests and</w:t>
      </w:r>
      <w:r>
        <w:t xml:space="preserve"> </w:t>
      </w:r>
      <w:hyperlink w:anchor="acronyms_HbA1c">
        <w:r>
          <w:rPr>
            <w:rStyle w:val="Hyperlink"/>
          </w:rPr>
          <w:t xml:space="preserve">HbA1c</w:t>
        </w:r>
      </w:hyperlink>
      <w:r>
        <w:t xml:space="preserve"> </w:t>
      </w:r>
      <w:r>
        <w:t xml:space="preserve">measurements are appropriate for diabetes screening, the</w:t>
      </w:r>
      <w:r>
        <w:t xml:space="preserve"> </w:t>
      </w:r>
      <w:hyperlink w:anchor="acronyms_HbA1c">
        <w:r>
          <w:rPr>
            <w:rStyle w:val="Hyperlink"/>
          </w:rPr>
          <w:t xml:space="preserve">HbA1c</w:t>
        </w:r>
      </w:hyperlink>
      <w:r>
        <w:t xml:space="preserve"> </w:t>
      </w:r>
      <w:r>
        <w:t xml:space="preserve">measurement has several advantages.</w:t>
      </w:r>
      <w:r>
        <w:rPr>
          <w:vertAlign w:val="superscript"/>
        </w:rPr>
        <w:t xml:space="preserve">3</w:t>
      </w:r>
      <w:r>
        <w:t xml:space="preserve"> </w:t>
      </w:r>
      <w:r>
        <w:t xml:space="preserve">Some of the benefits are that it requires no fasting and it is less sensitive to stress and changes in nutrition.</w:t>
      </w:r>
      <w:r>
        <w:rPr>
          <w:vertAlign w:val="superscript"/>
        </w:rPr>
        <w:t xml:space="preserve">3</w:t>
      </w:r>
      <w:r>
        <w:t xml:space="preserve"> </w:t>
      </w:r>
      <w:hyperlink w:anchor="acronyms_HbA1c">
        <w:r>
          <w:rPr>
            <w:rStyle w:val="Hyperlink"/>
          </w:rPr>
          <w:t xml:space="preserve">HbA1c</w:t>
        </w:r>
      </w:hyperlink>
      <w:r>
        <w:t xml:space="preserve"> </w:t>
      </w:r>
      <w:r>
        <w:t xml:space="preserve">is an indirect measure of blood glucose levels because glucose binds to hemoglobin over</w:t>
      </w:r>
      <w:r>
        <w:t xml:space="preserve"> </w:t>
      </w:r>
      <m:oMath>
        <m:r>
          <m:rPr>
            <m:sty m:val="p"/>
          </m:rPr>
          <m:t>∼</m:t>
        </m:r>
      </m:oMath>
      <w:r>
        <w:t xml:space="preserve"> </w:t>
      </w:r>
      <w:r>
        <w:t xml:space="preserve">120 days lifespan of erythrocytes (red blood cells).</w:t>
      </w:r>
      <w:r>
        <w:rPr>
          <w:vertAlign w:val="superscript"/>
        </w:rPr>
        <w:t xml:space="preserve">3</w:t>
      </w:r>
      <w:r>
        <w:t xml:space="preserve"> </w:t>
      </w:r>
      <w:r>
        <w:t xml:space="preserve">However</w:t>
      </w:r>
      <w:r>
        <w:t xml:space="preserve"> </w:t>
      </w:r>
      <w:hyperlink w:anchor="acronyms_HbA1c">
        <w:r>
          <w:rPr>
            <w:rStyle w:val="Hyperlink"/>
          </w:rPr>
          <w:t xml:space="preserve">HbA1c</w:t>
        </w:r>
      </w:hyperlink>
      <w:r>
        <w:t xml:space="preserve"> </w:t>
      </w:r>
      <w:r>
        <w:t xml:space="preserve">testing is not always accessible, affordable or suitable (e.g., for people with anemia or under HIV-treatment).</w:t>
      </w:r>
      <w:r>
        <w:rPr>
          <w:vertAlign w:val="superscript"/>
        </w:rPr>
        <w:t xml:space="preserve">3</w:t>
      </w:r>
    </w:p>
    <w:bookmarkEnd w:id="55"/>
    <w:bookmarkStart w:id="62" w:name="blood-glucose-monitoring"/>
    <w:p>
      <w:pPr>
        <w:pStyle w:val="Heading2"/>
      </w:pPr>
      <w:r>
        <w:t xml:space="preserve">1.2 Blood Glucose Monitoring</w:t>
      </w:r>
    </w:p>
    <w:p>
      <w:pPr>
        <w:pStyle w:val="FirstParagraph"/>
      </w:pPr>
      <w:r>
        <w:t xml:space="preserve">A common treatment goal for non-pregnant adults with diabetes is for</w:t>
      </w:r>
      <w:r>
        <w:t xml:space="preserve"> </w:t>
      </w:r>
      <w:hyperlink w:anchor="acronyms_HbA1c">
        <w:r>
          <w:rPr>
            <w:rStyle w:val="Hyperlink"/>
          </w:rPr>
          <w:t xml:space="preserve">HbA1c</w:t>
        </w:r>
      </w:hyperlink>
      <w:r>
        <w:t xml:space="preserve"> </w:t>
      </w:r>
      <w:r>
        <w:t xml:space="preserve">to be below 53 mmol/mol and not have any hyperglycemia or hypoglycemia (low blood glucose levels).</w:t>
      </w:r>
      <w:r>
        <w:rPr>
          <w:vertAlign w:val="superscript"/>
        </w:rPr>
        <w:t xml:space="preserve">7,8</w:t>
      </w:r>
      <w:r>
        <w:t xml:space="preserve"> </w:t>
      </w:r>
      <w:r>
        <w:t xml:space="preserve">This corresponds to an estimated average glucose of 8.6 mmol/L.</w:t>
      </w:r>
      <w:r>
        <w:rPr>
          <w:vertAlign w:val="superscript"/>
        </w:rPr>
        <w:t xml:space="preserve">7</w:t>
      </w:r>
      <w:r>
        <w:t xml:space="preserve"> </w:t>
      </w:r>
      <w:r>
        <w:t xml:space="preserve">However</w:t>
      </w:r>
      <w:r>
        <w:t xml:space="preserve"> </w:t>
      </w:r>
      <w:hyperlink w:anchor="acronyms_HbA1c">
        <w:r>
          <w:rPr>
            <w:rStyle w:val="Hyperlink"/>
          </w:rPr>
          <w:t xml:space="preserve">HbA1c</w:t>
        </w:r>
      </w:hyperlink>
      <w:r>
        <w:t xml:space="preserve"> </w:t>
      </w:r>
      <w:r>
        <w:t xml:space="preserve">goals should be individualized to fit each individual’s specific situation and may be higher or lower than 53 mmol/mol.</w:t>
      </w:r>
      <w:r>
        <w:rPr>
          <w:vertAlign w:val="superscript"/>
        </w:rPr>
        <w:t xml:space="preserve">7,8</w:t>
      </w:r>
      <w:r>
        <w:t xml:space="preserve"> </w:t>
      </w:r>
      <w:r>
        <w:t xml:space="preserve">There are two tools available for self-assessment of glycemia, the</w:t>
      </w:r>
      <w:r>
        <w:t xml:space="preserve"> </w:t>
      </w:r>
      <w:hyperlink w:anchor="acronyms_SMBG">
        <w:r>
          <w:rPr>
            <w:rStyle w:val="Hyperlink"/>
          </w:rPr>
          <w:t xml:space="preserve">self-monitoring blood glucose (SMBG)</w:t>
        </w:r>
      </w:hyperlink>
      <w:r>
        <w:t xml:space="preserve"> </w:t>
      </w:r>
      <w:r>
        <w:t xml:space="preserve">device measuring capillary blood with finger-sticks, and the</w:t>
      </w:r>
      <w:r>
        <w:t xml:space="preserve"> </w:t>
      </w:r>
      <w:hyperlink w:anchor="acronyms_CGM">
        <w:r>
          <w:rPr>
            <w:rStyle w:val="Hyperlink"/>
          </w:rPr>
          <w:t xml:space="preserve">continuous glucose monitoring (CGM)</w:t>
        </w:r>
      </w:hyperlink>
      <w:r>
        <w:t xml:space="preserve"> </w:t>
      </w:r>
      <w:r>
        <w:t xml:space="preserve">device measuring interstitial fluid (fluid around and between cells) continuously.</w:t>
      </w:r>
      <w:r>
        <w:rPr>
          <w:vertAlign w:val="superscript"/>
        </w:rPr>
        <w:t xml:space="preserve">8,9</w:t>
      </w:r>
      <w:r>
        <w:t xml:space="preserve"> </w:t>
      </w:r>
      <w:r>
        <w:t xml:space="preserve">Both monitoring devices have shown to improve glycemic control in people with diabetes, however the</w:t>
      </w:r>
      <w:r>
        <w:t xml:space="preserve"> </w:t>
      </w:r>
      <w:hyperlink w:anchor="acronyms_CGM">
        <w:r>
          <w:rPr>
            <w:rStyle w:val="Hyperlink"/>
          </w:rPr>
          <w:t xml:space="preserve">CGM</w:t>
        </w:r>
      </w:hyperlink>
      <w:r>
        <w:t xml:space="preserve"> </w:t>
      </w:r>
      <w:r>
        <w:t xml:space="preserve">devices are superior when it comes to immediate information and alerts on asymptomatic hypo- and hyperglycemic events and provide a comprehensive glucose profile including both pre- and postprandial blood glucose measurements.</w:t>
      </w:r>
      <w:r>
        <w:rPr>
          <w:vertAlign w:val="superscript"/>
        </w:rPr>
        <w:t xml:space="preserve">8,10,11</w:t>
      </w:r>
    </w:p>
    <w:bookmarkStart w:id="61" w:name="Xde019486fc0fe10e78f5d53875dc34140aa57e7"/>
    <w:p>
      <w:pPr>
        <w:pStyle w:val="Heading3"/>
      </w:pPr>
      <w:r>
        <w:t xml:space="preserve">Continuous Glucose Monitoring and Automated Insulin Delivery</w:t>
      </w:r>
    </w:p>
    <w:p>
      <w:pPr>
        <w:pStyle w:val="FirstParagraph"/>
      </w:pPr>
      <w:r>
        <w:t xml:space="preserve">The</w:t>
      </w:r>
      <w:r>
        <w:t xml:space="preserve"> </w:t>
      </w:r>
      <w:hyperlink w:anchor="acronyms_CGM">
        <w:r>
          <w:rPr>
            <w:rStyle w:val="Hyperlink"/>
          </w:rPr>
          <w:t xml:space="preserve">CGM</w:t>
        </w:r>
      </w:hyperlink>
      <w:r>
        <w:t xml:space="preserve"> </w:t>
      </w:r>
      <w:r>
        <w:t xml:space="preserve">devices measure the glucose in the interstitial fluid, which corresponds with plasma glucose although a lag can appear when glucose levels rise or fall rapidly.</w:t>
      </w:r>
      <w:r>
        <w:rPr>
          <w:vertAlign w:val="superscript"/>
        </w:rPr>
        <w:t xml:space="preserve">12</w:t>
      </w:r>
      <w:r>
        <w:t xml:space="preserve"> </w:t>
      </w:r>
      <w:r>
        <w:t xml:space="preserve">Use of</w:t>
      </w:r>
      <w:r>
        <w:t xml:space="preserve"> </w:t>
      </w:r>
      <w:hyperlink w:anchor="acronyms_CGM">
        <w:r>
          <w:rPr>
            <w:rStyle w:val="Hyperlink"/>
          </w:rPr>
          <w:t xml:space="preserve">CGM</w:t>
        </w:r>
      </w:hyperlink>
      <w:r>
        <w:t xml:space="preserve"> </w:t>
      </w:r>
      <w:r>
        <w:t xml:space="preserve">devices has shown to improve glycemic control in both</w:t>
      </w:r>
      <w:r>
        <w:t xml:space="preserve"> </w:t>
      </w:r>
      <w:hyperlink w:anchor="acronyms_T1D">
        <w:r>
          <w:rPr>
            <w:rStyle w:val="Hyperlink"/>
          </w:rPr>
          <w:t xml:space="preserve">T1D</w:t>
        </w:r>
      </w:hyperlink>
      <w:r>
        <w:t xml:space="preserve"> </w:t>
      </w:r>
      <w:r>
        <w:t xml:space="preserve">and</w:t>
      </w:r>
      <w:r>
        <w:t xml:space="preserve"> </w:t>
      </w:r>
      <w:hyperlink w:anchor="acronyms_T2D">
        <w:r>
          <w:rPr>
            <w:rStyle w:val="Hyperlink"/>
          </w:rPr>
          <w:t xml:space="preserve">T2D</w:t>
        </w:r>
      </w:hyperlink>
      <w:r>
        <w:t xml:space="preserve"> </w:t>
      </w:r>
      <w:r>
        <w:t xml:space="preserve">with improvements in</w:t>
      </w:r>
      <w:r>
        <w:t xml:space="preserve"> </w:t>
      </w:r>
      <w:hyperlink w:anchor="acronyms_HbA1c">
        <w:r>
          <w:rPr>
            <w:rStyle w:val="Hyperlink"/>
          </w:rPr>
          <w:t xml:space="preserve">HbA1c</w:t>
        </w:r>
      </w:hyperlink>
      <w:r>
        <w:t xml:space="preserve"> </w:t>
      </w:r>
      <w:r>
        <w:t xml:space="preserve">levels and more time spent in target range (standard: 3.9-10 mmol/L) regardless of age, sex, eduction and income.</w:t>
      </w:r>
      <w:r>
        <w:rPr>
          <w:vertAlign w:val="superscript"/>
        </w:rPr>
        <w:t xml:space="preserve">7,12</w:t>
      </w:r>
      <w:r>
        <w:t xml:space="preserve"> </w:t>
      </w:r>
      <w:hyperlink w:anchor="acronyms_CGM">
        <w:r>
          <w:rPr>
            <w:rStyle w:val="Hyperlink"/>
          </w:rPr>
          <w:t xml:space="preserve">CGM</w:t>
        </w:r>
      </w:hyperlink>
      <w:r>
        <w:t xml:space="preserve"> </w:t>
      </w:r>
      <w:r>
        <w:t xml:space="preserve">devices focus on monitoring and it is possible to get an</w:t>
      </w:r>
      <w:r>
        <w:t xml:space="preserve"> </w:t>
      </w:r>
      <w:hyperlink w:anchor="acronyms_AGP">
        <w:r>
          <w:rPr>
            <w:rStyle w:val="Hyperlink"/>
          </w:rPr>
          <w:t xml:space="preserve">ambulatory glucose profile (AGP)</w:t>
        </w:r>
      </w:hyperlink>
      <w:r>
        <w:t xml:space="preserve"> </w:t>
      </w:r>
      <w:r>
        <w:t xml:space="preserve">report from the devices (</w:t>
      </w:r>
      <w:hyperlink w:anchor="fig-agp">
        <w:r>
          <w:rPr>
            <w:rStyle w:val="Hyperlink"/>
          </w:rPr>
          <w:t xml:space="preserve">Figure 1.1</w:t>
        </w:r>
      </w:hyperlink>
      <w:r>
        <w:t xml:space="preserve">).</w:t>
      </w:r>
      <w:r>
        <w:t xml:space="preserve"> </w:t>
      </w:r>
      <w:r>
        <w:t xml:space="preserve">The</w:t>
      </w:r>
      <w:r>
        <w:t xml:space="preserve"> </w:t>
      </w:r>
      <w:hyperlink w:anchor="acronyms_AGP">
        <w:r>
          <w:rPr>
            <w:rStyle w:val="Hyperlink"/>
          </w:rPr>
          <w:t xml:space="preserve">AGP</w:t>
        </w:r>
      </w:hyperlink>
      <w:r>
        <w:t xml:space="preserve"> </w:t>
      </w:r>
      <w:r>
        <w:t xml:space="preserve">report shows summary statistics over all data (usually a two weeks period) including</w:t>
      </w:r>
      <w:r>
        <w:t xml:space="preserve"> </w:t>
      </w:r>
      <w:hyperlink w:anchor="acronyms_CGM">
        <w:r>
          <w:rPr>
            <w:rStyle w:val="Hyperlink"/>
          </w:rPr>
          <w:t xml:space="preserve">CGM</w:t>
        </w:r>
      </w:hyperlink>
      <w:r>
        <w:t xml:space="preserve">-derived metrics as shown in (</w:t>
      </w:r>
      <w:hyperlink w:anchor="tbl-agp">
        <w:r>
          <w:rPr>
            <w:rStyle w:val="Hyperlink"/>
          </w:rPr>
          <w:t xml:space="preserve">Table 1.1</w:t>
        </w:r>
      </w:hyperlink>
      <w:r>
        <w:t xml:space="preserve">).</w:t>
      </w:r>
      <w:r>
        <w:rPr>
          <w:vertAlign w:val="superscript"/>
        </w:rPr>
        <w:t xml:space="preserve">10</w:t>
      </w:r>
      <w:r>
        <w:t xml:space="preserve"> </w:t>
      </w:r>
      <w:r>
        <w:t xml:space="preserve">Besides monitoring, data from</w:t>
      </w:r>
      <w:r>
        <w:t xml:space="preserve"> </w:t>
      </w:r>
      <w:hyperlink w:anchor="acronyms_CGM">
        <w:r>
          <w:rPr>
            <w:rStyle w:val="Hyperlink"/>
          </w:rPr>
          <w:t xml:space="preserve">CGM</w:t>
        </w:r>
      </w:hyperlink>
      <w:r>
        <w:t xml:space="preserve"> </w:t>
      </w:r>
      <w:r>
        <w:t xml:space="preserve">devices are now used in combination with insulin delivery systems to automate the process of administering insulin.</w:t>
      </w:r>
      <w:r>
        <w:rPr>
          <w:vertAlign w:val="superscript"/>
        </w:rPr>
        <w:t xml:space="preserve">12</w:t>
      </w:r>
      <w:r>
        <w:t xml:space="preserve"> </w:t>
      </w:r>
      <w:hyperlink w:anchor="acronyms_AID">
        <w:r>
          <w:rPr>
            <w:rStyle w:val="Hyperlink"/>
          </w:rPr>
          <w:t xml:space="preserve">automated insulin delivery (AID)</w:t>
        </w:r>
      </w:hyperlink>
      <w:r>
        <w:t xml:space="preserve"> </w:t>
      </w:r>
      <w:r>
        <w:t xml:space="preserve">systems typically use data from</w:t>
      </w:r>
      <w:r>
        <w:t xml:space="preserve"> </w:t>
      </w:r>
      <w:hyperlink w:anchor="acronyms_CGM">
        <w:r>
          <w:rPr>
            <w:rStyle w:val="Hyperlink"/>
          </w:rPr>
          <w:t xml:space="preserve">CGM</w:t>
        </w:r>
      </w:hyperlink>
      <w:r>
        <w:t xml:space="preserve"> </w:t>
      </w:r>
      <w:r>
        <w:t xml:space="preserve">devices to determine or adjust insulin delivery.</w:t>
      </w:r>
      <w:r>
        <w:t xml:space="preserve"> </w:t>
      </w:r>
      <w:r>
        <w:t xml:space="preserve">The simplest</w:t>
      </w:r>
      <w:r>
        <w:t xml:space="preserve"> </w:t>
      </w:r>
      <w:hyperlink w:anchor="acronyms_AID">
        <w:r>
          <w:rPr>
            <w:rStyle w:val="Hyperlink"/>
          </w:rPr>
          <w:t xml:space="preserve">AID</w:t>
        </w:r>
      </w:hyperlink>
      <w:r>
        <w:t xml:space="preserve">s are threshold-based low-glucose suspend systems in which insulin delivery is automatically suspended when blood glucose levels drop below a predefined threshold.</w:t>
      </w:r>
      <w:r>
        <w:rPr>
          <w:vertAlign w:val="superscript"/>
        </w:rPr>
        <w:t xml:space="preserve">13</w:t>
      </w:r>
      <w:r>
        <w:t xml:space="preserve"> </w:t>
      </w:r>
      <w:hyperlink w:anchor="acronyms_AID">
        <w:r>
          <w:rPr>
            <w:rStyle w:val="Hyperlink"/>
          </w:rPr>
          <w:t xml:space="preserve">AID</w:t>
        </w:r>
      </w:hyperlink>
      <w:r>
        <w:t xml:space="preserve"> </w:t>
      </w:r>
      <w:r>
        <w:t xml:space="preserve">systems are becoming increasingly sophisticated, with the long-term goal of approximating the physiological regulation of glucose by a healthy pancreas. However, the delayed onset and peak action of subcutaneously administered insulin limit the ability of these systems to respond rapidly to changing glucose concentrations.</w:t>
      </w:r>
      <w:r>
        <w:rPr>
          <w:vertAlign w:val="superscript"/>
        </w:rPr>
        <w:t xml:space="preserve">14</w:t>
      </w:r>
      <w:r>
        <w:t xml:space="preserve"> </w:t>
      </w:r>
      <w:r>
        <w:t xml:space="preserve">Consequently, accurate short-term glucose forecasting has become increasingly important, particularly for anticipating postprandial glucose excursions and enabling earlier insulin adjustments to reduce the risk of both hyper- and hypoglycemia.</w:t>
      </w:r>
      <w:r>
        <w:rPr>
          <w:vertAlign w:val="superscript"/>
        </w:rPr>
        <w:t xml:space="preserve">14</w:t>
      </w:r>
      <w:r>
        <w:t xml:space="preserve"> </w:t>
      </w:r>
      <w:r>
        <w:t xml:space="preserve">More advanced systems are beginning to utilize additional information such as carbohydrate intake and physical activity to optimize insulin delivery.</w:t>
      </w:r>
      <w:r>
        <w:rPr>
          <w:vertAlign w:val="superscript"/>
        </w:rPr>
        <w:t xml:space="preserve">15,16</w:t>
      </w:r>
    </w:p>
    <w:tbl>
      <w:tblPr>
        <w:tblStyle w:val="Table"/>
        <w:tblW w:type="pct" w:w="5000"/>
        <w:tblLayout w:type="fixed"/>
        <w:tblLook w:firstRow="0" w:lastRow="0" w:firstColumn="0" w:lastColumn="0" w:noHBand="0" w:noVBand="0" w:val="0000"/>
      </w:tblPr>
      <w:tblGrid>
        <w:gridCol w:w="7920"/>
      </w:tblGrid>
      <w:tr>
        <w:tc>
          <w:tcPr/>
          <w:bookmarkStart w:id="60" w:name="fig-agp"/>
          <w:p>
            <w:pPr>
              <w:pStyle w:val="Compact"/>
              <w:jc w:val="center"/>
            </w:pPr>
            <w:hyperlink r:id="rId59">
              <w:r>
                <w:drawing>
                  <wp:inline>
                    <wp:extent cx="5334000" cy="6178550"/>
                    <wp:effectExtent b="0" l="0" r="0" t="0"/>
                    <wp:docPr descr="" title="" id="57" name="Picture"/>
                    <a:graphic>
                      <a:graphicData uri="http://schemas.openxmlformats.org/drawingml/2006/picture">
                        <pic:pic>
                          <pic:nvPicPr>
                            <pic:cNvPr descr="figures/1_intro_fig/agp.png" id="58" name="Picture"/>
                            <pic:cNvPicPr>
                              <a:picLocks noChangeArrowheads="1" noChangeAspect="1"/>
                            </pic:cNvPicPr>
                          </pic:nvPicPr>
                          <pic:blipFill>
                            <a:blip r:embed="rId56"/>
                            <a:stretch>
                              <a:fillRect/>
                            </a:stretch>
                          </pic:blipFill>
                          <pic:spPr bwMode="auto">
                            <a:xfrm>
                              <a:off x="0" y="0"/>
                              <a:ext cx="5334000" cy="6178550"/>
                            </a:xfrm>
                            <a:prstGeom prst="rect">
                              <a:avLst/>
                            </a:prstGeom>
                            <a:noFill/>
                            <a:ln w="9525">
                              <a:noFill/>
                              <a:headEnd/>
                              <a:tailEnd/>
                            </a:ln>
                          </pic:spPr>
                        </pic:pic>
                      </a:graphicData>
                    </a:graphic>
                  </wp:inline>
                </w:drawing>
              </w:r>
            </w:hyperlink>
          </w:p>
          <w:p>
            <w:pPr>
              <w:jc w:val="center"/>
            </w:pPr>
            <w:pPr>
              <w:jc w:val="left"/>
              <w:spacing w:before="200"/>
              <w:pStyle w:val="ImageCaption"/>
            </w:pPr>
            <w:r>
              <w:t xml:space="preserve">Figure 1.1: Ambulatory glucose profile report from female without diabetes. Data points are from the author herself using an intermittently-scanned (Manuel data upload) FreeStyle LibreLink sensor.</w:t>
            </w:r>
          </w:p>
          <w:bookmarkEnd w:id="60"/>
        </w:tc>
      </w:tr>
    </w:tbl>
    <w:p>
      <w:pPr>
        <w:pStyle w:val="BodyText"/>
      </w:pPr>
      <w:r>
        <w:t xml:space="preserve"> </w:t>
      </w:r>
    </w:p>
    <w:bookmarkEnd w:id="61"/>
    <w:bookmarkEnd w:id="62"/>
    <w:bookmarkStart w:id="63" w:name="glycemic-control-and-variability"/>
    <w:p>
      <w:pPr>
        <w:pStyle w:val="Heading2"/>
      </w:pPr>
      <w:r>
        <w:t xml:space="preserve">1.3 Glycemic Control and Variability</w:t>
      </w:r>
    </w:p>
    <w:p>
      <w:pPr>
        <w:pStyle w:val="FirstParagraph"/>
      </w:pPr>
      <w:r>
        <w:t xml:space="preserve">A challenge in achieving good glycemic control is keeping blood glucose levels low enough to reduce the risk of long-term complications, while avoiding hypoglycemia, which can cause acute symptoms and, in insulin-treated individuals, may be life-threatening.</w:t>
      </w:r>
      <w:r>
        <w:rPr>
          <w:vertAlign w:val="superscript"/>
        </w:rPr>
        <w:t xml:space="preserve">17</w:t>
      </w:r>
      <w:r>
        <w:t xml:space="preserve"> </w:t>
      </w:r>
      <w:r>
        <w:t xml:space="preserve">The variability in the blood glucose fluctuations needs to be reduced in order to lower the average blood glucose levels while still avoiding hypoglycemia.</w:t>
      </w:r>
      <w:r>
        <w:rPr>
          <w:vertAlign w:val="superscript"/>
        </w:rPr>
        <w:t xml:space="preserve">17</w:t>
      </w:r>
      <w:r>
        <w:t xml:space="preserve"> </w:t>
      </w:r>
      <w:r>
        <w:t xml:space="preserve">Advances in</w:t>
      </w:r>
      <w:r>
        <w:t xml:space="preserve"> </w:t>
      </w:r>
      <w:hyperlink w:anchor="acronyms_CGM">
        <w:r>
          <w:rPr>
            <w:rStyle w:val="Hyperlink"/>
          </w:rPr>
          <w:t xml:space="preserve">CGM</w:t>
        </w:r>
      </w:hyperlink>
      <w:r>
        <w:t xml:space="preserve"> </w:t>
      </w:r>
      <w:r>
        <w:t xml:space="preserve">technology have enabled the quantification of glucose variability, a measure of the extent of fluctuations in blood glucose levels over time, including both peaks and nadirs.</w:t>
      </w:r>
      <w:r>
        <w:rPr>
          <w:vertAlign w:val="superscript"/>
        </w:rPr>
        <w:t xml:space="preserve">18</w:t>
      </w:r>
      <w:r>
        <w:t xml:space="preserve"> </w:t>
      </w:r>
      <w:r>
        <w:t xml:space="preserve">Describing the variability is important because two individuals with similar</w:t>
      </w:r>
      <w:r>
        <w:t xml:space="preserve"> </w:t>
      </w:r>
      <w:hyperlink w:anchor="acronyms_HbA1c">
        <w:r>
          <w:rPr>
            <w:rStyle w:val="Hyperlink"/>
          </w:rPr>
          <w:t xml:space="preserve">HbA1c</w:t>
        </w:r>
      </w:hyperlink>
      <w:r>
        <w:t xml:space="preserve"> </w:t>
      </w:r>
      <w:r>
        <w:t xml:space="preserve">levels may exhibit different glycemic variability profiles.</w:t>
      </w:r>
      <w:r>
        <w:rPr>
          <w:vertAlign w:val="superscript"/>
        </w:rPr>
        <w:t xml:space="preserve">17</w:t>
      </w:r>
      <w:r>
        <w:t xml:space="preserve"> </w:t>
      </w:r>
      <w:r>
        <w:t xml:space="preserve">Numerous metrics have been developed to characterize different aspects of glucose variability, but no single measure captures all of its dimensions.</w:t>
      </w:r>
      <w:r>
        <w:t xml:space="preserve"> </w:t>
      </w:r>
      <w:r>
        <w:t xml:space="preserve">Although international consensus recommendations advocate the routine reporting of glucose variability using</w:t>
      </w:r>
      <w:r>
        <w:t xml:space="preserve"> </w:t>
      </w:r>
      <w:hyperlink w:anchor="acronyms_CV">
        <w:r>
          <w:rPr>
            <w:rStyle w:val="Hyperlink"/>
          </w:rPr>
          <w:t xml:space="preserve">coefficient of variation (CV)</w:t>
        </w:r>
      </w:hyperlink>
      <w:r>
        <w:t xml:space="preserve">,</w:t>
      </w:r>
      <w:r>
        <w:t xml:space="preserve"> </w:t>
      </w:r>
      <w:hyperlink w:anchor="acronyms_MAGE">
        <w:r>
          <w:rPr>
            <w:rStyle w:val="Hyperlink"/>
          </w:rPr>
          <w:t xml:space="preserve">mean amplitude of glycemic excursions (MAGE)</w:t>
        </w:r>
      </w:hyperlink>
      <w:r>
        <w:t xml:space="preserve">, and</w:t>
      </w:r>
      <w:r>
        <w:t xml:space="preserve"> </w:t>
      </w:r>
      <w:hyperlink w:anchor="acronyms_SD">
        <w:r>
          <w:rPr>
            <w:rStyle w:val="Hyperlink"/>
          </w:rPr>
          <w:t xml:space="preserve">standard deviation (SD)</w:t>
        </w:r>
      </w:hyperlink>
      <w:r>
        <w:t xml:space="preserve">, with particular emphasis on</w:t>
      </w:r>
      <w:r>
        <w:t xml:space="preserve"> </w:t>
      </w:r>
      <w:hyperlink w:anchor="acronyms_CV">
        <w:r>
          <w:rPr>
            <w:rStyle w:val="Hyperlink"/>
          </w:rPr>
          <w:t xml:space="preserve">CV</w:t>
        </w:r>
      </w:hyperlink>
      <w:r>
        <w:t xml:space="preserve">,</w:t>
      </w:r>
      <w:r>
        <w:rPr>
          <w:vertAlign w:val="superscript"/>
        </w:rPr>
        <w:t xml:space="preserve">10</w:t>
      </w:r>
      <w:r>
        <w:t xml:space="preserve"> </w:t>
      </w:r>
      <w:r>
        <w:t xml:space="preserve">glucose variability encompasses multiple dimensions, including within- and between-day variability, the amplitude of glucose excursions, and temporal glucose patterns.</w:t>
      </w:r>
      <w:r>
        <w:rPr>
          <w:vertAlign w:val="superscript"/>
        </w:rPr>
        <w:t xml:space="preserve">17</w:t>
      </w:r>
      <w:r>
        <w:t xml:space="preserve"> </w:t>
      </w:r>
      <w:r>
        <w:t xml:space="preserve">As a result, no single metric has been shown to comprehensively capture all aspects of glucose variability, and no consensus currently exists regarding the optimal measure.</w:t>
      </w:r>
      <w:r>
        <w:rPr>
          <w:vertAlign w:val="superscript"/>
        </w:rPr>
        <w:t xml:space="preserve">17,18</w:t>
      </w:r>
    </w:p>
    <w:p>
      <w:r>
        <w:br w:type="page"/>
      </w:r>
    </w:p>
    <w:bookmarkEnd w:id="63"/>
    <w:bookmarkStart w:id="64" w:name="Xa25a845739ec1a3be7e04654a41cb728d3a75af"/>
    <w:p>
      <w:pPr>
        <w:pStyle w:val="Heading2"/>
      </w:pPr>
      <w:r>
        <w:t xml:space="preserve">1.4 Cardiovascular Diseases and Heart Failure</w:t>
      </w:r>
    </w:p>
    <w:p>
      <w:pPr>
        <w:pStyle w:val="FirstParagraph"/>
      </w:pPr>
      <w:r>
        <w:t xml:space="preserve">Although advances in diabetes management have reduced the incidence of several diabetes-related complications,</w:t>
      </w:r>
      <w:r>
        <w:t xml:space="preserve"> </w:t>
      </w:r>
      <w:hyperlink w:anchor="acronyms_CVD">
        <w:r>
          <w:rPr>
            <w:rStyle w:val="Hyperlink"/>
          </w:rPr>
          <w:t xml:space="preserve">cardiovascular disease (CVD)</w:t>
        </w:r>
      </w:hyperlink>
      <w:r>
        <w:t xml:space="preserve"> </w:t>
      </w:r>
      <w:r>
        <w:t xml:space="preserve">remains a major cause of morbidity and mortality in people with diabetes.</w:t>
      </w:r>
      <w:r>
        <w:rPr>
          <w:vertAlign w:val="superscript"/>
        </w:rPr>
        <w:t xml:space="preserve">19–21</w:t>
      </w:r>
      <w:r>
        <w:t xml:space="preserve"> </w:t>
      </w:r>
      <w:r>
        <w:t xml:space="preserve">Chronic hyperglycemia can lead to long-term complications such as atherosclerotic</w:t>
      </w:r>
      <w:r>
        <w:t xml:space="preserve"> </w:t>
      </w:r>
      <w:hyperlink w:anchor="acronyms_CVD">
        <w:r>
          <w:rPr>
            <w:rStyle w:val="Hyperlink"/>
          </w:rPr>
          <w:t xml:space="preserve">CVD</w:t>
        </w:r>
      </w:hyperlink>
      <w:r>
        <w:t xml:space="preserve">, although the progression and manifestation of these complications vary between individuals.</w:t>
      </w:r>
      <w:r>
        <w:rPr>
          <w:vertAlign w:val="superscript"/>
        </w:rPr>
        <w:t xml:space="preserve">3</w:t>
      </w:r>
      <w:r>
        <w:t xml:space="preserve"> </w:t>
      </w:r>
      <w:r>
        <w:t xml:space="preserve">Identifying individuals at increased risk of</w:t>
      </w:r>
      <w:r>
        <w:t xml:space="preserve"> </w:t>
      </w:r>
      <w:hyperlink w:anchor="acronyms_CVD">
        <w:r>
          <w:rPr>
            <w:rStyle w:val="Hyperlink"/>
          </w:rPr>
          <w:t xml:space="preserve">CVD</w:t>
        </w:r>
      </w:hyperlink>
      <w:r>
        <w:t xml:space="preserve"> </w:t>
      </w:r>
      <w:r>
        <w:t xml:space="preserve">or heart failure before clinical disease develops is therefore an important component of diabetes care.</w:t>
      </w:r>
      <w:r>
        <w:rPr>
          <w:vertAlign w:val="superscript"/>
        </w:rPr>
        <w:t xml:space="preserve">20</w:t>
      </w:r>
    </w:p>
    <w:p>
      <w:pPr>
        <w:pStyle w:val="BodyText"/>
      </w:pPr>
      <w:r>
        <w:t xml:space="preserve">Heart failure is at least twice as prevalent among people with diabetes as in the general population.</w:t>
      </w:r>
      <w:r>
        <w:rPr>
          <w:vertAlign w:val="superscript"/>
        </w:rPr>
        <w:t xml:space="preserve">20,22</w:t>
      </w:r>
      <w:r>
        <w:t xml:space="preserve"> </w:t>
      </w:r>
      <w:r>
        <w:t xml:space="preserve">It is characterized by symptoms such as breathlessness, fatigue, and ankle swelling, which may be accompanied by clinical signs such as elevated jugular venous pressure, pulmonary crackles, and peripheral oedema.</w:t>
      </w:r>
      <w:r>
        <w:rPr>
          <w:vertAlign w:val="superscript"/>
        </w:rPr>
        <w:t xml:space="preserve">23</w:t>
      </w:r>
      <w:r>
        <w:t xml:space="preserve"> </w:t>
      </w:r>
      <w:r>
        <w:t xml:space="preserve">Heart failure may present as either acute or chronic, with acute heart failure typically involving rapid onset or worsening of symptoms and signs.</w:t>
      </w:r>
      <w:r>
        <w:rPr>
          <w:vertAlign w:val="superscript"/>
        </w:rPr>
        <w:t xml:space="preserve">23</w:t>
      </w:r>
      <w:r>
        <w:t xml:space="preserve"> </w:t>
      </w:r>
      <w:r>
        <w:t xml:space="preserve">In individuals with suspected chronic heart failure based on risk factors, symptoms, clinical findings, and supporting investigations such as electrocardiography, measurement of natriuretic peptides, including</w:t>
      </w:r>
      <w:r>
        <w:t xml:space="preserve"> </w:t>
      </w:r>
      <w:hyperlink w:anchor="acronyms_NT_proBNP">
        <w:r>
          <w:rPr>
            <w:rStyle w:val="Hyperlink"/>
          </w:rPr>
          <w:t xml:space="preserve">N-terminal pro-B-type natriuretic peptide (NT-proBNP)</w:t>
        </w:r>
      </w:hyperlink>
      <w:r>
        <w:t xml:space="preserve">, is recommended as part of the diagnostic work-up.</w:t>
      </w:r>
      <w:r>
        <w:rPr>
          <w:vertAlign w:val="superscript"/>
        </w:rPr>
        <w:t xml:space="preserve">23</w:t>
      </w:r>
      <w:r>
        <w:t xml:space="preserve"> </w:t>
      </w:r>
      <w:r>
        <w:t xml:space="preserve">An</w:t>
      </w:r>
      <w:r>
        <w:t xml:space="preserve"> </w:t>
      </w:r>
      <w:hyperlink w:anchor="acronyms_NT_proBNP">
        <w:r>
          <w:rPr>
            <w:rStyle w:val="Hyperlink"/>
          </w:rPr>
          <w:t xml:space="preserve">NT-proBNP</w:t>
        </w:r>
      </w:hyperlink>
      <w:r>
        <w:t xml:space="preserve"> </w:t>
      </w:r>
      <w:r>
        <w:t xml:space="preserve">concentration of ≥125 pg/mL or higher indicates the need for further cardiac evaluation, whereas concentrations below this threshold make chronic heart failure unlikely and alternative diagnoses should be considered.</w:t>
      </w:r>
      <w:r>
        <w:rPr>
          <w:vertAlign w:val="superscript"/>
        </w:rPr>
        <w:t xml:space="preserve">23</w:t>
      </w:r>
      <w:r>
        <w:t xml:space="preserve"> </w:t>
      </w:r>
      <w:r>
        <w:t xml:space="preserve">Although</w:t>
      </w:r>
      <w:r>
        <w:t xml:space="preserve"> </w:t>
      </w:r>
      <w:hyperlink w:anchor="acronyms_NT_proBNP">
        <w:r>
          <w:rPr>
            <w:rStyle w:val="Hyperlink"/>
          </w:rPr>
          <w:t xml:space="preserve">NT-proBNP</w:t>
        </w:r>
      </w:hyperlink>
      <w:r>
        <w:t xml:space="preserve"> </w:t>
      </w:r>
      <w:r>
        <w:t xml:space="preserve">levels may be influenced by non-cardiac factors, including age, ischemic stroke, and renal dysfunction,</w:t>
      </w:r>
      <w:r>
        <w:rPr>
          <w:vertAlign w:val="superscript"/>
        </w:rPr>
        <w:t xml:space="preserve">23</w:t>
      </w:r>
      <w:r>
        <w:t xml:space="preserve"> </w:t>
      </w:r>
      <w:r>
        <w:t xml:space="preserve">it remains clinically useful in the assessment of individuals at increased risk of chronic heart failure.</w:t>
      </w:r>
    </w:p>
    <w:bookmarkEnd w:id="64"/>
    <w:bookmarkStart w:id="65" w:name="cardiovascular-risk-prediction-models"/>
    <w:p>
      <w:pPr>
        <w:pStyle w:val="Heading2"/>
      </w:pPr>
      <w:r>
        <w:t xml:space="preserve">1.5 Cardiovascular Risk Prediction Models</w:t>
      </w:r>
    </w:p>
    <w:p>
      <w:pPr>
        <w:pStyle w:val="FirstParagraph"/>
      </w:pPr>
      <w:r>
        <w:t xml:space="preserve">To facilitate early identification of individuals at increased cardiovascular risk, several clinical prediction models have been developed.</w:t>
      </w:r>
      <w:r>
        <w:rPr>
          <w:vertAlign w:val="superscript"/>
        </w:rPr>
        <w:t xml:space="preserve">21,24–26</w:t>
      </w:r>
      <w:r>
        <w:t xml:space="preserve"> </w:t>
      </w:r>
      <w:r>
        <w:t xml:space="preserve">By estimating the probability of a</w:t>
      </w:r>
      <w:r>
        <w:t xml:space="preserve"> </w:t>
      </w:r>
      <w:hyperlink w:anchor="acronyms_CVD">
        <w:r>
          <w:rPr>
            <w:rStyle w:val="Hyperlink"/>
          </w:rPr>
          <w:t xml:space="preserve">CVD</w:t>
        </w:r>
      </w:hyperlink>
      <w:r>
        <w:t xml:space="preserve"> </w:t>
      </w:r>
      <w:r>
        <w:t xml:space="preserve">event within a specified time horizon, these models can increase awareness of cardiovascular risk, encourage adherence to recommended lifestyle changes and medical treatment, and help identify individuals who are most likely to benefit from preventive interventions.</w:t>
      </w:r>
      <w:r>
        <w:rPr>
          <w:vertAlign w:val="superscript"/>
        </w:rPr>
        <w:t xml:space="preserve">27</w:t>
      </w:r>
      <w:r>
        <w:t xml:space="preserve"> </w:t>
      </w:r>
      <w:r>
        <w:t xml:space="preserve">Among these, the</w:t>
      </w:r>
      <w:r>
        <w:t xml:space="preserve"> </w:t>
      </w:r>
      <w:hyperlink w:anchor="acronyms_SCORE2_Diabetes">
        <w:r>
          <w:rPr>
            <w:rStyle w:val="Hyperlink"/>
          </w:rPr>
          <w:t xml:space="preserve">Systematic Coronary Risk Evaluation 2-Diabetes (SCORE2-Diabetes)</w:t>
        </w:r>
      </w:hyperlink>
      <w:r>
        <w:t xml:space="preserve"> </w:t>
      </w:r>
      <w:r>
        <w:t xml:space="preserve">model estimates the 10-year risk of</w:t>
      </w:r>
      <w:r>
        <w:t xml:space="preserve"> </w:t>
      </w:r>
      <w:hyperlink w:anchor="acronyms_CVD">
        <w:r>
          <w:rPr>
            <w:rStyle w:val="Hyperlink"/>
          </w:rPr>
          <w:t xml:space="preserve">CVD</w:t>
        </w:r>
      </w:hyperlink>
      <w:r>
        <w:t xml:space="preserve"> </w:t>
      </w:r>
      <w:r>
        <w:t xml:space="preserve">in individuals with</w:t>
      </w:r>
      <w:r>
        <w:t xml:space="preserve"> </w:t>
      </w:r>
      <w:hyperlink w:anchor="acronyms_T2D">
        <w:r>
          <w:rPr>
            <w:rStyle w:val="Hyperlink"/>
          </w:rPr>
          <w:t xml:space="preserve">T2D</w:t>
        </w:r>
      </w:hyperlink>
      <w:r>
        <w:t xml:space="preserve">. It was developed and calibrated using European cohorts, making it particularly relevant for the Danish cohort included in this dissertation.</w:t>
      </w:r>
      <w:r>
        <w:rPr>
          <w:vertAlign w:val="superscript"/>
        </w:rPr>
        <w:t xml:space="preserve">21</w:t>
      </w:r>
      <w:r>
        <w:t xml:space="preserve"> </w:t>
      </w:r>
      <w:r>
        <w:t xml:space="preserve">However, the</w:t>
      </w:r>
      <w:r>
        <w:t xml:space="preserve"> </w:t>
      </w:r>
      <w:hyperlink w:anchor="acronyms_SCORE2_Diabetes">
        <w:r>
          <w:rPr>
            <w:rStyle w:val="Hyperlink"/>
          </w:rPr>
          <w:t xml:space="preserve">SCORE2-Diabetes</w:t>
        </w:r>
      </w:hyperlink>
      <w:r>
        <w:t xml:space="preserve"> </w:t>
      </w:r>
      <w:r>
        <w:t xml:space="preserve">model relies solely on traditional clinical variables, including age, sex, smoking status, systolic blood pressure,</w:t>
      </w:r>
      <w:r>
        <w:t xml:space="preserve"> </w:t>
      </w:r>
      <w:hyperlink w:anchor="acronyms_HDL_cholesterol">
        <w:r>
          <w:rPr>
            <w:rStyle w:val="Hyperlink"/>
          </w:rPr>
          <w:t xml:space="preserve">high-density lipoprotein cholesterol (HDL cholesterol)</w:t>
        </w:r>
      </w:hyperlink>
      <w:r>
        <w:t xml:space="preserve">, age at diabetes diagnosis,</w:t>
      </w:r>
      <w:r>
        <w:t xml:space="preserve"> </w:t>
      </w:r>
      <w:hyperlink w:anchor="acronyms_HbA1c">
        <w:r>
          <w:rPr>
            <w:rStyle w:val="Hyperlink"/>
          </w:rPr>
          <w:t xml:space="preserve">HbA1c</w:t>
        </w:r>
      </w:hyperlink>
      <w:r>
        <w:t xml:space="preserve">, and</w:t>
      </w:r>
      <w:r>
        <w:t xml:space="preserve"> </w:t>
      </w:r>
      <w:hyperlink w:anchor="acronyms_eGFR">
        <w:r>
          <w:rPr>
            <w:rStyle w:val="Hyperlink"/>
          </w:rPr>
          <w:t xml:space="preserve">estimated glomerular filtration rate (eGFR)</w:t>
        </w:r>
      </w:hyperlink>
      <w:r>
        <w:t xml:space="preserve">, and does not incorporate information on glucose dynamics beyond the long-term glycemic exposure reflected by</w:t>
      </w:r>
      <w:r>
        <w:t xml:space="preserve"> </w:t>
      </w:r>
      <w:hyperlink w:anchor="acronyms_HbA1c">
        <w:r>
          <w:rPr>
            <w:rStyle w:val="Hyperlink"/>
          </w:rPr>
          <w:t xml:space="preserve">HbA1c</w:t>
        </w:r>
      </w:hyperlink>
      <w:r>
        <w:t xml:space="preserve">.</w:t>
      </w:r>
      <w:r>
        <w:rPr>
          <w:vertAlign w:val="superscript"/>
        </w:rPr>
        <w:t xml:space="preserve">21</w:t>
      </w:r>
      <w:r>
        <w:t xml:space="preserve"> </w:t>
      </w:r>
      <w:hyperlink w:anchor="acronyms_HbA1c">
        <w:r>
          <w:rPr>
            <w:rStyle w:val="Hyperlink"/>
          </w:rPr>
          <w:t xml:space="preserve">HbA1c</w:t>
        </w:r>
      </w:hyperlink>
      <w:r>
        <w:t xml:space="preserve"> </w:t>
      </w:r>
      <w:r>
        <w:t xml:space="preserve">has been independently associated with risk of heart failure,</w:t>
      </w:r>
      <w:r>
        <w:rPr>
          <w:vertAlign w:val="superscript"/>
        </w:rPr>
        <w:t xml:space="preserve">28</w:t>
      </w:r>
      <w:r>
        <w:t xml:space="preserve"> </w:t>
      </w:r>
      <w:r>
        <w:t xml:space="preserve">however it does not capture the short-term glucose fluctuations, which may be associated with the progression of vascular complications in diabetes.</w:t>
      </w:r>
      <w:r>
        <w:rPr>
          <w:vertAlign w:val="superscript"/>
        </w:rPr>
        <w:t xml:space="preserve">29</w:t>
      </w:r>
    </w:p>
    <w:bookmarkEnd w:id="65"/>
    <w:bookmarkStart w:id="66" w:name="association-vs-prediction"/>
    <w:p>
      <w:pPr>
        <w:pStyle w:val="Heading2"/>
      </w:pPr>
      <w:r>
        <w:t xml:space="preserve">1.6 Association vs Prediction</w:t>
      </w:r>
    </w:p>
    <w:p>
      <w:pPr>
        <w:pStyle w:val="FirstParagraph"/>
      </w:pPr>
      <w:r>
        <w:t xml:space="preserve">Association and prediction are distinct analytical objectives, although the terms are sometimes used interchangeably in the medical literature. However the distinction is necessary because associations do not necessarily imply predictive utility.</w:t>
      </w:r>
      <w:r>
        <w:rPr>
          <w:vertAlign w:val="superscript"/>
        </w:rPr>
        <w:t xml:space="preserve">30</w:t>
      </w:r>
      <w:r>
        <w:t xml:space="preserve"> </w:t>
      </w:r>
      <w:r>
        <w:t xml:space="preserve">Association studies aim to identify relationships between variables and an outcome at group level, whereas prediction models are developed to estimate future outcomes for individual patients.</w:t>
      </w:r>
      <w:r>
        <w:rPr>
          <w:vertAlign w:val="superscript"/>
        </w:rPr>
        <w:t xml:space="preserve">30</w:t>
      </w:r>
    </w:p>
    <w:p>
      <w:pPr>
        <w:pStyle w:val="BodyText"/>
      </w:pPr>
      <w:r>
        <w:t xml:space="preserve">Traditional statistical association modelling is often used to test hypotheses regarding associations between exposures,</w:t>
      </w:r>
      <w:r>
        <w:t xml:space="preserve"> </w:t>
      </w:r>
      <m:oMath>
        <m:r>
          <m:t>X</m:t>
        </m:r>
      </m:oMath>
      <w:r>
        <w:t xml:space="preserve"> </w:t>
      </w:r>
      <w:r>
        <w:t xml:space="preserve">and outcomes,</w:t>
      </w:r>
      <w:r>
        <w:t xml:space="preserve"> </w:t>
      </w:r>
      <m:oMath>
        <m:r>
          <m:t>Y</m:t>
        </m:r>
      </m:oMath>
      <w:r>
        <w:t xml:space="preserve">.</w:t>
      </w:r>
      <w:r>
        <w:rPr>
          <w:vertAlign w:val="superscript"/>
        </w:rPr>
        <w:t xml:space="preserve">31</w:t>
      </w:r>
      <w:r>
        <w:t xml:space="preserve"> </w:t>
      </w:r>
      <w:r>
        <w:t xml:space="preserve">Regression models applied to observational data are commonly used to evaluate hypotheses derived from prior knowledge, where the choice of exposures is guided by existing theory.</w:t>
      </w:r>
      <w:r>
        <w:rPr>
          <w:vertAlign w:val="superscript"/>
        </w:rPr>
        <w:t xml:space="preserve">31</w:t>
      </w:r>
      <w:r>
        <w:t xml:space="preserve"> </w:t>
      </w:r>
      <w:r>
        <w:t xml:space="preserve">These approaches are based on the premise that the chosen statistical model adequately represents the underlying data-generating mechanism, allowing conclusions to be drawn from the estimated model parameters.</w:t>
      </w:r>
      <w:r>
        <w:rPr>
          <w:vertAlign w:val="superscript"/>
        </w:rPr>
        <w:t xml:space="preserve">32</w:t>
      </w:r>
      <w:r>
        <w:t xml:space="preserve"> </w:t>
      </w:r>
      <w:r>
        <w:t xml:space="preserve">Results from association studies are typically summarized using estimated effect measures, such as regression coefficients, odds ratios, hazard ratios, or risk ratios, together with confidence intervals and significance tests.</w:t>
      </w:r>
      <w:r>
        <w:rPr>
          <w:vertAlign w:val="superscript"/>
        </w:rPr>
        <w:t xml:space="preserve">30</w:t>
      </w:r>
    </w:p>
    <w:p>
      <w:pPr>
        <w:pStyle w:val="BodyText"/>
      </w:pPr>
      <w:r>
        <w:t xml:space="preserve">In contrast, prediction modelling applies statistical models to predict future outcomes,</w:t>
      </w:r>
      <w:r>
        <w:t xml:space="preserve"> </w:t>
      </w:r>
      <m:oMath>
        <m:r>
          <m:t>Y</m:t>
        </m:r>
      </m:oMath>
      <w:r>
        <w:t xml:space="preserve"> </w:t>
      </w:r>
      <w:r>
        <w:t xml:space="preserve">based on a set of predictors,</w:t>
      </w:r>
      <w:r>
        <w:t xml:space="preserve"> </w:t>
      </w:r>
      <m:oMath>
        <m:r>
          <m:t>X</m:t>
        </m:r>
      </m:oMath>
      <w:r>
        <w:t xml:space="preserve">.</w:t>
      </w:r>
      <w:r>
        <w:rPr>
          <w:vertAlign w:val="superscript"/>
        </w:rPr>
        <w:t xml:space="preserve">32</w:t>
      </w:r>
      <w:r>
        <w:t xml:space="preserve"> </w:t>
      </w:r>
      <w:r>
        <w:t xml:space="preserve">Prediction models may be implemented using a wide range of approaches, including regression models, decision trees, and machine learning algorithms.</w:t>
      </w:r>
      <w:r>
        <w:rPr>
          <w:vertAlign w:val="superscript"/>
        </w:rPr>
        <w:t xml:space="preserve">31,32</w:t>
      </w:r>
      <w:r>
        <w:t xml:space="preserve"> </w:t>
      </w:r>
      <w:r>
        <w:t xml:space="preserve">The prediction models are fitted to data (the predictors) and the predicted output,</w:t>
      </w:r>
      <w:r>
        <w:t xml:space="preserve"> </w:t>
      </w:r>
      <m:oMath>
        <m:r>
          <m:t>Y</m:t>
        </m:r>
        <m:r>
          <m:rPr>
            <m:sty m:val="p"/>
          </m:rPr>
          <m:t>´</m:t>
        </m:r>
      </m:oMath>
      <w:r>
        <w:t xml:space="preserve"> </w:t>
      </w:r>
      <w:r>
        <w:t xml:space="preserve">is evaluated based on the outcome,</w:t>
      </w:r>
      <w:r>
        <w:t xml:space="preserve"> </w:t>
      </w:r>
      <m:oMath>
        <m:r>
          <m:t>Y</m:t>
        </m:r>
      </m:oMath>
      <w:r>
        <w:t xml:space="preserve">.</w:t>
      </w:r>
      <w:r>
        <w:rPr>
          <w:vertAlign w:val="superscript"/>
        </w:rPr>
        <w:t xml:space="preserve">32</w:t>
      </w:r>
      <w:r>
        <w:t xml:space="preserve"> </w:t>
      </w:r>
      <w:r>
        <w:t xml:space="preserve">Evaluation metrics on prediction studies often include classification metrics such as</w:t>
      </w:r>
      <w:r>
        <w:t xml:space="preserve"> </w:t>
      </w:r>
      <w:hyperlink w:anchor="acronyms_AUROC">
        <w:r>
          <w:rPr>
            <w:rStyle w:val="Hyperlink"/>
          </w:rPr>
          <w:t xml:space="preserve">area under the receiver operating characteristic curve (AUROC)</w:t>
        </w:r>
      </w:hyperlink>
      <w:r>
        <w:t xml:space="preserve">, sensitivity, specificity and calibration plots for binary outcomes</w:t>
      </w:r>
      <w:r>
        <w:rPr>
          <w:vertAlign w:val="superscript"/>
        </w:rPr>
        <w:t xml:space="preserve">33</w:t>
      </w:r>
      <w:r>
        <w:t xml:space="preserve"> </w:t>
      </w:r>
      <w:r>
        <w:t xml:space="preserve">and</w:t>
      </w:r>
      <w:r>
        <w:t xml:space="preserve"> </w:t>
      </w:r>
      <w:hyperlink w:anchor="acronyms_RMSE">
        <w:r>
          <w:rPr>
            <w:rStyle w:val="Hyperlink"/>
          </w:rPr>
          <w:t xml:space="preserve">root mean square error (RMSE)</w:t>
        </w:r>
      </w:hyperlink>
      <w:r>
        <w:t xml:space="preserve">, for continuous outcomes.</w:t>
      </w:r>
      <w:r>
        <w:rPr>
          <w:vertAlign w:val="superscript"/>
        </w:rPr>
        <w:t xml:space="preserve">34</w:t>
      </w:r>
    </w:p>
    <w:bookmarkEnd w:id="66"/>
    <w:bookmarkStart w:id="71" w:name="machine-learning"/>
    <w:p>
      <w:pPr>
        <w:pStyle w:val="Heading2"/>
      </w:pPr>
      <w:r>
        <w:t xml:space="preserve">1.7 Machine Learning</w:t>
      </w:r>
    </w:p>
    <w:p>
      <w:pPr>
        <w:pStyle w:val="FirstParagraph"/>
      </w:pPr>
      <w:r>
        <w:t xml:space="preserve">The widespread adoption of</w:t>
      </w:r>
      <w:r>
        <w:t xml:space="preserve"> </w:t>
      </w:r>
      <w:hyperlink w:anchor="acronyms_CGM">
        <w:r>
          <w:rPr>
            <w:rStyle w:val="Hyperlink"/>
          </w:rPr>
          <w:t xml:space="preserve">CGM</w:t>
        </w:r>
      </w:hyperlink>
      <w:r>
        <w:t xml:space="preserve"> </w:t>
      </w:r>
      <w:r>
        <w:t xml:space="preserve">has generated large volumes of glucose data, enabling the application of machine learning methods in diabetes care.</w:t>
      </w:r>
      <w:r>
        <w:rPr>
          <w:vertAlign w:val="superscript"/>
        </w:rPr>
        <w:t xml:space="preserve">15,35</w:t>
      </w:r>
      <w:r>
        <w:t xml:space="preserve"> </w:t>
      </w:r>
      <w:r>
        <w:t xml:space="preserve">Machine learning is often associated with complex algorithms that are hard to interpret, however many machine learning methods are closely related to familiar statistical approaches.</w:t>
      </w:r>
      <w:r>
        <w:rPr>
          <w:vertAlign w:val="superscript"/>
        </w:rPr>
        <w:t xml:space="preserve">36</w:t>
      </w:r>
      <w:r>
        <w:t xml:space="preserve"> </w:t>
      </w:r>
      <w:r>
        <w:t xml:space="preserve">Similarly, linear regression can be applied in a data-driven modelling framework and are among the most interpretable machine learning methods.</w:t>
      </w:r>
      <w:r>
        <w:rPr>
          <w:vertAlign w:val="superscript"/>
        </w:rPr>
        <w:t xml:space="preserve">36</w:t>
      </w:r>
      <w:r>
        <w:t xml:space="preserve"> </w:t>
      </w:r>
      <w:r>
        <w:t xml:space="preserve">Machine learning models can in general be divided into supervised and unsupervised machine learning.</w:t>
      </w:r>
      <w:r>
        <w:rPr>
          <w:vertAlign w:val="superscript"/>
        </w:rPr>
        <w:t xml:space="preserve">36</w:t>
      </w:r>
      <w:r>
        <w:t xml:space="preserve"> </w:t>
      </w:r>
      <w:r>
        <w:t xml:space="preserve">Supervised machine learning uses labelled data where each sample (e.g., age and sex from one individual) has a label or an outcome (e.g., elevated</w:t>
      </w:r>
      <w:r>
        <w:t xml:space="preserve"> </w:t>
      </w:r>
      <w:hyperlink w:anchor="acronyms_NT_proBNP">
        <w:r>
          <w:rPr>
            <w:rStyle w:val="Hyperlink"/>
          </w:rPr>
          <w:t xml:space="preserve">NT-proBNP</w:t>
        </w:r>
      </w:hyperlink>
      <w:r>
        <w:t xml:space="preserve">) to predict new outcomes for previously unseen data. Unsupervised machine learning on the other hand uses data without labels to explore underlying structures or clusters in data.</w:t>
      </w:r>
      <w:r>
        <w:rPr>
          <w:vertAlign w:val="superscript"/>
        </w:rPr>
        <w:t xml:space="preserve">36</w:t>
      </w:r>
    </w:p>
    <w:p>
      <w:pPr>
        <w:pStyle w:val="BodyText"/>
      </w:pPr>
      <w:r>
        <w:t xml:space="preserve">Among supervised learning methods, deep neural networks are particularly notable because they can automatically extract information directly from raw data for tasks such as prediction or classification, reducing the need for manual feature engineering such as calculating CGM-derived metrics by hand.</w:t>
      </w:r>
      <w:r>
        <w:rPr>
          <w:vertAlign w:val="superscript"/>
        </w:rPr>
        <w:t xml:space="preserve">15,37</w:t>
      </w:r>
      <w:r>
        <w:t xml:space="preserve"> </w:t>
      </w:r>
      <w:r>
        <w:t xml:space="preserve">Consequently, deep neural networks offer an alternative to relying on predefined</w:t>
      </w:r>
      <w:r>
        <w:t xml:space="preserve"> </w:t>
      </w:r>
      <w:hyperlink w:anchor="acronyms_CGM">
        <w:r>
          <w:rPr>
            <w:rStyle w:val="Hyperlink"/>
          </w:rPr>
          <w:t xml:space="preserve">CGM</w:t>
        </w:r>
      </w:hyperlink>
      <w:r>
        <w:t xml:space="preserve">-derived metrics.</w:t>
      </w:r>
      <w:r>
        <w:t xml:space="preserve"> </w:t>
      </w:r>
      <w:r>
        <w:t xml:space="preserve">Since</w:t>
      </w:r>
      <w:r>
        <w:t xml:space="preserve"> </w:t>
      </w:r>
      <w:hyperlink w:anchor="acronyms_CGM">
        <w:r>
          <w:rPr>
            <w:rStyle w:val="Hyperlink"/>
          </w:rPr>
          <w:t xml:space="preserve">CGM</w:t>
        </w:r>
      </w:hyperlink>
      <w:r>
        <w:t xml:space="preserve"> </w:t>
      </w:r>
      <w:r>
        <w:t xml:space="preserve">data are collected continuously over time, methods that can account for temporal dependencies are particularly relevant. A</w:t>
      </w:r>
      <w:r>
        <w:t xml:space="preserve"> </w:t>
      </w:r>
      <w:hyperlink w:anchor="acronyms_LSTM">
        <w:r>
          <w:rPr>
            <w:rStyle w:val="Hyperlink"/>
          </w:rPr>
          <w:t xml:space="preserve">long short-term memory model (LSTM)</w:t>
        </w:r>
      </w:hyperlink>
      <w:r>
        <w:t xml:space="preserve"> </w:t>
      </w:r>
      <w:r>
        <w:t xml:space="preserve">is a type of recurrent neural network, which have been designed for time-series data and used for glucose prediction tasks as illustrated in</w:t>
      </w:r>
      <w:r>
        <w:t xml:space="preserve"> </w:t>
      </w:r>
      <w:hyperlink w:anchor="fig-lstm">
        <w:r>
          <w:rPr>
            <w:rStyle w:val="Hyperlink"/>
          </w:rPr>
          <w:t xml:space="preserve">Figure 1.2</w:t>
        </w:r>
      </w:hyperlink>
      <w:r>
        <w:t xml:space="preserve">.</w:t>
      </w:r>
      <w:r>
        <w:rPr>
          <w:vertAlign w:val="superscript"/>
        </w:rPr>
        <w:t xml:space="preserve">15,36,38</w:t>
      </w:r>
      <w:r>
        <w:t xml:space="preserve"> </w:t>
      </w:r>
      <w:r>
        <w:t xml:space="preserve">These models can use previous glucose values to inform predictions of future glucose levels, making them suitable for short-term forecasting.</w:t>
      </w:r>
    </w:p>
    <w:tbl>
      <w:tblPr>
        <w:tblStyle w:val="Table"/>
        <w:tblW w:type="pct" w:w="5000"/>
        <w:tblLayout w:type="fixed"/>
        <w:tblLook w:firstRow="0" w:lastRow="0" w:firstColumn="0" w:lastColumn="0" w:noHBand="0" w:noVBand="0" w:val="0000"/>
      </w:tblPr>
      <w:tblGrid>
        <w:gridCol w:w="7920"/>
      </w:tblGrid>
      <w:tr>
        <w:tc>
          <w:tcPr/>
          <w:bookmarkStart w:id="70" w:name="fig-lstm"/>
          <w:p>
            <w:pPr>
              <w:pStyle w:val="Compact"/>
              <w:jc w:val="center"/>
            </w:pPr>
            <w:r>
              <w:drawing>
                <wp:inline>
                  <wp:extent cx="4267200" cy="2403073"/>
                  <wp:effectExtent b="0" l="0" r="0" t="0"/>
                  <wp:docPr descr="" title="" id="68" name="Picture"/>
                  <a:graphic>
                    <a:graphicData uri="http://schemas.openxmlformats.org/drawingml/2006/picture">
                      <pic:pic>
                        <pic:nvPicPr>
                          <pic:cNvPr descr="figures/1_intro_fig/intro_rnn.png" id="69" name="Picture"/>
                          <pic:cNvPicPr>
                            <a:picLocks noChangeArrowheads="1" noChangeAspect="1"/>
                          </pic:cNvPicPr>
                        </pic:nvPicPr>
                        <pic:blipFill>
                          <a:blip r:embed="rId67"/>
                          <a:stretch>
                            <a:fillRect/>
                          </a:stretch>
                        </pic:blipFill>
                        <pic:spPr bwMode="auto">
                          <a:xfrm>
                            <a:off x="0" y="0"/>
                            <a:ext cx="4267200" cy="2403073"/>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Schematic illustration of a recurrent neural network for prediction. Previous values are processed sequentially, allowing information from earlier time points (X) to be retained and updated over time. The learned temporal representation is then used to predict a future outcome (Y’).</w:t>
            </w:r>
            <w:r>
              <w:t xml:space="preserve"> </w:t>
            </w:r>
            <w:r>
              <w:t xml:space="preserve">Figure created by the author. The visual design was inspired by explanatory videos by StatQuest with Josh Starmer.</w:t>
            </w:r>
            <w:r>
              <w:rPr>
                <w:vertAlign w:val="superscript"/>
              </w:rPr>
              <w:t xml:space="preserve">39</w:t>
            </w:r>
          </w:p>
          <w:bookmarkEnd w:id="70"/>
        </w:tc>
      </w:tr>
    </w:tbl>
    <w:bookmarkEnd w:id="71"/>
    <w:bookmarkStart w:id="76" w:name="foundation-models-and-transfer-learning"/>
    <w:p>
      <w:pPr>
        <w:pStyle w:val="Heading2"/>
      </w:pPr>
      <w:r>
        <w:t xml:space="preserve">1.8 Foundation Models and Transfer Learning</w:t>
      </w:r>
    </w:p>
    <w:p>
      <w:pPr>
        <w:pStyle w:val="FirstParagraph"/>
      </w:pPr>
      <w:r>
        <w:t xml:space="preserve">In recent years, machine learning models have grown substantially in scale, complexity, and applicability. This development has led to the emergence of foundation models, which are defined as</w:t>
      </w:r>
      <w:r>
        <w:t xml:space="preserve"> </w:t>
      </w:r>
      <w:r>
        <w:rPr>
          <w:i/>
          <w:iCs/>
        </w:rPr>
        <w:t xml:space="preserve">“any model that is trained on broad data (generally using self-supervision at scale) that can be adapted (e.g., fine-tuned) to a wide range of downstream tasks”</w:t>
      </w:r>
      <w:r>
        <w:t xml:space="preserve">.</w:t>
      </w:r>
      <w:r>
        <w:rPr>
          <w:vertAlign w:val="superscript"/>
        </w:rPr>
        <w:t xml:space="preserve">40</w:t>
      </w:r>
      <w:r>
        <w:t xml:space="preserve"> </w:t>
      </w:r>
      <w:r>
        <w:t xml:space="preserve">Two</w:t>
      </w:r>
      <w:r>
        <w:t xml:space="preserve"> </w:t>
      </w:r>
      <w:hyperlink w:anchor="acronyms_CGM">
        <w:r>
          <w:rPr>
            <w:rStyle w:val="Hyperlink"/>
          </w:rPr>
          <w:t xml:space="preserve">CGM</w:t>
        </w:r>
      </w:hyperlink>
      <w:r>
        <w:t xml:space="preserve"> </w:t>
      </w:r>
      <w:r>
        <w:t xml:space="preserve">specialized foundation models exist in the literature which both uses self-supervised machine learning.</w:t>
      </w:r>
      <w:r>
        <w:rPr>
          <w:vertAlign w:val="superscript"/>
        </w:rPr>
        <w:t xml:space="preserve">41,42</w:t>
      </w:r>
      <w:r>
        <w:t xml:space="preserve"> </w:t>
      </w:r>
      <w:r>
        <w:t xml:space="preserve">Self-supervised machine learning is a technique used to train models on unlabelled data through different techniques, one of them including masked learning (e.g., predicting manually masked words in text or values in time-series signals).</w:t>
      </w:r>
      <w:r>
        <w:rPr>
          <w:vertAlign w:val="superscript"/>
        </w:rPr>
        <w:t xml:space="preserve">40–42</w:t>
      </w:r>
      <w:r>
        <w:t xml:space="preserve"> </w:t>
      </w:r>
      <w:r>
        <w:t xml:space="preserve">A foundation model is first pretrained on a general task, such as predicting masked values in CGM data, allowing it to learn representations of glucose dynamics. These representations can subsequently be adapted to a downstream task, such as predicting cardiovascular outcomes, through transfer learning.</w:t>
      </w:r>
      <w:r>
        <w:rPr>
          <w:vertAlign w:val="superscript"/>
        </w:rPr>
        <w:t xml:space="preserve">40,42</w:t>
      </w:r>
      <w:r>
        <w:t xml:space="preserve"> </w:t>
      </w:r>
      <w:r>
        <w:t xml:space="preserve">A foundation model can be conceptualized as comprising a pretrained backbone and a task-specific head (</w:t>
      </w:r>
      <w:hyperlink w:anchor="fig-tl">
        <w:r>
          <w:rPr>
            <w:rStyle w:val="Hyperlink"/>
          </w:rPr>
          <w:t xml:space="preserve">Figure 1.3</w:t>
        </w:r>
      </w:hyperlink>
      <w:r>
        <w:t xml:space="preserve">).</w:t>
      </w:r>
      <w:r>
        <w:rPr>
          <w:vertAlign w:val="superscript"/>
        </w:rPr>
        <w:t xml:space="preserve">43</w:t>
      </w:r>
      <w:r>
        <w:t xml:space="preserve"> </w:t>
      </w:r>
      <w:r>
        <w:t xml:space="preserve">The backbone extracts representations from the input data, whereas the head uses the representations to perform the downstream task. Transfer-learning strategies differ primarily in how the pretrained backbone is used. It may remain fixed and serve as a feature extractor, with only a downstream model or task-specific head being trained, or some or all of the model may be updated through fine-tuning.</w:t>
      </w:r>
      <w:r>
        <w:rPr>
          <w:vertAlign w:val="superscript"/>
        </w:rPr>
        <w:t xml:space="preserve">43,44</w:t>
      </w:r>
      <w:r>
        <w:t xml:space="preserve"> </w:t>
      </w:r>
      <w:r>
        <w:t xml:space="preserve">The choice of strategy depends partly on the similarity between the pretraining and downstream tasks.</w:t>
      </w:r>
      <w:r>
        <w:rPr>
          <w:vertAlign w:val="superscript"/>
        </w:rPr>
        <w:t xml:space="preserve">44</w:t>
      </w:r>
      <w:r>
        <w:t xml:space="preserve"> </w:t>
      </w:r>
      <w:r>
        <w:t xml:space="preserve">Transfer learning addresses the need for large amounts of data in deep neural networks by reusing knowledge learned from large datasets and applying it to related tasks with limited labelled data.</w:t>
      </w:r>
      <w:r>
        <w:t xml:space="preserve"> </w:t>
      </w:r>
      <w:r>
        <w:t xml:space="preserve">This is particularly relevant in clinical risk prediction, where labelled data are often scarce, especially for minority populations.</w:t>
      </w:r>
      <w:r>
        <w:rPr>
          <w:vertAlign w:val="superscript"/>
        </w:rPr>
        <w:t xml:space="preserve">43,45,46</w:t>
      </w:r>
    </w:p>
    <w:tbl>
      <w:tblPr>
        <w:tblStyle w:val="Table"/>
        <w:tblW w:type="pct" w:w="5000"/>
        <w:tblLayout w:type="fixed"/>
        <w:tblLook w:firstRow="0" w:lastRow="0" w:firstColumn="0" w:lastColumn="0" w:noHBand="0" w:noVBand="0" w:val="0000"/>
      </w:tblPr>
      <w:tblGrid>
        <w:gridCol w:w="7920"/>
      </w:tblGrid>
      <w:tr>
        <w:tc>
          <w:tcPr/>
          <w:bookmarkStart w:id="75" w:name="fig-tl"/>
          <w:p>
            <w:pPr>
              <w:pStyle w:val="Compact"/>
              <w:jc w:val="center"/>
            </w:pPr>
            <w:r>
              <w:drawing>
                <wp:inline>
                  <wp:extent cx="5334000" cy="1619183"/>
                  <wp:effectExtent b="0" l="0" r="0" t="0"/>
                  <wp:docPr descr="" title="" id="73" name="Picture"/>
                  <a:graphic>
                    <a:graphicData uri="http://schemas.openxmlformats.org/drawingml/2006/picture">
                      <pic:pic>
                        <pic:nvPicPr>
                          <pic:cNvPr descr="figures/1_intro_fig/intro_tl.png" id="74" name="Picture"/>
                          <pic:cNvPicPr>
                            <a:picLocks noChangeArrowheads="1" noChangeAspect="1"/>
                          </pic:cNvPicPr>
                        </pic:nvPicPr>
                        <pic:blipFill>
                          <a:blip r:embed="rId72"/>
                          <a:stretch>
                            <a:fillRect/>
                          </a:stretch>
                        </pic:blipFill>
                        <pic:spPr bwMode="auto">
                          <a:xfrm>
                            <a:off x="0" y="0"/>
                            <a:ext cx="5334000" cy="1619183"/>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Overview of transfer learning strategies. Inspired by Deng et al.</w:t>
            </w:r>
            <w:r>
              <w:rPr>
                <w:vertAlign w:val="superscript"/>
              </w:rPr>
              <w:t xml:space="preserve">43</w:t>
            </w:r>
            <w:r>
              <w:t xml:space="preserve"> </w:t>
            </w:r>
            <w:r>
              <w:t xml:space="preserve">under the Creative Commons Attribution 4.0 International (CC BY 4.0) licence.</w:t>
            </w:r>
          </w:p>
          <w:bookmarkEnd w:id="75"/>
        </w:tc>
      </w:tr>
    </w:tbl>
    <w:bookmarkEnd w:id="76"/>
    <w:bookmarkStart w:id="77" w:name="X89480801d10c867721974b95ed842604b91d7a3"/>
    <w:p>
      <w:pPr>
        <w:pStyle w:val="Heading2"/>
      </w:pPr>
      <w:r>
        <w:t xml:space="preserve">1.9 Health Disparities and Bias in Machine Learning</w:t>
      </w:r>
    </w:p>
    <w:p>
      <w:pPr>
        <w:pStyle w:val="FirstParagraph"/>
      </w:pPr>
      <w:r>
        <w:t xml:space="preserve">Fairness is being integrated more and more into reporting guidelines for clinical prediction models, because unequal model performance across population strata defined by sensitive attributes, such as race, sex, and socioeconomic status, may contribute to or reinforce societal inequalities.</w:t>
      </w:r>
      <w:r>
        <w:rPr>
          <w:vertAlign w:val="superscript"/>
        </w:rPr>
        <w:t xml:space="preserve">47,48</w:t>
      </w:r>
      <w:r>
        <w:t xml:space="preserve"> </w:t>
      </w:r>
      <w:r>
        <w:t xml:space="preserve">In clinical prediction modelling, fairness implies that models should perform accurately, equitably, and reliably across diverse populations. This requires transparent model development, evaluation, and monitoring, so that potential disparities can be identified and addressed.</w:t>
      </w:r>
      <w:r>
        <w:rPr>
          <w:vertAlign w:val="superscript"/>
        </w:rPr>
        <w:t xml:space="preserve">47</w:t>
      </w:r>
      <w:r>
        <w:t xml:space="preserve"> </w:t>
      </w:r>
      <w:r>
        <w:t xml:space="preserve">There is however still a lack of reporting on race and ethnicity in trials even though diabetes affects individuals across all racial and ethnic groups and differences have been reported in glycemic response, glycemic control, insulin resistance and the burden of diabetes-related complications between populations.</w:t>
      </w:r>
      <w:r>
        <w:rPr>
          <w:vertAlign w:val="superscript"/>
        </w:rPr>
        <w:t xml:space="preserve">54</w:t>
      </w:r>
      <w:r>
        <w:t xml:space="preserve"> </w:t>
      </w:r>
      <w:r>
        <w:t xml:space="preserve">A study by Turner et al.</w:t>
      </w:r>
      <w:r>
        <w:rPr>
          <w:vertAlign w:val="superscript"/>
        </w:rPr>
        <w:t xml:space="preserve">49</w:t>
      </w:r>
      <w:r>
        <w:t xml:space="preserve"> </w:t>
      </w:r>
      <w:r>
        <w:t xml:space="preserve">showed that among 20,692 US-based clinical trials, only 43% reported participants’ race or ethnicity. Although the reporting of race and ethnicity increased between 2010 and 2020, racial and ethnic minority groups remained underrepresented relative to their proportions in the US population.</w:t>
      </w:r>
      <w:r>
        <w:rPr>
          <w:vertAlign w:val="superscript"/>
        </w:rPr>
        <w:t xml:space="preserve">49</w:t>
      </w:r>
      <w:r>
        <w:t xml:space="preserve"> </w:t>
      </w:r>
      <w:r>
        <w:t xml:space="preserve">Furthermore, this lack of information is not only present in clinical trials but also in reportings of FDA-approved AI medical devices.</w:t>
      </w:r>
      <w:r>
        <w:rPr>
          <w:vertAlign w:val="superscript"/>
        </w:rPr>
        <w:t xml:space="preserve">46,49</w:t>
      </w:r>
      <w:r>
        <w:t xml:space="preserve"> </w:t>
      </w:r>
      <w:r>
        <w:t xml:space="preserve">A study by Muralidharan et al.</w:t>
      </w:r>
      <w:r>
        <w:rPr>
          <w:vertAlign w:val="superscript"/>
        </w:rPr>
        <w:t xml:space="preserve">46</w:t>
      </w:r>
      <w:r>
        <w:t xml:space="preserve"> </w:t>
      </w:r>
      <w:r>
        <w:t xml:space="preserve">found that only 3.6% of the FDA approval documents (Summary of Safety and Effectiveness Data Documents) provided information on race and/or ethnicity of the intended or testet users.</w:t>
      </w:r>
      <w:r>
        <w:rPr>
          <w:vertAlign w:val="superscript"/>
        </w:rPr>
        <w:t xml:space="preserve">46</w:t>
      </w:r>
      <w:r>
        <w:t xml:space="preserve"> </w:t>
      </w:r>
      <w:r>
        <w:t xml:space="preserve">Lack of ethnic and racial information in datasets problematic in data-driven models such as machine learning models since they reflect the populations represented in their training data and when minority groups are underrepresented, the resulting models may not generalize equally well to all patients.</w:t>
      </w:r>
      <w:r>
        <w:rPr>
          <w:vertAlign w:val="superscript"/>
        </w:rPr>
        <w:t xml:space="preserve">46,55</w:t>
      </w:r>
      <w:r>
        <w:t xml:space="preserve"> </w:t>
      </w:r>
      <w:r>
        <w:t xml:space="preserve">Consequently, models developed predominantly using one population may not achieve comparable predictive performance in others and potentially reinforcing existing healthcare disparities.</w:t>
      </w:r>
      <w:r>
        <w:rPr>
          <w:vertAlign w:val="superscript"/>
        </w:rPr>
        <w:t xml:space="preserve">55</w:t>
      </w:r>
      <w:r>
        <w:t xml:space="preserve"> </w:t>
      </w:r>
      <w:r>
        <w:t xml:space="preserve">For example, risk prediction models have been shown to underestimate the risk of T2D among non-Hispanic Black individuals,</w:t>
      </w:r>
      <w:r>
        <w:rPr>
          <w:vertAlign w:val="superscript"/>
        </w:rPr>
        <w:t xml:space="preserve">55</w:t>
      </w:r>
      <w:r>
        <w:t xml:space="preserve"> </w:t>
      </w:r>
      <w:r>
        <w:t xml:space="preserve">and algorithmic bias has been demonstrated to substantially influence the allocation of healthcare resources.</w:t>
      </w:r>
      <w:r>
        <w:rPr>
          <w:vertAlign w:val="superscript"/>
        </w:rPr>
        <w:t xml:space="preserve">56</w:t>
      </w:r>
      <w:r>
        <w:t xml:space="preserve"> </w:t>
      </w:r>
      <w:r>
        <w:t xml:space="preserve">Developing equitable prediction models therefore requires both representative data and careful evaluation of model performance across demographic groups. Transfer learning becomes particularly relevant in such cases where labelled data are often scarce, especially for minority populations.</w:t>
      </w:r>
      <w:r>
        <w:rPr>
          <w:vertAlign w:val="superscript"/>
        </w:rPr>
        <w:t xml:space="preserve">43,45,46,49</w:t>
      </w:r>
    </w:p>
    <w:bookmarkEnd w:id="77"/>
    <w:bookmarkEnd w:id="78"/>
    <w:bookmarkStart w:id="81" w:name="sec-aim"/>
    <w:p>
      <w:pPr>
        <w:pStyle w:val="Heading1"/>
      </w:pPr>
      <w:r>
        <w:t xml:space="preserve">2. Aims</w:t>
      </w:r>
    </w:p>
    <w:p>
      <w:pPr>
        <w:pStyle w:val="FirstParagraph"/>
      </w:pPr>
      <w:r>
        <w:t xml:space="preserve">Continuous glucose monitoring (CGM) provides detailed information on glucose patterns that is not captured by HbA1c alone and may contribute to cardiovascular risk assessment. Machine learning offers opportunities to extract additional information directly from CGM time-series, but the predictive value and generalizability of these approaches remain uncertain. Moreover, models may perform differently across populations if demographic groups are inadequately represented in the training data. Evaluating the clinical potential of CGM data therefore requires consideration of predictive value, generalizability, and fairness. These knowledge gaps formed the basis for the aims of this dissertation.</w:t>
      </w:r>
    </w:p>
    <w:bookmarkStart w:id="79" w:name="overall-aim"/>
    <w:p>
      <w:pPr>
        <w:pStyle w:val="Heading2"/>
      </w:pPr>
      <w:r>
        <w:t xml:space="preserve">2.1 Overall Aim</w:t>
      </w:r>
    </w:p>
    <w:p>
      <w:pPr>
        <w:pStyle w:val="FirstParagraph"/>
      </w:pPr>
      <w:r>
        <w:t xml:space="preserve">The overall aim of this PhD dissertation was to investigate the potential of continuous glucose monitoring (CGM) data to improve cardiovascular risk assessment and to evaluate the role of machine learning in extracting clinically relevant information from CGM data across different diabetes populations, including the evaluation of racial disparities in model performance.</w:t>
      </w:r>
    </w:p>
    <w:bookmarkEnd w:id="79"/>
    <w:bookmarkStart w:id="80" w:name="specific-aims"/>
    <w:p>
      <w:pPr>
        <w:pStyle w:val="Heading2"/>
      </w:pPr>
      <w:r>
        <w:t xml:space="preserve">2.2 Specific Aims</w:t>
      </w:r>
    </w:p>
    <w:p>
      <w:pPr>
        <w:pStyle w:val="FirstParagraph"/>
      </w:pPr>
      <w:r>
        <w:rPr>
          <w:b/>
          <w:bCs/>
        </w:rPr>
        <w:t xml:space="preserve">Aim 1:</w:t>
      </w:r>
      <w:r>
        <w:t xml:space="preserve"> </w:t>
      </w:r>
      <w:r>
        <w:t xml:space="preserve">To identify and summarize the existing literature on associations between glycemic control and cardiovascular outcomes, and the use of CGM-derived metrics for cardiovascular risk prediction.</w:t>
      </w:r>
      <w:r>
        <w:t xml:space="preserve"> </w:t>
      </w:r>
      <w:r>
        <w:rPr>
          <w:i/>
          <w:iCs/>
        </w:rPr>
        <w:t xml:space="preserve">(Study I)</w:t>
      </w:r>
    </w:p>
    <w:p>
      <w:pPr>
        <w:pStyle w:val="BodyText"/>
      </w:pPr>
      <w:r>
        <w:rPr>
          <w:b/>
          <w:bCs/>
        </w:rPr>
        <w:t xml:space="preserve">Aim 2:</w:t>
      </w:r>
      <w:r>
        <w:t xml:space="preserve"> </w:t>
      </w:r>
      <w:r>
        <w:t xml:space="preserve">To determine whether a CGM foundation model learns meaningful glucose representations in individuals with type 1 and type 2 diabetes.</w:t>
      </w:r>
      <w:r>
        <w:t xml:space="preserve"> </w:t>
      </w:r>
      <w:r>
        <w:rPr>
          <w:i/>
          <w:iCs/>
        </w:rPr>
        <w:t xml:space="preserve">(Study II)</w:t>
      </w:r>
    </w:p>
    <w:p>
      <w:pPr>
        <w:pStyle w:val="BodyText"/>
      </w:pPr>
      <w:r>
        <w:rPr>
          <w:b/>
          <w:bCs/>
        </w:rPr>
        <w:t xml:space="preserve">Aim 3:</w:t>
      </w:r>
      <w:r>
        <w:t xml:space="preserve"> </w:t>
      </w:r>
      <w:r>
        <w:t xml:space="preserve">To evaluate whether traditional CGM-derived metrics and learned glucose representations improve prediction of elevated NT-proBNP beyond established clinical risk factors in individuals with type 2 diabetes.</w:t>
      </w:r>
      <w:r>
        <w:t xml:space="preserve"> </w:t>
      </w:r>
      <w:r>
        <w:rPr>
          <w:i/>
          <w:iCs/>
        </w:rPr>
        <w:t xml:space="preserve">(Study II)</w:t>
      </w:r>
    </w:p>
    <w:p>
      <w:pPr>
        <w:pStyle w:val="BodyText"/>
      </w:pPr>
      <w:r>
        <w:rPr>
          <w:b/>
          <w:bCs/>
        </w:rPr>
        <w:t xml:space="preserve">Aim 4:</w:t>
      </w:r>
      <w:r>
        <w:t xml:space="preserve"> </w:t>
      </w:r>
      <w:r>
        <w:t xml:space="preserve">To evaluate the fairness of machine learning models for glucose prediction by assessing model performance across non-Hispanic Black and non-Hispanic White populations.</w:t>
      </w:r>
      <w:r>
        <w:t xml:space="preserve"> </w:t>
      </w:r>
      <w:r>
        <w:rPr>
          <w:i/>
          <w:iCs/>
        </w:rPr>
        <w:t xml:space="preserve">(Study III)</w:t>
      </w:r>
    </w:p>
    <w:bookmarkEnd w:id="80"/>
    <w:bookmarkEnd w:id="81"/>
    <w:bookmarkStart w:id="170" w:name="sec-methods"/>
    <w:p>
      <w:pPr>
        <w:pStyle w:val="Heading1"/>
      </w:pPr>
      <w:r>
        <w:t xml:space="preserve">3. Methods</w:t>
      </w:r>
    </w:p>
    <w:p>
      <w:pPr>
        <w:pStyle w:val="FirstParagraph"/>
      </w:pPr>
      <w:r>
        <w:t xml:space="preserve">In this chapter the three studies included in this PhD are presented together with a description of the datasets and methods used in the studies.</w:t>
      </w:r>
    </w:p>
    <w:bookmarkStart w:id="89" w:name="study-i-scoping-review-methodology"/>
    <w:p>
      <w:pPr>
        <w:pStyle w:val="Heading2"/>
      </w:pPr>
      <w:r>
        <w:t xml:space="preserve">3.1 Study I: Scoping Review Methodology</w:t>
      </w:r>
    </w:p>
    <w:p>
      <w:pPr>
        <w:pStyle w:val="FirstParagraph"/>
      </w:pPr>
      <w:r>
        <w:t xml:space="preserve">A scoping review was conducted to investigate current knowledge of CGM-data and its possible connection and predictive power to clinical and subclinical cardiovascular outcomes.</w:t>
      </w:r>
      <w:r>
        <w:t xml:space="preserve"> </w:t>
      </w:r>
      <w:r>
        <w:t xml:space="preserve">Given the expected heterogeneity between studies and the broad exploratory nature of the research question, a scoping review was considered the most appropriate methodology, as the aim was to map the existing evidence within this field.</w:t>
      </w:r>
      <w:r>
        <w:rPr>
          <w:vertAlign w:val="superscript"/>
        </w:rPr>
        <w:t xml:space="preserve">57</w:t>
      </w:r>
      <w:r>
        <w:t xml:space="preserve"> </w:t>
      </w:r>
      <w:r>
        <w:t xml:space="preserve">The scoping review followed the Manual for Evidence Synthesis (Chapter 10 - Scoping reviews) from the Joanna Briggs Institute (JBI) and reported according to the Preferred Reporting Items for Systematic Reviews and Meta-analyzes extension for scoping review (PRISMA-ScR) guidelines.</w:t>
      </w:r>
      <w:r>
        <w:rPr>
          <w:vertAlign w:val="superscript"/>
        </w:rPr>
        <w:t xml:space="preserve">57,58</w:t>
      </w:r>
    </w:p>
    <w:bookmarkStart w:id="82" w:name="sec-concepts"/>
    <w:p>
      <w:pPr>
        <w:pStyle w:val="Heading3"/>
      </w:pPr>
      <w:r>
        <w:t xml:space="preserve">Concepts and Definitions</w:t>
      </w:r>
    </w:p>
    <w:p>
      <w:pPr>
        <w:pStyle w:val="FirstParagraph"/>
      </w:pPr>
      <w:r>
        <w:t xml:space="preserve">The review focused exclusively on studies using CGM data as input for analyzes of associations with, or prediction of,</w:t>
      </w:r>
      <w:r>
        <w:t xml:space="preserve"> </w:t>
      </w:r>
      <w:hyperlink w:anchor="acronyms_CVD">
        <w:r>
          <w:rPr>
            <w:rStyle w:val="Hyperlink"/>
          </w:rPr>
          <w:t xml:space="preserve">CVD</w:t>
        </w:r>
      </w:hyperlink>
      <w:r>
        <w:t xml:space="preserve">.</w:t>
      </w:r>
      <w:r>
        <w:t xml:space="preserve"> </w:t>
      </w:r>
      <w:r>
        <w:t xml:space="preserve">This meant that studies only investigating self-monitored blood glucose with finger-prick measurements or blood sample measurements such as HbA1c were not considered in this review. CVD outcomes were divided into subclinical or clinical.</w:t>
      </w:r>
      <w:r>
        <w:t xml:space="preserve"> </w:t>
      </w:r>
      <w:r>
        <w:t xml:space="preserve">For the clinical CVD, the following outcomes were considered: cardiovascular mortality, major adverse cardiovascular events, coronary artery disease, heart failure, stroke, and peripheral artery disease with synonymous terms included (e.g., ischemic heart diseases) and clinical events (e.g., undergoing coronary artery bypass surgery). Subclinical CVD was grouped into six subcategories: arterial stiffness, flow resistance, arterial wall thickness, arterial wall composition, cardiac and pulse-related measures, and arterial lumen. CVD outcomes did not include broader risk factors nonspecific to cardiovascular risk (e.g., age or sex). Eligibility criterias for the scoping review</w:t>
      </w:r>
      <w:r>
        <w:rPr>
          <w:vertAlign w:val="superscript"/>
        </w:rPr>
        <w:t xml:space="preserve">59</w:t>
      </w:r>
      <w:r>
        <w:t xml:space="preserve"> </w:t>
      </w:r>
      <w:r>
        <w:t xml:space="preserve">can be found in</w:t>
      </w:r>
      <w:r>
        <w:t xml:space="preserve"> </w:t>
      </w:r>
      <w:hyperlink w:anchor="tbl-study1-eligibility-criteria">
        <w:r>
          <w:rPr>
            <w:rStyle w:val="Hyperlink"/>
          </w:rPr>
          <w:t xml:space="preserve">Table 3.1</w:t>
        </w:r>
      </w:hyperlink>
      <w:r>
        <w:t xml:space="preserve">.</w:t>
      </w:r>
    </w:p>
    <w:bookmarkEnd w:id="82"/>
    <w:bookmarkStart w:id="83" w:name="search-and-selection-of-sources"/>
    <w:p>
      <w:pPr>
        <w:pStyle w:val="Heading3"/>
      </w:pPr>
      <w:r>
        <w:t xml:space="preserve">Search and Selection of Sources</w:t>
      </w:r>
    </w:p>
    <w:p>
      <w:pPr>
        <w:pStyle w:val="FirstParagraph"/>
      </w:pPr>
      <w:r>
        <w:t xml:space="preserve">MEDLINE and Embase were searched from inception to March 11, 2025.</w:t>
      </w:r>
      <w:r>
        <w:t xml:space="preserve"> </w:t>
      </w:r>
      <w:r>
        <w:t xml:space="preserve">The two databases were selected because they are core databases for biomedical literature. The search was not extended to additional databases because of the resources available to the review team.</w:t>
      </w:r>
      <w:r>
        <w:t xml:space="preserve"> </w:t>
      </w:r>
      <w:r>
        <w:t xml:space="preserve">The search strategy was developed in collaboration with information specialists.</w:t>
      </w:r>
      <w:r>
        <w:t xml:space="preserve"> </w:t>
      </w:r>
      <w:r>
        <w:t xml:space="preserve">An exploratory search was conducted and 13 studies within the field was identified and used to test the search strategy with, by ensuring the 13 identified studies were included in the final search.</w:t>
      </w:r>
      <w:r>
        <w:rPr>
          <w:vertAlign w:val="superscript"/>
        </w:rPr>
        <w:t xml:space="preserve">38,60–71</w:t>
      </w:r>
      <w:r>
        <w:t xml:space="preserve">.</w:t>
      </w:r>
      <w:r>
        <w:t xml:space="preserve"> </w:t>
      </w:r>
      <w:r>
        <w:t xml:space="preserve">The search strategy was wished to be kept broad as it was known beforehand that the field contained inconsistent terminology and overlapping search categories (e.g.,</w:t>
      </w:r>
      <w:r>
        <w:t xml:space="preserve"> </w:t>
      </w:r>
      <w:r>
        <w:t xml:space="preserve">‘blood glucose monitoring’</w:t>
      </w:r>
      <w:r>
        <w:t xml:space="preserve"> </w:t>
      </w:r>
      <w:r>
        <w:t xml:space="preserve">and</w:t>
      </w:r>
      <w:r>
        <w:t xml:space="preserve"> </w:t>
      </w:r>
      <w:r>
        <w:t xml:space="preserve">‘glycemic control’</w:t>
      </w:r>
      <w:r>
        <w:t xml:space="preserve"> </w:t>
      </w:r>
      <w:r>
        <w:t xml:space="preserve">both encompass finger-prick measurements) in order to ensure identification of all the relevant studies in MEDLINE and Embase.</w:t>
      </w:r>
      <w:r>
        <w:t xml:space="preserve"> </w:t>
      </w:r>
      <w:r>
        <w:t xml:space="preserve">The full search strategy can be found in</w:t>
      </w:r>
      <w:r>
        <w:t xml:space="preserve"> </w:t>
      </w:r>
      <w:hyperlink w:anchor="sec-suppl-search-strings">
        <w:r>
          <w:rPr>
            <w:rStyle w:val="Hyperlink"/>
          </w:rPr>
          <w:t xml:space="preserve">Appendix A</w:t>
        </w:r>
      </w:hyperlink>
      <w:r>
        <w:t xml:space="preserve">.</w:t>
      </w:r>
    </w:p>
    <w:p>
      <w:pPr>
        <w:pStyle w:val="BodyText"/>
      </w:pPr>
      <w:r>
        <w:t xml:space="preserve">All identified records were uploaded into the software tool EPPI reviewer 6 and duplicates were removed.</w:t>
      </w:r>
      <w:r>
        <w:rPr>
          <w:vertAlign w:val="superscript"/>
        </w:rPr>
        <w:t xml:space="preserve">72</w:t>
      </w:r>
      <w:r>
        <w:t xml:space="preserve"> </w:t>
      </w:r>
      <w:r>
        <w:t xml:space="preserve">Titles and abstracts were screened by at least two independent reviewers and a meeting was held after ~5% of the titles and abstracts had been screened, to resolve disagreements and ensure consistency between reviewers. Afterwards full-text screening was performed by two independent reviewers and held up against eligibility criteria. Disagreements were resolved through discussion at physical meetings between reviewers.</w:t>
      </w:r>
    </w:p>
    <w:p>
      <w:pPr>
        <w:pStyle w:val="BodyText"/>
      </w:pPr>
      <w:r>
        <w:t xml:space="preserve">Backward and forward citation searching was performed on all the included studies after the screening process using citationchaser</w:t>
      </w:r>
      <w:r>
        <w:rPr>
          <w:vertAlign w:val="superscript"/>
        </w:rPr>
        <w:t xml:space="preserve">73</w:t>
      </w:r>
      <w:r>
        <w:t xml:space="preserve"> </w:t>
      </w:r>
      <w:r>
        <w:t xml:space="preserve">and the screening process was repeated until no further new studies were identified through citationchaser.</w:t>
      </w:r>
    </w:p>
    <w:bookmarkEnd w:id="83"/>
    <w:bookmarkStart w:id="87" w:name="data-charting-process-and-data-items"/>
    <w:p>
      <w:pPr>
        <w:pStyle w:val="Heading3"/>
      </w:pPr>
      <w:r>
        <w:t xml:space="preserve">Data Charting Process and Data Items</w:t>
      </w:r>
    </w:p>
    <w:p>
      <w:pPr>
        <w:pStyle w:val="FirstParagraph"/>
      </w:pPr>
      <w:r>
        <w:t xml:space="preserve">Research questions were defined before the screening process and data was extracted based on the research questions in</w:t>
      </w:r>
      <w:r>
        <w:t xml:space="preserve"> </w:t>
      </w:r>
      <w:hyperlink w:anchor="nte-study1-research-q">
        <w:r>
          <w:rPr>
            <w:rStyle w:val="Hyperlink"/>
          </w:rPr>
          <w:t xml:space="preserve">Note 3.1</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5" name="Picture"/>
                  <a:graphic>
                    <a:graphicData uri="http://schemas.openxmlformats.org/drawingml/2006/picture">
                      <pic:pic>
                        <pic:nvPicPr>
                          <pic:cNvPr descr="/opt/quarto/share/formats/docx/note.png" id="86" name="Picture"/>
                          <pic:cNvPicPr>
                            <a:picLocks noChangeArrowheads="1" noChangeAspect="1"/>
                          </pic:cNvPicPr>
                        </pic:nvPicPr>
                        <pic:blipFill>
                          <a:blip r:embed="rId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 3.1: Research Questions (Study 1)</w:t>
            </w:r>
          </w:p>
        </w:tc>
      </w:tr>
      <w:tr>
        <w:trPr>
          <w:cantSplit/>
        </w:trPr>
        <w:tc>
          <w:tcPr>
            <w:tcMar>
              <w:top w:w="108" w:type="dxa"/>
              <w:bottom w:w="108" w:type="dxa"/>
            </w:tcMar>
          </w:tcPr>
          <w:p>
            <w:pPr>
              <w:pStyle w:val="Compact"/>
              <w:numPr>
                <w:ilvl w:val="0"/>
                <w:numId w:val="1001"/>
              </w:numPr>
            </w:pPr>
            <w:r>
              <w:t xml:space="preserve">Is there an association between glycemic control and CVD risk?</w:t>
            </w:r>
          </w:p>
          <w:p>
            <w:pPr>
              <w:pStyle w:val="Compact"/>
              <w:numPr>
                <w:ilvl w:val="0"/>
                <w:numId w:val="1001"/>
              </w:numPr>
            </w:pPr>
            <w:r>
              <w:t xml:space="preserve">Can CGM-derived metrics predict CVD risk?</w:t>
            </w:r>
          </w:p>
          <w:p>
            <w:pPr>
              <w:pStyle w:val="Compact"/>
              <w:numPr>
                <w:ilvl w:val="0"/>
                <w:numId w:val="1001"/>
              </w:numPr>
            </w:pPr>
            <w:r>
              <w:t xml:space="preserve">What CGM-derived metrics are used in the literature?</w:t>
            </w:r>
          </w:p>
          <w:p>
            <w:pPr>
              <w:pStyle w:val="Compact"/>
              <w:numPr>
                <w:ilvl w:val="0"/>
                <w:numId w:val="1001"/>
              </w:numPr>
            </w:pPr>
            <w:r>
              <w:t xml:space="preserve">Which cardiovascular markers and diseases are included as outcomes in the studies?</w:t>
            </w:r>
          </w:p>
          <w:p>
            <w:pPr>
              <w:pStyle w:val="Compact"/>
              <w:numPr>
                <w:ilvl w:val="0"/>
                <w:numId w:val="1001"/>
              </w:numPr>
            </w:pPr>
            <w:r>
              <w:t xml:space="preserve">What characterizes study populations (age, sex, ethnicity, geographic location)?</w:t>
            </w:r>
          </w:p>
          <w:p>
            <w:pPr>
              <w:pStyle w:val="Compact"/>
              <w:numPr>
                <w:ilvl w:val="0"/>
                <w:numId w:val="1001"/>
              </w:numPr>
            </w:pPr>
            <w:r>
              <w:t xml:space="preserve">What study designs are used (e.g., longitudinal cohort studies, randomized controlled trials, cross-sectional studies)?</w:t>
            </w:r>
          </w:p>
          <w:p>
            <w:pPr>
              <w:pStyle w:val="Compact"/>
              <w:numPr>
                <w:ilvl w:val="0"/>
                <w:numId w:val="1001"/>
              </w:numPr>
            </w:pPr>
            <w:r>
              <w:t xml:space="preserve">How was data collected (e.g., clinical trial, epidemiological study, routinely collected data)?</w:t>
            </w:r>
          </w:p>
          <w:p>
            <w:pPr>
              <w:pStyle w:val="Compact"/>
              <w:numPr>
                <w:ilvl w:val="0"/>
                <w:numId w:val="1001"/>
              </w:numPr>
            </w:pPr>
            <w:r>
              <w:t xml:space="preserve">What CGM devices were used?</w:t>
            </w:r>
          </w:p>
          <w:p>
            <w:pPr>
              <w:pStyle w:val="Compact"/>
              <w:numPr>
                <w:ilvl w:val="0"/>
                <w:numId w:val="1001"/>
              </w:numPr>
            </w:pPr>
            <w:r>
              <w:t xml:space="preserve">What statistical models were used in the studies?</w:t>
            </w:r>
          </w:p>
          <w:p>
            <w:pPr>
              <w:pStyle w:val="Compact"/>
              <w:numPr>
                <w:ilvl w:val="0"/>
                <w:numId w:val="1001"/>
              </w:numPr>
            </w:pPr>
            <w:r>
              <w:t xml:space="preserve">Is the data openly available?</w:t>
            </w:r>
          </w:p>
          <w:p>
            <w:pPr>
              <w:pStyle w:val="Compact"/>
              <w:numPr>
                <w:ilvl w:val="0"/>
                <w:numId w:val="1001"/>
              </w:numPr>
            </w:pPr>
            <w:r>
              <w:t xml:space="preserve">Is the code openly available?</w:t>
            </w:r>
          </w:p>
          <w:p/>
        </w:tc>
      </w:tr>
    </w:tbl>
    <w:bookmarkEnd w:id="87"/>
    <w:bookmarkStart w:id="88" w:name="synthesis-of-results"/>
    <w:p>
      <w:pPr>
        <w:pStyle w:val="Heading3"/>
      </w:pPr>
      <w:r>
        <w:t xml:space="preserve">Synthesis of Results</w:t>
      </w:r>
    </w:p>
    <w:p>
      <w:pPr>
        <w:pStyle w:val="FirstParagraph"/>
      </w:pPr>
      <w:r>
        <w:t xml:space="preserve">Study characteristics were synthesized using descriptive statistics and supplemented by a narrative summary. Only the most adjusted models in the main population for each study was considered in this review. This approach was necessary as several studies reported numerous estimates across varying adjustments, different combinations of CGM-derived metrics and CVD outcomes, and/or distinct subgroup stratifications. Given the large volume of literature, studies investigating clinical cardiovascular outcomes were prioritized in the main synthesis. While subclinical markers offer valuable insight into early vascular changes and disease progression, clinical outcomes are more directly relevant to cardiovascular risk prediction and clinical decision-making. The main synthesis of clinical outcomes included both effect estimates and measures of statistical significance whereas the supplementary synthesis on subclinical CVD focused primarily on creating an overview of the chosen CGM-derived metrics and the statistical significance of reported associations. All evaluation metrics mentioned in the studies doing prediction analyzes were reported based on what the studies reported.</w:t>
      </w:r>
    </w:p>
    <w:bookmarkEnd w:id="88"/>
    <w:bookmarkEnd w:id="89"/>
    <w:bookmarkStart w:id="96" w:name="datasets-used-in-this-dissertation"/>
    <w:p>
      <w:pPr>
        <w:pStyle w:val="Heading2"/>
      </w:pPr>
      <w:r>
        <w:t xml:space="preserve">3.2 Datasets used in this dissertation</w:t>
      </w:r>
    </w:p>
    <w:p>
      <w:pPr>
        <w:pStyle w:val="FirstParagraph"/>
      </w:pPr>
      <w:r>
        <w:t xml:space="preserve">Two datasets were used in this PhD project and are described in the following sections. The datasets were obtained from studies that were conducted independently of this PhD project. Both studies were conducted in accordance with the principles of the Declaration of Helsinki and were approved by the relevant institutional review boards or ethics committees. For the T1DX dataset, ethical approval is documented in Bergenstal et al.</w:t>
      </w:r>
      <w:r>
        <w:rPr>
          <w:vertAlign w:val="superscript"/>
        </w:rPr>
        <w:t xml:space="preserve">52</w:t>
      </w:r>
      <w:r>
        <w:t xml:space="preserve"> </w:t>
      </w:r>
      <w:r>
        <w:t xml:space="preserve">and for the CANCAN study, approval was obtained from the Committee on Health Research Ethics in the Central Denmark Region(#93931 and #1-10-72-221-21). Oral and written informed consent was obtained from all participants.</w:t>
      </w:r>
    </w:p>
    <w:bookmarkStart w:id="90" w:name="cancan-data"/>
    <w:p>
      <w:pPr>
        <w:pStyle w:val="Heading3"/>
      </w:pPr>
      <w:r>
        <w:t xml:space="preserve">CANCAN Data</w:t>
      </w:r>
    </w:p>
    <w:p>
      <w:pPr>
        <w:pStyle w:val="FirstParagraph"/>
      </w:pPr>
      <w:r>
        <w:t xml:space="preserve">The CANCAN dataset was collected in an observational case-control study from two hospital outpatient clinics (Denmark). The aim of the CANCAN study was to investigate if cardiac autonomic neuropathy (CAN) assessments, CGM and heart failure indicators could be used in risk stratification for people with T2D. Participants were included if they were adults (&gt; 18 years old) and had T2D for at least a year. Exclusion criteria were atrial fibrillation or laser-treated eye disease within the past three months, were pregnant or lactating, had a life-threatening disease (expected survival &lt; 1 year), or had cognitive disabilities rendering them unable to understand and give consent. Data were collected during a clinical examination, during which blood samples to obtain NT-proBNP was collected together with urine samples, and a blinded CGM sensor was inserted.(</w:t>
      </w:r>
      <w:hyperlink w:anchor="fig-cancan-timeline">
        <w:r>
          <w:rPr>
            <w:rStyle w:val="Hyperlink"/>
          </w:rPr>
          <w:t xml:space="preserve">Figure 3.1</w:t>
        </w:r>
      </w:hyperlink>
      <w:r>
        <w:t xml:space="preserve">). In total, 159 participants were included since the rest were missing age, sex, HbA1c, BMI, NT-proBNP, HDL, total cholesterol, or eGFR, which were needed for the analyzes in Study II.</w:t>
      </w:r>
    </w:p>
    <w:bookmarkEnd w:id="90"/>
    <w:bookmarkStart w:id="95" w:name="t1d-exchange-data"/>
    <w:p>
      <w:pPr>
        <w:pStyle w:val="Heading3"/>
      </w:pPr>
      <w:r>
        <w:t xml:space="preserve">T1D Exchange Data</w:t>
      </w:r>
    </w:p>
    <w:p>
      <w:pPr>
        <w:pStyle w:val="FirstParagraph"/>
      </w:pPr>
      <w:r>
        <w:t xml:space="preserve">The publicly available T1D Exchange (T1DX) dataset, distributed by the Jaeb Center for Health Research under the protocol</w:t>
      </w:r>
      <w:r>
        <w:t xml:space="preserve"> </w:t>
      </w:r>
      <w:r>
        <w:t xml:space="preserve">“Racial Differences in Mean CGM Glucose in Relation to HbA1c”</w:t>
      </w:r>
      <w:r>
        <w:t xml:space="preserve">, was collected in 10 diabetes centers (US).</w:t>
      </w:r>
      <w:r>
        <w:rPr>
          <w:vertAlign w:val="superscript"/>
        </w:rPr>
        <w:t xml:space="preserve">74</w:t>
      </w:r>
      <w:r>
        <w:t xml:space="preserve"> </w:t>
      </w:r>
      <w:r>
        <w:t xml:space="preserve">The data was collected to determine if there is a racial difference in the association between mean glucose and HbA1c between non-Hispanic Black (Black) and non-Hispanic White (White) people with T1D. In the T1DX study ethnicity and race was defined through self-identified and self-reported ethnicity/race verification forms where ethnicity was defined as Hispanic or Latino as:</w:t>
      </w:r>
      <w:r>
        <w:t xml:space="preserve"> </w:t>
      </w:r>
      <w:r>
        <w:rPr>
          <w:i/>
          <w:iCs/>
        </w:rPr>
        <w:t xml:space="preserve">“a person of Cuban, Mexican, Puerto Rican, South or Central American, or other Spanish culture or origin, regardless of race. The term “Spanish origin” could be used in addition to “Hispanic” or “Latino”“</w:t>
      </w:r>
      <w:r>
        <w:t xml:space="preserve">.</w:t>
      </w:r>
      <w:r>
        <w:rPr>
          <w:vertAlign w:val="superscript"/>
        </w:rPr>
        <w:t xml:space="preserve">52 in Supplementary Material</w:t>
      </w:r>
      <w:r>
        <w:t xml:space="preserve"> </w:t>
      </w:r>
      <w:r>
        <w:t xml:space="preserve">For race a participant defined as White was</w:t>
      </w:r>
      <w:r>
        <w:t xml:space="preserve"> </w:t>
      </w:r>
      <w:r>
        <w:rPr>
          <w:i/>
          <w:iCs/>
        </w:rPr>
        <w:t xml:space="preserve">“a person having origins in any of the original peoples of Europe, the Middle East or North Africa.”</w:t>
      </w:r>
      <w:r>
        <w:t xml:space="preserve"> </w:t>
      </w:r>
      <w:r>
        <w:t xml:space="preserve">and Black or African American people were defined as</w:t>
      </w:r>
      <w:r>
        <w:t xml:space="preserve"> </w:t>
      </w:r>
      <w:r>
        <w:rPr>
          <w:i/>
          <w:iCs/>
        </w:rPr>
        <w:t xml:space="preserve">“a person having origins in any of the Black racial groups of Africa. Terms such as “Haitian” or “Negro” can be used in addition to “Black” or “African American””</w:t>
      </w:r>
      <w:r>
        <w:t xml:space="preserve">.</w:t>
      </w:r>
      <w:r>
        <w:rPr>
          <w:vertAlign w:val="superscript"/>
        </w:rPr>
        <w:t xml:space="preserve">52 in Supplementary Material</w:t>
      </w:r>
      <w:r>
        <w:t xml:space="preserve"> </w:t>
      </w:r>
      <w:r>
        <w:t xml:space="preserve">In this dissertation, the term race will be used moving forward, as it aligns with the terminology used by Bergenstal et al.</w:t>
      </w:r>
      <w:r>
        <w:rPr>
          <w:vertAlign w:val="superscript"/>
        </w:rPr>
        <w:t xml:space="preserve">52</w:t>
      </w:r>
      <w:r>
        <w:t xml:space="preserve">. However, I acknowledge that it is difficult to define race.</w:t>
      </w:r>
      <w:r>
        <w:rPr>
          <w:vertAlign w:val="superscript"/>
        </w:rPr>
        <w:t xml:space="preserve">75</w:t>
      </w:r>
      <w:r>
        <w:t xml:space="preserve"> </w:t>
      </w:r>
      <w:r>
        <w:t xml:space="preserve">Of the 205 participants included in the study</w:t>
      </w:r>
      <w:r>
        <w:rPr>
          <w:vertAlign w:val="superscript"/>
        </w:rPr>
        <w:t xml:space="preserve">52</w:t>
      </w:r>
      <w:r>
        <w:t xml:space="preserve">, 101 were White and 104 were Black. For each race, two age groups were sampled 8 to &lt;18 years old and &gt;18. Each participant wore a blinded modified investigational version of Abbott Diabetes Care’s Flash Glucose Monitoring System (CGM) as continuously as possible for 12 weeks (</w:t>
      </w:r>
      <w:hyperlink w:anchor="fig-t1dx-timeline">
        <w:r>
          <w:rPr>
            <w:rStyle w:val="Hyperlink"/>
          </w:rPr>
          <w:t xml:space="preserve">Figure 3.2</w:t>
        </w:r>
      </w:hyperlink>
      <w:r>
        <w:t xml:space="preserve">). CGM data was sampled every 15 minutes in a range between 2.21 - 27.65 mmol/L (40 and 498 mg/dL). Blood samples were taken at enrollment, at some of the follow-up visits, and at the end of enrollment.</w:t>
      </w:r>
    </w:p>
    <w:tbl>
      <w:tblPr>
        <w:tblStyle w:val="Table"/>
        <w:tblW w:type="pct" w:w="5000"/>
        <w:tblLayout w:type="fixed"/>
        <w:tblLook w:firstRow="0" w:lastRow="0" w:firstColumn="0" w:lastColumn="0" w:noHBand="0" w:noVBand="0" w:val="0000"/>
      </w:tblPr>
      <w:tblGrid>
        <w:gridCol w:w="7920"/>
      </w:tblGrid>
      <w:tr>
        <w:tc>
          <w:tcPr/>
          <w:bookmarkStart w:id="94" w:name="fig-t1dx-timeline"/>
          <w:p>
            <w:pPr>
              <w:pStyle w:val="Compact"/>
              <w:jc w:val="center"/>
            </w:pPr>
            <w:r>
              <w:drawing>
                <wp:inline>
                  <wp:extent cx="5334000" cy="2065815"/>
                  <wp:effectExtent b="0" l="0" r="0" t="0"/>
                  <wp:docPr descr="" title="" id="92" name="Picture"/>
                  <a:graphic>
                    <a:graphicData uri="http://schemas.openxmlformats.org/drawingml/2006/picture">
                      <pic:pic>
                        <pic:nvPicPr>
                          <pic:cNvPr descr="figures/3_methods_fig/t1dx_timeline.png" id="93" name="Picture"/>
                          <pic:cNvPicPr>
                            <a:picLocks noChangeArrowheads="1" noChangeAspect="1"/>
                          </pic:cNvPicPr>
                        </pic:nvPicPr>
                        <pic:blipFill>
                          <a:blip r:embed="rId91"/>
                          <a:stretch>
                            <a:fillRect/>
                          </a:stretch>
                        </pic:blipFill>
                        <pic:spPr bwMode="auto">
                          <a:xfrm>
                            <a:off x="0" y="0"/>
                            <a:ext cx="5334000" cy="2065815"/>
                          </a:xfrm>
                          <a:prstGeom prst="rect">
                            <a:avLst/>
                          </a:prstGeom>
                          <a:noFill/>
                          <a:ln w="9525">
                            <a:noFill/>
                            <a:headEnd/>
                            <a:tailEnd/>
                          </a:ln>
                        </pic:spPr>
                      </pic:pic>
                    </a:graphicData>
                  </a:graphic>
                </wp:inline>
              </w:drawing>
            </w:r>
          </w:p>
          <w:p>
            <w:pPr>
              <w:jc w:val="center"/>
            </w:pPr>
            <w:pPr>
              <w:jc w:val="left"/>
              <w:spacing w:before="200"/>
              <w:pStyle w:val="ImageCaption"/>
            </w:pPr>
            <w:r>
              <w:t xml:space="preserve">Figure 3.2: Data collection timeline for the T1DX study.</w:t>
            </w:r>
          </w:p>
          <w:bookmarkEnd w:id="94"/>
        </w:tc>
      </w:tr>
    </w:tbl>
    <w:bookmarkEnd w:id="95"/>
    <w:bookmarkEnd w:id="96"/>
    <w:bookmarkStart w:id="128" w:name="X2eb1b3f1a56fe1a9eef0165a876a83f54231662"/>
    <w:p>
      <w:pPr>
        <w:pStyle w:val="Heading2"/>
      </w:pPr>
      <w:r>
        <w:t xml:space="preserve">3.3 Study II: Foundation Models and Predictive Utility of CGM data</w:t>
      </w:r>
    </w:p>
    <w:p>
      <w:pPr>
        <w:pStyle w:val="FirstParagraph"/>
      </w:pPr>
      <w:r>
        <w:t xml:space="preserve">The second study investigated whether a CGM foundation model could learn meaningful representations of CGM data and compared these learned representations with conventional CGM-derived metrics identified in Study I.</w:t>
      </w:r>
      <w:r>
        <w:rPr>
          <w:vertAlign w:val="superscript"/>
        </w:rPr>
        <w:t xml:space="preserve">59</w:t>
      </w:r>
    </w:p>
    <w:bookmarkStart w:id="97" w:name="data-and-participant-selection"/>
    <w:p>
      <w:pPr>
        <w:pStyle w:val="Heading3"/>
      </w:pPr>
      <w:r>
        <w:t xml:space="preserve">Data and Participant Selection</w:t>
      </w:r>
    </w:p>
    <w:p>
      <w:pPr>
        <w:pStyle w:val="FirstParagraph"/>
      </w:pPr>
      <w:r>
        <w:t xml:space="preserve">Both the CANCAN and the T1DX dataset were used for Study II.</w:t>
      </w:r>
      <w:r>
        <w:t xml:space="preserve"> </w:t>
      </w:r>
      <w:r>
        <w:t xml:space="preserve">Participants with missing age, sex, HbA1c or BMI were excluded from both cohorts and in addition, CANCAN participants with missing NT-proBNP, HDL, total cholesterol, and</w:t>
      </w:r>
      <w:r>
        <w:t xml:space="preserve"> </w:t>
      </w:r>
      <w:hyperlink w:anchor="acronyms_eGFR">
        <w:r>
          <w:rPr>
            <w:rStyle w:val="Hyperlink"/>
          </w:rPr>
          <w:t xml:space="preserve">eGFR</w:t>
        </w:r>
      </w:hyperlink>
      <w:r>
        <w:t xml:space="preserve"> </w:t>
      </w:r>
      <w:r>
        <w:t xml:space="preserve">were also removed, since those are necessary to calculate the SCORE2-Diabetes risk score with.</w:t>
      </w:r>
      <w:r>
        <w:t xml:space="preserve"> </w:t>
      </w:r>
      <w:r>
        <w:t xml:space="preserve">T1DX participants with missing race data were also removed.</w:t>
      </w:r>
      <w:r>
        <w:t xml:space="preserve"> </w:t>
      </w:r>
      <w:r>
        <w:t xml:space="preserve">Days with less than 70% of CGM data were removed in addition to participants with less than one day of data from both datasets to ensure sufficient data for the analyzes.</w:t>
      </w:r>
      <w:r>
        <w:t xml:space="preserve"> </w:t>
      </w:r>
      <w:r>
        <w:t xml:space="preserve">Values exceeding the measurable range of the CGM devices were retained as the device’s upper and lower measurement limits. For the CANCAN data, this range was 2.2 - 27.8 mmol/L and for the T1DX data, the range was 2.21 - 27.65 mmol/L.</w:t>
      </w:r>
      <w:r>
        <w:t xml:space="preserve"> </w:t>
      </w:r>
    </w:p>
    <w:bookmarkEnd w:id="97"/>
    <w:bookmarkStart w:id="127" w:name="Xd7277a8b7195fc5275d8ff2b3623da017669892"/>
    <w:p>
      <w:pPr>
        <w:pStyle w:val="Heading3"/>
      </w:pPr>
      <w:r>
        <w:t xml:space="preserve">Transfer Learning, Foundation Models and Embeddings</w:t>
      </w:r>
    </w:p>
    <w:p>
      <w:pPr>
        <w:pStyle w:val="FirstParagraph"/>
      </w:pPr>
      <w:r>
        <w:t xml:space="preserve">Of the two CGM-specific foundation models based on self-supervised learning currently described in the literature (CGMformer by Lu et al., 2025</w:t>
      </w:r>
      <w:r>
        <w:rPr>
          <w:vertAlign w:val="superscript"/>
        </w:rPr>
        <w:t xml:space="preserve">41</w:t>
      </w:r>
      <w:r>
        <w:t xml:space="preserve"> </w:t>
      </w:r>
      <w:r>
        <w:t xml:space="preserve">and GLUformer by Lutsker et al., 2026</w:t>
      </w:r>
      <w:r>
        <w:rPr>
          <w:vertAlign w:val="superscript"/>
        </w:rPr>
        <w:t xml:space="preserve">42</w:t>
      </w:r>
      <w:r>
        <w:t xml:space="preserve">), only the pretrained weights from the CGMformer were made publicly available, enabling reuse of the model for downstream tasks.</w:t>
      </w:r>
      <w:r>
        <w:t xml:space="preserve"> </w:t>
      </w:r>
      <w:r>
        <w:t xml:space="preserve">The CGMformer was therefore chosen and the data was organized in 24-hour long-format input to match the input requirements of the CGMformer.</w:t>
      </w:r>
      <w:r>
        <w:t xml:space="preserve"> </w:t>
      </w:r>
      <w:r>
        <w:t xml:space="preserve">The output of the foundation model is learned representations of the input data, also known as embeddings and the head of the CGMformer were not available for retraining (</w:t>
      </w:r>
      <w:hyperlink w:anchor="fig-cgmformer">
        <w:r>
          <w:rPr>
            <w:rStyle w:val="Hyperlink"/>
          </w:rPr>
          <w:t xml:space="preserve">Figure 3.3</w:t>
        </w:r>
      </w:hyperlink>
      <w:r>
        <w:t xml:space="preserve">). By only having the backbone, the transfer learning strategy being used had to be replacing the head with a new, as shown in</w:t>
      </w:r>
      <w:r>
        <w:t xml:space="preserve"> </w:t>
      </w:r>
      <w:hyperlink w:anchor="fig-tl">
        <w:r>
          <w:rPr>
            <w:rStyle w:val="Hyperlink"/>
          </w:rPr>
          <w:t xml:space="preserve">Figure 1.3</w:t>
        </w:r>
      </w:hyperlink>
      <w:r>
        <w:t xml:space="preserve"> </w:t>
      </w:r>
      <w:r>
        <w:t xml:space="preserve">as transfer three.</w:t>
      </w:r>
    </w:p>
    <w:tbl>
      <w:tblPr>
        <w:tblStyle w:val="Table"/>
        <w:tblW w:type="pct" w:w="5000"/>
        <w:tblLayout w:type="fixed"/>
        <w:tblLook w:firstRow="0" w:lastRow="0" w:firstColumn="0" w:lastColumn="0" w:noHBand="0" w:noVBand="0" w:val="0000"/>
      </w:tblPr>
      <w:tblGrid>
        <w:gridCol w:w="7920"/>
      </w:tblGrid>
      <w:tr>
        <w:tc>
          <w:tcPr/>
          <w:bookmarkStart w:id="102" w:name="fig-cgmformer"/>
          <w:p>
            <w:pPr>
              <w:pStyle w:val="Compact"/>
              <w:jc w:val="center"/>
            </w:pPr>
            <w:hyperlink r:id="rId101">
              <w:r>
                <w:drawing>
                  <wp:inline>
                    <wp:extent cx="5334000" cy="1107994"/>
                    <wp:effectExtent b="0" l="0" r="0" t="0"/>
                    <wp:docPr descr="" title="" id="99" name="Picture"/>
                    <a:graphic>
                      <a:graphicData uri="http://schemas.openxmlformats.org/drawingml/2006/picture">
                        <pic:pic>
                          <pic:nvPicPr>
                            <pic:cNvPr descr="figures/3_methods_fig/study_2_cgmformer.png" id="100" name="Picture"/>
                            <pic:cNvPicPr>
                              <a:picLocks noChangeArrowheads="1" noChangeAspect="1"/>
                            </pic:cNvPicPr>
                          </pic:nvPicPr>
                          <pic:blipFill>
                            <a:blip r:embed="rId98"/>
                            <a:stretch>
                              <a:fillRect/>
                            </a:stretch>
                          </pic:blipFill>
                          <pic:spPr bwMode="auto">
                            <a:xfrm>
                              <a:off x="0" y="0"/>
                              <a:ext cx="5334000" cy="1107994"/>
                            </a:xfrm>
                            <a:prstGeom prst="rect">
                              <a:avLst/>
                            </a:prstGeom>
                            <a:noFill/>
                            <a:ln w="9525">
                              <a:noFill/>
                              <a:headEnd/>
                              <a:tailEnd/>
                            </a:ln>
                          </pic:spPr>
                        </pic:pic>
                      </a:graphicData>
                    </a:graphic>
                  </wp:inline>
                </w:drawing>
              </w:r>
            </w:hyperlink>
          </w:p>
          <w:p>
            <w:pPr>
              <w:jc w:val="center"/>
            </w:pPr>
            <w:pPr>
              <w:jc w:val="left"/>
              <w:spacing w:before="200"/>
              <w:pStyle w:val="ImageCaption"/>
            </w:pPr>
            <w:r>
              <w:t xml:space="preserve">Figure 3.3: Illustration of how CGMformer is used in this analyzis.</w:t>
            </w:r>
          </w:p>
          <w:bookmarkEnd w:id="102"/>
        </w:tc>
      </w:tr>
    </w:tbl>
    <w:p>
      <w:pPr>
        <w:pStyle w:val="BodyText"/>
      </w:pPr>
      <w:r>
        <w:t xml:space="preserve">The CGMformer gives a 128-dimensional embedding vector for each 24-hour CGM data input.</w:t>
      </w:r>
      <w:r>
        <w:t xml:space="preserve"> </w:t>
      </w:r>
      <w:r>
        <w:t xml:space="preserve">Embeddings are numerical vectors that summarize the characteristics of the input glucose profile.</w:t>
      </w:r>
      <w:r>
        <w:t xml:space="preserve"> </w:t>
      </w:r>
      <w:r>
        <w:t xml:space="preserve">A simple vector can be drawn as an arrow in a 2-dimensional and a 3-dimensional space as shown in</w:t>
      </w:r>
      <w:r>
        <w:t xml:space="preserve"> </w:t>
      </w:r>
      <w:hyperlink w:anchor="fig-cancan-embedding">
        <w:r>
          <w:rPr>
            <w:rStyle w:val="Hyperlink"/>
          </w:rPr>
          <w:t xml:space="preserve">Figure 3.4</w:t>
        </w:r>
      </w:hyperlink>
      <w:r>
        <w:t xml:space="preserve">.</w:t>
      </w:r>
    </w:p>
    <w:bookmarkStart w:id="111" w:name="fig-cancan-embedding"/>
    <w:tbl>
      <w:tblPr>
        <w:tblStyle w:val="Table"/>
        <w:tblW w:type="pct" w:w="4900"/>
        <w:tblLayout w:type="fixed"/>
        <w:tblLook w:firstRow="0" w:lastRow="0" w:firstColumn="0" w:lastColumn="0" w:noHBand="0" w:noVBand="0" w:val="0000"/>
      </w:tblPr>
      <w:tblGrid>
        <w:gridCol w:w="3880"/>
        <w:gridCol w:w="3880"/>
      </w:tblGrid>
      <w:tr>
        <w:tc>
          <w:tcPr/>
          <w:p>
            <w:pPr>
              <w:jc w:val="center"/>
            </w:pPr>
            <w:hyperlink r:id="rId106">
              <w:r>
                <w:drawing>
                  <wp:inline>
                    <wp:extent cx="2971800" cy="2971800"/>
                    <wp:effectExtent b="0" l="0" r="0" t="0"/>
                    <wp:docPr descr="" title="" id="104" name="Picture"/>
                    <a:graphic>
                      <a:graphicData uri="http://schemas.openxmlformats.org/drawingml/2006/picture">
                        <pic:pic>
                          <pic:nvPicPr>
                            <pic:cNvPr descr="figures/3_methods_fig/study2_embedding.png" id="105" name="Picture"/>
                            <pic:cNvPicPr>
                              <a:picLocks noChangeArrowheads="1" noChangeAspect="1"/>
                            </pic:cNvPicPr>
                          </pic:nvPicPr>
                          <pic:blipFill>
                            <a:blip r:embed="rId103"/>
                            <a:stretch>
                              <a:fillRect/>
                            </a:stretch>
                          </pic:blipFill>
                          <pic:spPr bwMode="auto">
                            <a:xfrm>
                              <a:off x="0" y="0"/>
                              <a:ext cx="2971800" cy="2971800"/>
                            </a:xfrm>
                            <a:prstGeom prst="rect">
                              <a:avLst/>
                            </a:prstGeom>
                            <a:noFill/>
                            <a:ln w="9525">
                              <a:noFill/>
                              <a:headEnd/>
                              <a:tailEnd/>
                            </a:ln>
                          </pic:spPr>
                        </pic:pic>
                      </a:graphicData>
                    </a:graphic>
                  </wp:inline>
                </w:drawing>
              </w:r>
            </w:hyperlink>
          </w:p>
        </w:tc>
        <w:tc>
          <w:tcPr/>
          <w:p>
            <w:pPr>
              <w:jc w:val="center"/>
            </w:pPr>
            <w:hyperlink r:id="rId110">
              <w:r>
                <w:drawing>
                  <wp:inline>
                    <wp:extent cx="2971800" cy="2947103"/>
                    <wp:effectExtent b="0" l="0" r="0" t="0"/>
                    <wp:docPr descr="" title="" id="108" name="Picture"/>
                    <a:graphic>
                      <a:graphicData uri="http://schemas.openxmlformats.org/drawingml/2006/picture">
                        <pic:pic>
                          <pic:nvPicPr>
                            <pic:cNvPr descr="figures/3_methods_fig/study_2__3d_emb.png" id="109" name="Picture"/>
                            <pic:cNvPicPr>
                              <a:picLocks noChangeArrowheads="1" noChangeAspect="1"/>
                            </pic:cNvPicPr>
                          </pic:nvPicPr>
                          <pic:blipFill>
                            <a:blip r:embed="rId107"/>
                            <a:stretch>
                              <a:fillRect/>
                            </a:stretch>
                          </pic:blipFill>
                          <pic:spPr bwMode="auto">
                            <a:xfrm>
                              <a:off x="0" y="0"/>
                              <a:ext cx="2971800" cy="2947103"/>
                            </a:xfrm>
                            <a:prstGeom prst="rect">
                              <a:avLst/>
                            </a:prstGeom>
                            <a:noFill/>
                            <a:ln w="9525">
                              <a:noFill/>
                              <a:headEnd/>
                              <a:tailEnd/>
                            </a:ln>
                          </pic:spPr>
                        </pic:pic>
                      </a:graphicData>
                    </a:graphic>
                  </wp:inline>
                </w:drawing>
              </w:r>
            </w:hyperlink>
          </w:p>
        </w:tc>
      </w:tr>
    </w:tbl>
    <w:p>
      <w:pPr>
        <w:pStyle w:val="BodyText"/>
      </w:pPr>
      <w:pPr>
        <w:spacing w:before="200"/>
        <w:pStyle w:val="ImageCaption"/>
      </w:pPr>
      <w:r>
        <w:t xml:space="preserve">Figure 3.4: Embeddings shown as 2-dimensional and 3-dimensional vectors with the angle</w:t>
      </w:r>
      <w:r>
        <w:t xml:space="preserve"> </w:t>
      </w:r>
      <m:oMath>
        <m:r>
          <m:t>θ</m:t>
        </m:r>
      </m:oMath>
      <w:r>
        <w:t xml:space="preserve"> </w:t>
      </w:r>
      <w:r>
        <w:t xml:space="preserve">between the two embeddings.</w:t>
      </w:r>
    </w:p>
    <w:bookmarkEnd w:id="111"/>
    <w:p>
      <w:pPr>
        <w:pStyle w:val="BodyText"/>
      </w:pPr>
      <w:r>
        <w:t xml:space="preserve">Because embeddings are numerical vectors, they can be compared to quantify the similarity between glucose profiles, as demonstrated by Lutsker et al.</w:t>
      </w:r>
      <w:r>
        <w:rPr>
          <w:vertAlign w:val="superscript"/>
        </w:rPr>
        <w:t xml:space="preserve">42</w:t>
      </w:r>
      <w:r>
        <w:t xml:space="preserve"> </w:t>
      </w:r>
      <w:r>
        <w:t xml:space="preserve">We therefore adopted a similar approach to assess the similarity between CGM-derived embeddings.</w:t>
      </w:r>
      <w:r>
        <w:t xml:space="preserve"> </w:t>
      </w:r>
      <w:r>
        <w:t xml:space="preserve">Cosine similarity was calculated and it measures the angle between two embedding vectors independent of their magnitude (the length of the vectors).</w:t>
      </w:r>
      <w:r>
        <w:t xml:space="preserve"> </w:t>
      </w:r>
      <w:r>
        <w:t xml:space="preserve">The cosine similarity is calculated by measuring the cosine angle between two vectors as shown by</w:t>
      </w:r>
      <w:r>
        <w:t xml:space="preserve"> </w:t>
      </w:r>
      <m:oMath>
        <m:r>
          <m:t>θ</m:t>
        </m:r>
      </m:oMath>
      <w:r>
        <w:t xml:space="preserve"> </w:t>
      </w:r>
      <w:r>
        <w:t xml:space="preserve">in</w:t>
      </w:r>
      <w:r>
        <w:t xml:space="preserve"> </w:t>
      </w:r>
      <w:hyperlink w:anchor="fig-cancan-embedding">
        <w:r>
          <w:rPr>
            <w:rStyle w:val="Hyperlink"/>
          </w:rPr>
          <w:t xml:space="preserve">Figure 3.4</w:t>
        </w:r>
      </w:hyperlink>
      <w:r>
        <w:t xml:space="preserve">. The cosine similarity is a number between -1 and 1, where 1 means the two vectors are identical, 0 means they are unrelated, and -1 means that they are pointing in opposite directions (</w:t>
      </w:r>
      <w:hyperlink w:anchor="fig-cancan-co_sim_emb">
        <w:r>
          <w:rPr>
            <w:rStyle w:val="Hyperlink"/>
          </w:rPr>
          <w:t xml:space="preserve">Figure 3.5</w:t>
        </w:r>
      </w:hyperlink>
      <w:r>
        <w:t xml:space="preserve">). For the analyzes in this study, cosine distance, calculated as 1 − cosine similarity, was used because it expresses similarity as a distance measure, allowing embeddings with similar orientations to have small distances and facilitating downstream analyzes and visualizations. The cosine distances range from 0 to 2 where 0 means the two vectors are pointing in the same direction, 1 means they are unrelated, and 2 means that they are pointing in opposite directions.</w:t>
      </w:r>
    </w:p>
    <w:tbl>
      <w:tblPr>
        <w:tblStyle w:val="Table"/>
        <w:tblW w:type="pct" w:w="5000"/>
        <w:tblLayout w:type="fixed"/>
        <w:tblLook w:firstRow="0" w:lastRow="0" w:firstColumn="0" w:lastColumn="0" w:noHBand="0" w:noVBand="0" w:val="0000"/>
      </w:tblPr>
      <w:tblGrid>
        <w:gridCol w:w="7920"/>
      </w:tblGrid>
      <w:tr>
        <w:tc>
          <w:tcPr/>
          <w:bookmarkStart w:id="116" w:name="fig-cancan-co_sim_emb"/>
          <w:p>
            <w:pPr>
              <w:pStyle w:val="Compact"/>
              <w:jc w:val="center"/>
            </w:pPr>
            <w:hyperlink r:id="rId115">
              <w:r>
                <w:drawing>
                  <wp:inline>
                    <wp:extent cx="5334000" cy="1979868"/>
                    <wp:effectExtent b="0" l="0" r="0" t="0"/>
                    <wp:docPr descr="" title="" id="113" name="Picture"/>
                    <a:graphic>
                      <a:graphicData uri="http://schemas.openxmlformats.org/drawingml/2006/picture">
                        <pic:pic>
                          <pic:nvPicPr>
                            <pic:cNvPr descr="figures/3_methods_fig/study2_co_sim_emb.png" id="114" name="Picture"/>
                            <pic:cNvPicPr>
                              <a:picLocks noChangeArrowheads="1" noChangeAspect="1"/>
                            </pic:cNvPicPr>
                          </pic:nvPicPr>
                          <pic:blipFill>
                            <a:blip r:embed="rId112"/>
                            <a:stretch>
                              <a:fillRect/>
                            </a:stretch>
                          </pic:blipFill>
                          <pic:spPr bwMode="auto">
                            <a:xfrm>
                              <a:off x="0" y="0"/>
                              <a:ext cx="5334000" cy="1979868"/>
                            </a:xfrm>
                            <a:prstGeom prst="rect">
                              <a:avLst/>
                            </a:prstGeom>
                            <a:noFill/>
                            <a:ln w="9525">
                              <a:noFill/>
                              <a:headEnd/>
                              <a:tailEnd/>
                            </a:ln>
                          </pic:spPr>
                        </pic:pic>
                      </a:graphicData>
                    </a:graphic>
                  </wp:inline>
                </w:drawing>
              </w:r>
            </w:hyperlink>
          </w:p>
          <w:p>
            <w:pPr>
              <w:jc w:val="center"/>
            </w:pPr>
            <w:pPr>
              <w:jc w:val="left"/>
              <w:spacing w:before="200"/>
              <w:pStyle w:val="ImageCaption"/>
            </w:pPr>
            <w:r>
              <w:t xml:space="preserve">Figure 3.5: Embeddings shown with different cosine similarities. The cosine similarity is calculated as the cosine of the angle (</w:t>
            </w:r>
            <m:oMath>
              <m:r>
                <m:t>θ</m:t>
              </m:r>
            </m:oMath>
            <w:r>
              <w:t xml:space="preserve">) between two embeddings.</w:t>
            </w:r>
          </w:p>
          <w:bookmarkEnd w:id="116"/>
        </w:tc>
      </w:tr>
    </w:tbl>
    <w:p>
      <w:pPr>
        <w:pStyle w:val="BodyText"/>
      </w:pPr>
      <w:r>
        <w:t xml:space="preserve">Kernel density plots were used to visualize the distribution of cosine distances within specific clinical strata and across differing participants (</w:t>
      </w:r>
      <w:hyperlink w:anchor="fig-cancan-clin_strata">
        <w:r>
          <w:rPr>
            <w:rStyle w:val="Hyperlink"/>
          </w:rPr>
          <w:t xml:space="preserve">Figure 3.6</w:t>
        </w:r>
      </w:hyperlink>
      <w:r>
        <w:t xml:space="preserve">).</w:t>
      </w:r>
      <w:r>
        <w:t xml:space="preserve"> </w:t>
      </w:r>
      <w:r>
        <w:t xml:space="preserve">Groupings were made based on days from the same participant (within-participant comparison), days from different participants with the same clinical strata (between-participant comparison), and days from different participants with different clinical strata (between-participant comparison) (</w:t>
      </w:r>
      <w:hyperlink w:anchor="fig-cancan-clin_strata">
        <w:r>
          <w:rPr>
            <w:rStyle w:val="Hyperlink"/>
          </w:rPr>
          <w:t xml:space="preserve">Figure 3.6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21" w:name="fig-cancan-clin_strata"/>
          <w:p>
            <w:pPr>
              <w:pStyle w:val="Compact"/>
              <w:jc w:val="center"/>
            </w:pPr>
            <w:hyperlink r:id="rId120">
              <w:r>
                <w:drawing>
                  <wp:inline>
                    <wp:extent cx="5334000" cy="4215504"/>
                    <wp:effectExtent b="0" l="0" r="0" t="0"/>
                    <wp:docPr descr="" title="" id="118" name="Picture"/>
                    <a:graphic>
                      <a:graphicData uri="http://schemas.openxmlformats.org/drawingml/2006/picture">
                        <pic:pic>
                          <pic:nvPicPr>
                            <pic:cNvPr descr="figures/3_methods_fig/study2_clin_strata.png" id="119" name="Picture"/>
                            <pic:cNvPicPr>
                              <a:picLocks noChangeArrowheads="1" noChangeAspect="1"/>
                            </pic:cNvPicPr>
                          </pic:nvPicPr>
                          <pic:blipFill>
                            <a:blip r:embed="rId117"/>
                            <a:stretch>
                              <a:fillRect/>
                            </a:stretch>
                          </pic:blipFill>
                          <pic:spPr bwMode="auto">
                            <a:xfrm>
                              <a:off x="0" y="0"/>
                              <a:ext cx="5334000" cy="4215504"/>
                            </a:xfrm>
                            <a:prstGeom prst="rect">
                              <a:avLst/>
                            </a:prstGeom>
                            <a:noFill/>
                            <a:ln w="9525">
                              <a:noFill/>
                              <a:headEnd/>
                              <a:tailEnd/>
                            </a:ln>
                          </pic:spPr>
                        </pic:pic>
                      </a:graphicData>
                    </a:graphic>
                  </wp:inline>
                </w:drawing>
              </w:r>
            </w:hyperlink>
          </w:p>
          <w:p>
            <w:pPr>
              <w:jc w:val="center"/>
            </w:pPr>
            <w:pPr>
              <w:jc w:val="left"/>
              <w:spacing w:before="200"/>
              <w:pStyle w:val="ImageCaption"/>
            </w:pPr>
            <w:r>
              <w:t xml:space="preserve">Figure 3.6: Glucose variability strata is used as an example to illustrate the cosine distance analyzis of the within and between cosine distance pairs.</w:t>
            </w:r>
          </w:p>
          <w:bookmarkEnd w:id="121"/>
        </w:tc>
      </w:tr>
    </w:tbl>
    <w:p>
      <w:pPr>
        <w:pStyle w:val="BodyText"/>
      </w:pPr>
      <w:r>
        <w:t xml:space="preserve">The main focus for the participant comparisons were TIR and HbA1c. The thresholds were as followed: TIR ≥ 70% (70–180 mg/dL, 3.9–10.0 mmol/L) and HbA1c &lt;7.0 % (&lt; 53 mmol/mol).</w:t>
      </w:r>
      <w:r>
        <w:rPr>
          <w:vertAlign w:val="superscript"/>
        </w:rPr>
        <w:t xml:space="preserve">10,12</w:t>
      </w:r>
      <w:r>
        <w:t xml:space="preserve"> </w:t>
      </w:r>
      <w:r>
        <w:t xml:space="preserve">Furthermore, a</w:t>
      </w:r>
      <w:r>
        <w:t xml:space="preserve"> </w:t>
      </w:r>
      <w:hyperlink w:anchor="acronyms_UMAP">
        <w:r>
          <w:rPr>
            <w:rStyle w:val="Hyperlink"/>
          </w:rPr>
          <w:t xml:space="preserve">uniform manifold approximation and projection (UMAP)</w:t>
        </w:r>
      </w:hyperlink>
      <w:r>
        <w:t xml:space="preserve"> </w:t>
      </w:r>
      <w:r>
        <w:t xml:space="preserve">algorithm was used to reduce the dimensionality of the embeddings to two dimensions since a 128-dimensional vector is not easily visualized.</w:t>
      </w:r>
      <w:r>
        <w:t xml:space="preserve"> </w:t>
      </w:r>
      <w:r>
        <w:t xml:space="preserve">UMAP visualizations were generated by coloring participants according to race, MAGE (&lt; 70 mg/dL ( &lt; 3.9 mmol/L )),</w:t>
      </w:r>
      <w:r>
        <w:rPr>
          <w:vertAlign w:val="superscript"/>
        </w:rPr>
        <w:t xml:space="preserve">10</w:t>
      </w:r>
      <w:r>
        <w:t xml:space="preserve"> </w:t>
      </w:r>
      <w:r>
        <w:t xml:space="preserve">and NT-proBNP (NT-proBNP ≤ 125 pg/mL).</w:t>
      </w:r>
      <w:r>
        <w:rPr>
          <w:vertAlign w:val="superscript"/>
        </w:rPr>
        <w:t xml:space="preserve">76,77</w:t>
      </w:r>
      <w:r>
        <w:t xml:space="preserve"> </w:t>
      </w:r>
      <w:r>
        <w:t xml:space="preserve">The threshold-based categorizations for TIR, MAGE, and HbA1c were used solely for the cosine distance analyzes and to facilitate interpretation of the</w:t>
      </w:r>
      <w:r>
        <w:t xml:space="preserve"> </w:t>
      </w:r>
      <w:hyperlink w:anchor="acronyms_UMAP">
        <w:r>
          <w:rPr>
            <w:rStyle w:val="Hyperlink"/>
          </w:rPr>
          <w:t xml:space="preserve">UMAP</w:t>
        </w:r>
      </w:hyperlink>
      <w:r>
        <w:t xml:space="preserve"> </w:t>
      </w:r>
      <w:r>
        <w:t xml:space="preserve">visualizations and were not incorporated into model development or any statistical analyzes.</w:t>
      </w:r>
      <w:r>
        <w:t xml:space="preserve"> </w:t>
      </w:r>
      <w:r>
        <w:t xml:space="preserve">The concept of dimensionality reduction is illustrated in</w:t>
      </w:r>
      <w:r>
        <w:t xml:space="preserve"> </w:t>
      </w:r>
      <w:hyperlink w:anchor="fig-dim_reduce">
        <w:r>
          <w:rPr>
            <w:rStyle w:val="Hyperlink"/>
          </w:rPr>
          <w:t xml:space="preserve">Figure 3.7</w:t>
        </w:r>
      </w:hyperlink>
      <w:r>
        <w:t xml:space="preserve">.</w:t>
      </w:r>
      <w:r>
        <w:t xml:space="preserve"> </w:t>
      </w:r>
      <w:r>
        <w:t xml:space="preserve">The</w:t>
      </w:r>
      <w:r>
        <w:t xml:space="preserve"> </w:t>
      </w:r>
      <w:hyperlink w:anchor="acronyms_UMAP">
        <w:r>
          <w:rPr>
            <w:rStyle w:val="Hyperlink"/>
          </w:rPr>
          <w:t xml:space="preserve">UMAP</w:t>
        </w:r>
      </w:hyperlink>
      <w:r>
        <w:t xml:space="preserve">s were first used for visualization and comparison with existing literature and were subsequently included in prediction models.</w:t>
      </w:r>
      <w:r>
        <w:rPr>
          <w:vertAlign w:val="superscript"/>
        </w:rPr>
        <w:t xml:space="preserve">41,42,78</w:t>
      </w:r>
      <w:r>
        <w:t xml:space="preserve"> </w:t>
      </w:r>
      <w:r>
        <w:t xml:space="preserve">This dimensionality reduction step was used because the original 128-dimensional embeddings would provide too many predictors for a simple logistic regression model.</w:t>
      </w:r>
      <w:r>
        <w:t xml:space="preserve"> </w:t>
      </w:r>
      <w:r>
        <w:t xml:space="preserve">The UMAPs were colored by TIR, and MAGE to investigate if the embeddings were able to capture relevant information about glycemic patterns. Elevated NT-proBNP for the CANCAN embeddings were also used to color the UMAPs to investigate if the embeddings were able to capture relevant information about cardiovascular risk and race was used to color the T1DX embeddings to investigate if the embeddings were able to capture relevant information about racial differences in glycemic patterns.</w:t>
      </w:r>
      <w:r>
        <w:t xml:space="preserve"> </w:t>
      </w:r>
      <w:r>
        <w:t xml:space="preserve">Pearson correlations were calculated between the UMAP dimensions and HbA1c, TIR, MAGE, and log-transformed NT-proBNP.</w:t>
      </w:r>
    </w:p>
    <w:tbl>
      <w:tblPr>
        <w:tblStyle w:val="Table"/>
        <w:tblW w:type="pct" w:w="5000"/>
        <w:tblLayout w:type="fixed"/>
        <w:tblLook w:firstRow="0" w:lastRow="0" w:firstColumn="0" w:lastColumn="0" w:noHBand="0" w:noVBand="0" w:val="0000"/>
      </w:tblPr>
      <w:tblGrid>
        <w:gridCol w:w="7920"/>
      </w:tblGrid>
      <w:tr>
        <w:tc>
          <w:tcPr/>
          <w:bookmarkStart w:id="126" w:name="fig-dim_reduce"/>
          <w:p>
            <w:pPr>
              <w:pStyle w:val="Compact"/>
              <w:jc w:val="center"/>
            </w:pPr>
            <w:hyperlink r:id="rId125">
              <w:r>
                <w:drawing>
                  <wp:inline>
                    <wp:extent cx="5334000" cy="2117243"/>
                    <wp:effectExtent b="0" l="0" r="0" t="0"/>
                    <wp:docPr descr="" title="" id="123" name="Picture"/>
                    <a:graphic>
                      <a:graphicData uri="http://schemas.openxmlformats.org/drawingml/2006/picture">
                        <pic:pic>
                          <pic:nvPicPr>
                            <pic:cNvPr descr="figures/3_methods_fig/study_2_dim_reduce.png" id="124" name="Picture"/>
                            <pic:cNvPicPr>
                              <a:picLocks noChangeArrowheads="1" noChangeAspect="1"/>
                            </pic:cNvPicPr>
                          </pic:nvPicPr>
                          <pic:blipFill>
                            <a:blip r:embed="rId122"/>
                            <a:stretch>
                              <a:fillRect/>
                            </a:stretch>
                          </pic:blipFill>
                          <pic:spPr bwMode="auto">
                            <a:xfrm>
                              <a:off x="0" y="0"/>
                              <a:ext cx="5334000" cy="2117243"/>
                            </a:xfrm>
                            <a:prstGeom prst="rect">
                              <a:avLst/>
                            </a:prstGeom>
                            <a:noFill/>
                            <a:ln w="9525">
                              <a:noFill/>
                              <a:headEnd/>
                              <a:tailEnd/>
                            </a:ln>
                          </pic:spPr>
                        </pic:pic>
                      </a:graphicData>
                    </a:graphic>
                  </wp:inline>
                </w:drawing>
              </w:r>
            </w:hyperlink>
          </w:p>
          <w:p>
            <w:pPr>
              <w:jc w:val="center"/>
            </w:pPr>
            <w:pPr>
              <w:jc w:val="left"/>
              <w:spacing w:before="200"/>
              <w:pStyle w:val="ImageCaption"/>
            </w:pPr>
            <w:r>
              <w:t xml:space="preserve">Figure 3.7: Conceptual illustration of dimensionality reduction, read from left to right. High-dimensional information can be represented in fewer dimensions while preserving important structure, however not all information is retained. The illustration does not show how UMAP works specifically, but conveys the general idea of reducing complex data to a lower-dimensional representation.</w:t>
            </w:r>
          </w:p>
          <w:bookmarkEnd w:id="126"/>
        </w:tc>
      </w:tr>
    </w:tbl>
    <w:bookmarkEnd w:id="127"/>
    <w:bookmarkEnd w:id="128"/>
    <w:bookmarkStart w:id="137" w:name="study-ii-cardiovascular-risk-assessment"/>
    <w:p>
      <w:pPr>
        <w:pStyle w:val="Heading2"/>
      </w:pPr>
      <w:r>
        <w:t xml:space="preserve">3.4 Study II: Cardiovascular Risk Assessment</w:t>
      </w:r>
    </w:p>
    <w:p>
      <w:pPr>
        <w:pStyle w:val="FirstParagraph"/>
      </w:pPr>
      <w:r>
        <w:t xml:space="preserve">The following section describes the cardiovascular risk assessment analyzes, in which</w:t>
      </w:r>
      <w:r>
        <w:t xml:space="preserve"> </w:t>
      </w:r>
      <w:hyperlink w:anchor="acronyms_NT_proBNP">
        <w:r>
          <w:rPr>
            <w:rStyle w:val="Hyperlink"/>
          </w:rPr>
          <w:t xml:space="preserve">NT-proBNP</w:t>
        </w:r>
      </w:hyperlink>
      <w:r>
        <w:t xml:space="preserve"> </w:t>
      </w:r>
      <w:r>
        <w:t xml:space="preserve">was predicted as a binary outcome using a &gt;125 pg/mL threshold.</w:t>
      </w:r>
      <w:r>
        <w:rPr>
          <w:vertAlign w:val="superscript"/>
        </w:rPr>
        <w:t xml:space="preserve">23,76,77</w:t>
      </w:r>
      <w:r>
        <w:t xml:space="preserve"> </w:t>
      </w:r>
      <w:r>
        <w:t xml:space="preserve">Only the cross-sectional CANCAN dataset was used for the cardiovascular risk assessment.</w:t>
      </w:r>
      <w:r>
        <w:t xml:space="preserve"> </w:t>
      </w:r>
      <w:r>
        <w:t xml:space="preserve">The focus was to test the predictive power of CGM data both as represented as embeddings and as well-established CGM-derived metrics. Some models also included clinical predictors to compare up against baseline models.</w:t>
      </w:r>
      <w:r>
        <w:t xml:space="preserve"> </w:t>
      </w:r>
      <w:r>
        <w:t xml:space="preserve">Prediction models integrated clinical, standard CGM-derived, and learned representations.</w:t>
      </w:r>
    </w:p>
    <w:bookmarkStart w:id="129" w:name="predictors"/>
    <w:p>
      <w:pPr>
        <w:pStyle w:val="Heading3"/>
      </w:pPr>
      <w:r>
        <w:t xml:space="preserve">Predictors</w:t>
      </w:r>
    </w:p>
    <w:p>
      <w:pPr>
        <w:pStyle w:val="FirstParagraph"/>
      </w:pPr>
      <w:r>
        <w:t xml:space="preserve">Initial testing showed that the numbers of predictors had to be limited due to the small sample size and the SCORE2-Diabetes risk score was chosen as another way to represent the clinical predictor set while keeping the number of predictors down.</w:t>
      </w:r>
      <w:r>
        <w:rPr>
          <w:vertAlign w:val="superscript"/>
        </w:rPr>
        <w:t xml:space="preserve">21</w:t>
      </w:r>
      <w:r>
        <w:t xml:space="preserve"> </w:t>
      </w:r>
      <w:r>
        <w:t xml:space="preserve">This resulted in the following clinical predictors: age, sex, smoking status, systolic blood pressure, total cholesterol,</w:t>
      </w:r>
      <w:r>
        <w:t xml:space="preserve"> </w:t>
      </w:r>
      <w:hyperlink w:anchor="acronyms_HDL_cholesterol">
        <w:r>
          <w:rPr>
            <w:rStyle w:val="Hyperlink"/>
          </w:rPr>
          <w:t xml:space="preserve">HDL cholesterol</w:t>
        </w:r>
      </w:hyperlink>
      <w:r>
        <w:t xml:space="preserve">, age at diabetes diagnosis,</w:t>
      </w:r>
      <w:r>
        <w:t xml:space="preserve"> </w:t>
      </w:r>
      <w:hyperlink w:anchor="acronyms_eGFR">
        <w:r>
          <w:rPr>
            <w:rStyle w:val="Hyperlink"/>
          </w:rPr>
          <w:t xml:space="preserve">eGFR</w:t>
        </w:r>
      </w:hyperlink>
      <w:r>
        <w:t xml:space="preserve"> </w:t>
      </w:r>
      <w:r>
        <w:t xml:space="preserve">and HbA1c. The SCORE2-Diabetes risk score was tested as a predictor in itself as well.</w:t>
      </w:r>
      <w:r>
        <w:t xml:space="preserve"> </w:t>
      </w:r>
      <w:r>
        <w:t xml:space="preserve">Additionally, age was tested as a predictor on its own to see if it was a strong predictor of elevated NT-proBNP, since NT-proBNP is known to increase with age.</w:t>
      </w:r>
      <w:r>
        <w:rPr>
          <w:vertAlign w:val="superscript"/>
        </w:rPr>
        <w:t xml:space="preserve">23,79</w:t>
      </w:r>
      <w:r>
        <w:t xml:space="preserve"> </w:t>
      </w:r>
      <w:r>
        <w:t xml:space="preserve">TIR and MAGE were chosen as they were the CGM-derived metrics most commonly used in the literature based on the findings from Study I.</w:t>
      </w:r>
      <w:r>
        <w:rPr>
          <w:vertAlign w:val="superscript"/>
        </w:rPr>
        <w:t xml:space="preserve">59</w:t>
      </w:r>
      <w:r>
        <w:t xml:space="preserve"> </w:t>
      </w:r>
      <w:r>
        <w:t xml:space="preserve">All CGM-derived metrics in this dissertationwere calculated using the</w:t>
      </w:r>
      <w:r>
        <w:t xml:space="preserve"> </w:t>
      </w:r>
      <w:hyperlink w:anchor="acronyms_IGLU">
        <w:r>
          <w:rPr>
            <w:rStyle w:val="Hyperlink"/>
          </w:rPr>
          <w:t xml:space="preserve">Interpreting Glucose Data from Continuous Glucose Monitors (IGLU)</w:t>
        </w:r>
      </w:hyperlink>
      <w:r>
        <w:t xml:space="preserve"> </w:t>
      </w:r>
      <w:r>
        <w:t xml:space="preserve">package</w:t>
      </w:r>
      <w:r>
        <w:rPr>
          <w:vertAlign w:val="superscript"/>
        </w:rPr>
        <w:t xml:space="preserve">80,81</w:t>
      </w:r>
      <w:r>
        <w:t xml:space="preserve"> </w:t>
      </w:r>
      <w:r>
        <w:t xml:space="preserve">in R (default settings). TIR was calculated as the percentage of time spent in the range of 3.9–10.0 mmol/L (70–180 mg/dL).</w:t>
      </w:r>
      <w:r>
        <w:rPr>
          <w:vertAlign w:val="superscript"/>
        </w:rPr>
        <w:t xml:space="preserve">10</w:t>
      </w:r>
      <w:r>
        <w:t xml:space="preserve"> </w:t>
      </w:r>
      <w:r>
        <w:t xml:space="preserve">MAGE was calculated as the mean amplitude of glucose excursions, where the included excursions were consecutive peak-to-nadir (or nadir-to-peak) glucose differences exceeding one standard deviation of the individual’s glucose measurements. The</w:t>
      </w:r>
      <w:r>
        <w:t xml:space="preserve"> </w:t>
      </w:r>
      <w:hyperlink w:anchor="acronyms_IGLU">
        <w:r>
          <w:rPr>
            <w:rStyle w:val="Hyperlink"/>
          </w:rPr>
          <w:t xml:space="preserve">IGLU</w:t>
        </w:r>
      </w:hyperlink>
      <w:r>
        <w:t xml:space="preserve"> </w:t>
      </w:r>
      <w:r>
        <w:t xml:space="preserve">implementation computationally reproduces the original manual procedure proposed by Service et al.</w:t>
      </w:r>
      <w:r>
        <w:rPr>
          <w:vertAlign w:val="superscript"/>
        </w:rPr>
        <w:t xml:space="preserve">82</w:t>
      </w:r>
      <w:r>
        <w:t xml:space="preserve"> </w:t>
      </w:r>
      <w:r>
        <w:t xml:space="preserve">The CGMformer generated one 128-dimensional embedding for each 24-hour CGM recording. Because NT-proBNP was measured at the participant level, a single embedding was required for each participant. Therefore, embeddings from multiple recording days were aggregated using pooling to obtain one participant-level embedding. Both minimum, maximum, and mean pooling were explored to determine the most effective aggregation method. Maximum pooling was considered the default based on existing literature.</w:t>
      </w:r>
      <w:r>
        <w:rPr>
          <w:vertAlign w:val="superscript"/>
        </w:rPr>
        <w:t xml:space="preserve">42</w:t>
      </w:r>
      <w:r>
        <w:t xml:space="preserve"> </w:t>
      </w:r>
      <w:r>
        <w:t xml:space="preserve">The resulting 128-dimensional embeddings were subsequently reduced to two dimensions using UMAP, thereby enabling their use in the prediction models while minimising the number of predictors.</w:t>
      </w:r>
    </w:p>
    <w:bookmarkEnd w:id="129"/>
    <w:bookmarkStart w:id="134" w:name="model-development-and-evaluation"/>
    <w:p>
      <w:pPr>
        <w:pStyle w:val="Heading3"/>
      </w:pPr>
      <w:r>
        <w:t xml:space="preserve">Model Development and Evaluation</w:t>
      </w:r>
    </w:p>
    <w:p>
      <w:pPr>
        <w:pStyle w:val="FirstParagraph"/>
      </w:pPr>
      <w:r>
        <w:t xml:space="preserve">Prediction models were developed using logistic regression to predict elevated NT-proBNP (&gt;125 pg/mL) as a binary outcome. The models were evaluated using the AUROC as the primary metric.</w:t>
      </w:r>
      <w:r>
        <w:t xml:space="preserve"> </w:t>
      </w:r>
      <w:r>
        <w:t xml:space="preserve">Bootstrap with optimism correction was employed for internal validation because of the limited sample size and the absence of an external validation cohort.</w:t>
      </w:r>
      <w:r>
        <w:rPr>
          <w:vertAlign w:val="superscript"/>
        </w:rPr>
        <w:t xml:space="preserve">48,83,84</w:t>
      </w:r>
      <w:r>
        <w:t xml:space="preserve"> </w:t>
      </w:r>
      <w:r>
        <w:t xml:space="preserve">The method repeatedly sampled bootstrap samples by sampling with replacement from the original dataset (</w:t>
      </w:r>
      <w:hyperlink w:anchor="fig-bootstrap">
        <w:r>
          <w:rPr>
            <w:rStyle w:val="Hyperlink"/>
          </w:rPr>
          <w:t xml:space="preserve">Figure 3.8</w:t>
        </w:r>
      </w:hyperlink>
      <w:r>
        <w:t xml:space="preserve">). Sampling with replacement means that the same observation can be selected more than once in the new sample. For each bootstrap sample, the prediction model is fitted and its performance is evaluated both in the bootstrap sample (apparent performance) and in the original dataset (test performance). The difference between these two performance estimates represents the optimism due to overfitting (overfitting occurs when a model learns overly specific patterns in the training data, causing it to perform well on training data but poorly on new data). Averaging the optimism across all bootstrap samples and subtracting it from the apparent performance of the model fitted to the full dataset yields an optimism-corrected estimate of model performance. Internal validation was performed using 500 bootstrap resamples.</w:t>
      </w:r>
      <w:r>
        <w:rPr>
          <w:vertAlign w:val="superscript"/>
        </w:rPr>
        <w:t xml:space="preserve">48,84</w:t>
      </w:r>
      <w:r>
        <w:t xml:space="preserve"> </w:t>
      </w:r>
      <w:r>
        <w:t xml:space="preserve">Prediction stability plots were reported for each model to evaluate the stability of predictions produced by a specific model strategy when the training data changes.</w:t>
      </w:r>
      <w:r>
        <w:rPr>
          <w:vertAlign w:val="superscript"/>
        </w:rPr>
        <w:t xml:space="preserve">84</w:t>
      </w:r>
      <w:r>
        <w:t xml:space="preserve"> </w:t>
      </w:r>
    </w:p>
    <w:tbl>
      <w:tblPr>
        <w:tblStyle w:val="Table"/>
        <w:tblW w:type="pct" w:w="5000"/>
        <w:tblLayout w:type="fixed"/>
        <w:tblLook w:firstRow="0" w:lastRow="0" w:firstColumn="0" w:lastColumn="0" w:noHBand="0" w:noVBand="0" w:val="0000"/>
      </w:tblPr>
      <w:tblGrid>
        <w:gridCol w:w="7920"/>
      </w:tblGrid>
      <w:tr>
        <w:tc>
          <w:tcPr/>
          <w:bookmarkStart w:id="133" w:name="fig-bootstrap"/>
          <w:p>
            <w:pPr>
              <w:pStyle w:val="Compact"/>
              <w:jc w:val="center"/>
            </w:pPr>
            <w:r>
              <w:drawing>
                <wp:inline>
                  <wp:extent cx="3733800" cy="4095135"/>
                  <wp:effectExtent b="0" l="0" r="0" t="0"/>
                  <wp:docPr descr="" title="" id="131" name="Picture"/>
                  <a:graphic>
                    <a:graphicData uri="http://schemas.openxmlformats.org/drawingml/2006/picture">
                      <pic:pic>
                        <pic:nvPicPr>
                          <pic:cNvPr descr="figures/3_methods_fig/study_2_bootstrap.png" id="132" name="Picture"/>
                          <pic:cNvPicPr>
                            <a:picLocks noChangeArrowheads="1" noChangeAspect="1"/>
                          </pic:cNvPicPr>
                        </pic:nvPicPr>
                        <pic:blipFill>
                          <a:blip r:embed="rId130"/>
                          <a:stretch>
                            <a:fillRect/>
                          </a:stretch>
                        </pic:blipFill>
                        <pic:spPr bwMode="auto">
                          <a:xfrm>
                            <a:off x="0" y="0"/>
                            <a:ext cx="3733800" cy="4095135"/>
                          </a:xfrm>
                          <a:prstGeom prst="rect">
                            <a:avLst/>
                          </a:prstGeom>
                          <a:noFill/>
                          <a:ln w="9525">
                            <a:noFill/>
                            <a:headEnd/>
                            <a:tailEnd/>
                          </a:ln>
                        </pic:spPr>
                      </pic:pic>
                    </a:graphicData>
                  </a:graphic>
                </wp:inline>
              </w:drawing>
            </w:r>
          </w:p>
          <w:p>
            <w:pPr>
              <w:jc w:val="center"/>
            </w:pPr>
            <w:pPr>
              <w:jc w:val="left"/>
              <w:spacing w:before="200"/>
              <w:pStyle w:val="ImageCaption"/>
            </w:pPr>
            <w:r>
              <w:t xml:space="preserve">Figure 3.8: Bootstrap with opimism correction. Redrawn and adapted from Wahl et al.</w:t>
            </w:r>
            <w:r>
              <w:rPr>
                <w:vertAlign w:val="superscript"/>
              </w:rPr>
              <w:t xml:space="preserve">83</w:t>
            </w:r>
            <w:r>
              <w:t xml:space="preserve"> </w:t>
            </w:r>
            <w:r>
              <w:t xml:space="preserve">under the Creative Commons Attribution 4.0 International License CC BY 4.0.</w:t>
            </w:r>
          </w:p>
          <w:bookmarkEnd w:id="133"/>
        </w:tc>
      </w:tr>
    </w:tbl>
    <w:bookmarkEnd w:id="134"/>
    <w:bookmarkStart w:id="136" w:name="prediction-scheme-overview"/>
    <w:p>
      <w:pPr>
        <w:pStyle w:val="Heading3"/>
      </w:pPr>
      <w:r>
        <w:t xml:space="preserve">Prediction Scheme Overview</w:t>
      </w:r>
    </w:p>
    <w:p>
      <w:pPr>
        <w:pStyle w:val="FirstParagraph"/>
      </w:pPr>
      <w:r>
        <w:t xml:space="preserve">The prediction models were structured hierarchically based on clinical variables (Model A) and the calculated SCORE2-Diabetes score (Model B) in the configurations shown in</w:t>
      </w:r>
      <w:r>
        <w:t xml:space="preserve"> </w:t>
      </w:r>
      <w:hyperlink w:anchor="tbl-models">
        <w:r>
          <w:rPr>
            <w:rStyle w:val="Hyperlink"/>
          </w:rPr>
          <w:t xml:space="preserve">Table 3.2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35" w:name="tbl-models"/>
          <w:p>
            <w:pPr>
              <w:jc w:val="center"/>
            </w:pPr>
            <w:pPr>
              <w:jc w:val="left"/>
              <w:spacing w:before="200"/>
              <w:pStyle w:val="ImageCaption"/>
            </w:pPr>
            <w:r>
              <w:t xml:space="preserve">Table 3.2: Overview of models and predictors.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Model family</w:t>
                  </w:r>
                </w:p>
              </w:tc>
              <w:tc>
                <w:tcPr/>
                <w:p>
                  <w:pPr>
                    <w:pStyle w:val="Compact"/>
                    <w:jc w:val="center"/>
                    <w:jc w:val="center"/>
                  </w:pPr>
                  <w:r>
                    <w:t xml:space="preserve">Model</w:t>
                  </w:r>
                </w:p>
              </w:tc>
              <w:tc>
                <w:tcPr/>
                <w:p>
                  <w:pPr>
                    <w:pStyle w:val="Compact"/>
                    <w:jc w:val="left"/>
                    <w:jc w:val="center"/>
                  </w:pPr>
                  <w:r>
                    <w:t xml:space="preserve">Baseline predictors</w:t>
                  </w:r>
                </w:p>
              </w:tc>
              <w:tc>
                <w:tcPr/>
                <w:p>
                  <w:pPr>
                    <w:pStyle w:val="Compact"/>
                    <w:jc w:val="left"/>
                    <w:jc w:val="center"/>
                  </w:pPr>
                  <w:r>
                    <w:t xml:space="preserve">Additional predictors</w:t>
                  </w:r>
                </w:p>
              </w:tc>
            </w:tr>
            <w:tr>
              <w:tc>
                <w:tcPr/>
                <w:p>
                  <w:pPr>
                    <w:pStyle w:val="Compact"/>
                    <w:jc w:val="left"/>
                    <w:jc w:val="center"/>
                  </w:pPr>
                  <w:r>
                    <w:t xml:space="preserve">Clinical</w:t>
                  </w:r>
                </w:p>
              </w:tc>
              <w:tc>
                <w:tcPr/>
                <w:p>
                  <w:pPr>
                    <w:pStyle w:val="Compact"/>
                    <w:jc w:val="center"/>
                    <w:jc w:val="center"/>
                  </w:pPr>
                  <w:r>
                    <w:rPr>
                      <w:b/>
                      <w:bCs/>
                    </w:rPr>
                    <w:t xml:space="preserve">A0</w:t>
                  </w:r>
                </w:p>
              </w:tc>
              <w:tc>
                <w:tcPr/>
                <w:p>
                  <w:pPr>
                    <w:pStyle w:val="Compact"/>
                    <w:jc w:val="left"/>
                    <w:jc w:val="center"/>
                  </w:pPr>
                  <w:r>
                    <w:t xml:space="preserve">Age</w:t>
                  </w:r>
                </w:p>
              </w:tc>
              <w:tc>
                <w:tcPr/>
                <w:p>
                  <w:pPr>
                    <w:pStyle w:val="Compact"/>
                    <w:jc w:val="left"/>
                    <w:jc w:val="center"/>
                  </w:pPr>
                  <w:r>
                    <w:t xml:space="preserve">–</w:t>
                  </w:r>
                </w:p>
              </w:tc>
            </w:tr>
            <w:tr>
              <w:tc>
                <w:tcPr/>
                <w:p>
                  <w:pPr>
                    <w:pStyle w:val="Compact"/>
                    <w:jc w:val="left"/>
                    <w:jc w:val="center"/>
                  </w:pPr>
                  <w:r>
                    <w:t xml:space="preserve">Clinical</w:t>
                  </w:r>
                </w:p>
              </w:tc>
              <w:tc>
                <w:tcPr/>
                <w:p>
                  <w:pPr>
                    <w:pStyle w:val="Compact"/>
                    <w:jc w:val="center"/>
                    <w:jc w:val="center"/>
                  </w:pPr>
                  <w:r>
                    <w:rPr>
                      <w:b/>
                      <w:bCs/>
                    </w:rPr>
                    <w:t xml:space="preserve">A1</w:t>
                  </w:r>
                </w:p>
              </w:tc>
              <w:tc>
                <w:tcPr/>
                <w:p>
                  <w:pPr>
                    <w:pStyle w:val="Compact"/>
                    <w:jc w:val="left"/>
                    <w:jc w:val="center"/>
                  </w:pPr>
                  <w:r>
                    <w:t xml:space="preserve">Clinical variables*</w:t>
                  </w:r>
                </w:p>
              </w:tc>
              <w:tc>
                <w:tcPr/>
                <w:p>
                  <w:pPr>
                    <w:pStyle w:val="Compact"/>
                    <w:jc w:val="left"/>
                    <w:jc w:val="center"/>
                  </w:pPr>
                  <w:r>
                    <w:t xml:space="preserve">–</w:t>
                  </w:r>
                </w:p>
              </w:tc>
            </w:tr>
            <w:tr>
              <w:tc>
                <w:tcPr/>
                <w:p>
                  <w:pPr>
                    <w:pStyle w:val="Compact"/>
                    <w:jc w:val="left"/>
                    <w:jc w:val="center"/>
                  </w:pPr>
                  <w:r>
                    <w:t xml:space="preserve">Clinical</w:t>
                  </w:r>
                </w:p>
              </w:tc>
              <w:tc>
                <w:tcPr/>
                <w:p>
                  <w:pPr>
                    <w:pStyle w:val="Compact"/>
                    <w:jc w:val="center"/>
                    <w:jc w:val="center"/>
                  </w:pPr>
                  <w:r>
                    <w:rPr>
                      <w:b/>
                      <w:bCs/>
                    </w:rPr>
                    <w:t xml:space="preserve">A2</w:t>
                  </w:r>
                </w:p>
              </w:tc>
              <w:tc>
                <w:tcPr/>
                <w:p>
                  <w:pPr>
                    <w:pStyle w:val="Compact"/>
                    <w:jc w:val="left"/>
                    <w:jc w:val="center"/>
                  </w:pPr>
                  <w:r>
                    <w:t xml:space="preserve">Clinical variables*</w:t>
                  </w:r>
                </w:p>
              </w:tc>
              <w:tc>
                <w:tcPr/>
                <w:p>
                  <w:pPr>
                    <w:pStyle w:val="Compact"/>
                    <w:jc w:val="left"/>
                    <w:jc w:val="center"/>
                  </w:pPr>
                  <w:r>
                    <w:t xml:space="preserve">TIR + MAGE</w:t>
                  </w:r>
                </w:p>
              </w:tc>
            </w:tr>
            <w:tr>
              <w:tc>
                <w:tcPr/>
                <w:p>
                  <w:pPr>
                    <w:pStyle w:val="Compact"/>
                    <w:jc w:val="left"/>
                    <w:jc w:val="center"/>
                  </w:pPr>
                  <w:r>
                    <w:t xml:space="preserve">Clinical</w:t>
                  </w:r>
                </w:p>
              </w:tc>
              <w:tc>
                <w:tcPr/>
                <w:p>
                  <w:pPr>
                    <w:pStyle w:val="Compact"/>
                    <w:jc w:val="center"/>
                    <w:jc w:val="center"/>
                  </w:pPr>
                  <w:r>
                    <w:rPr>
                      <w:b/>
                      <w:bCs/>
                    </w:rPr>
                    <w:t xml:space="preserve">A3</w:t>
                  </w:r>
                </w:p>
              </w:tc>
              <w:tc>
                <w:tcPr/>
                <w:p>
                  <w:pPr>
                    <w:pStyle w:val="Compact"/>
                    <w:jc w:val="left"/>
                    <w:jc w:val="center"/>
                  </w:pPr>
                  <w:r>
                    <w:t xml:space="preserve">Clinical variables*</w:t>
                  </w:r>
                </w:p>
              </w:tc>
              <w:tc>
                <w:tcPr/>
                <w:p>
                  <w:pPr>
                    <w:pStyle w:val="Compact"/>
                    <w:jc w:val="left"/>
                    <w:jc w:val="center"/>
                  </w:pPr>
                  <w:r>
                    <w:t xml:space="preserve">UMAP dimensions</w:t>
                  </w:r>
                </w:p>
              </w:tc>
            </w:tr>
            <w:tr>
              <w:tc>
                <w:tcPr/>
                <w:p>
                  <w:pPr>
                    <w:pStyle w:val="Compact"/>
                    <w:jc w:val="left"/>
                    <w:jc w:val="center"/>
                  </w:pPr>
                  <w:r>
                    <w:t xml:space="preserve">SCORE2-Diabetes</w:t>
                  </w:r>
                </w:p>
              </w:tc>
              <w:tc>
                <w:tcPr/>
                <w:p>
                  <w:pPr>
                    <w:pStyle w:val="Compact"/>
                    <w:jc w:val="center"/>
                    <w:jc w:val="center"/>
                  </w:pPr>
                  <w:r>
                    <w:rPr>
                      <w:b/>
                      <w:bCs/>
                    </w:rPr>
                    <w:t xml:space="preserve">B1</w:t>
                  </w:r>
                </w:p>
              </w:tc>
              <w:tc>
                <w:tcPr/>
                <w:p>
                  <w:pPr>
                    <w:pStyle w:val="Compact"/>
                    <w:jc w:val="left"/>
                    <w:jc w:val="center"/>
                  </w:pPr>
                  <w:r>
                    <w:t xml:space="preserve">SCORE2-Diabetes score</w:t>
                  </w:r>
                </w:p>
              </w:tc>
              <w:tc>
                <w:tcPr/>
                <w:p>
                  <w:pPr>
                    <w:pStyle w:val="Compact"/>
                    <w:jc w:val="left"/>
                    <w:jc w:val="center"/>
                  </w:pPr>
                  <w:r>
                    <w:t xml:space="preserve">–</w:t>
                  </w:r>
                </w:p>
              </w:tc>
            </w:tr>
            <w:tr>
              <w:tc>
                <w:tcPr/>
                <w:p>
                  <w:pPr>
                    <w:pStyle w:val="Compact"/>
                    <w:jc w:val="left"/>
                    <w:jc w:val="center"/>
                  </w:pPr>
                  <w:r>
                    <w:t xml:space="preserve">SCORE2-Diabetes</w:t>
                  </w:r>
                </w:p>
              </w:tc>
              <w:tc>
                <w:tcPr/>
                <w:p>
                  <w:pPr>
                    <w:pStyle w:val="Compact"/>
                    <w:jc w:val="center"/>
                    <w:jc w:val="center"/>
                  </w:pPr>
                  <w:r>
                    <w:rPr>
                      <w:b/>
                      <w:bCs/>
                    </w:rPr>
                    <w:t xml:space="preserve">B2</w:t>
                  </w:r>
                </w:p>
              </w:tc>
              <w:tc>
                <w:tcPr/>
                <w:p>
                  <w:pPr>
                    <w:pStyle w:val="Compact"/>
                    <w:jc w:val="left"/>
                    <w:jc w:val="center"/>
                  </w:pPr>
                  <w:r>
                    <w:t xml:space="preserve">SCORE2-Diabetes score</w:t>
                  </w:r>
                </w:p>
              </w:tc>
              <w:tc>
                <w:tcPr/>
                <w:p>
                  <w:pPr>
                    <w:pStyle w:val="Compact"/>
                    <w:jc w:val="left"/>
                    <w:jc w:val="center"/>
                  </w:pPr>
                  <w:r>
                    <w:t xml:space="preserve">TIR + MAGE</w:t>
                  </w:r>
                </w:p>
              </w:tc>
            </w:tr>
            <w:tr>
              <w:tc>
                <w:tcPr/>
                <w:p>
                  <w:pPr>
                    <w:pStyle w:val="Compact"/>
                    <w:jc w:val="left"/>
                    <w:jc w:val="center"/>
                  </w:pPr>
                  <w:r>
                    <w:t xml:space="preserve">SCORE2-Diabetes</w:t>
                  </w:r>
                </w:p>
              </w:tc>
              <w:tc>
                <w:tcPr/>
                <w:p>
                  <w:pPr>
                    <w:pStyle w:val="Compact"/>
                    <w:jc w:val="center"/>
                    <w:jc w:val="center"/>
                  </w:pPr>
                  <w:r>
                    <w:rPr>
                      <w:b/>
                      <w:bCs/>
                    </w:rPr>
                    <w:t xml:space="preserve">B3</w:t>
                  </w:r>
                </w:p>
              </w:tc>
              <w:tc>
                <w:tcPr/>
                <w:p>
                  <w:pPr>
                    <w:pStyle w:val="Compact"/>
                    <w:jc w:val="left"/>
                    <w:jc w:val="center"/>
                  </w:pPr>
                  <w:r>
                    <w:t xml:space="preserve">SCORE2-Diabetes score</w:t>
                  </w:r>
                </w:p>
              </w:tc>
              <w:tc>
                <w:tcPr/>
                <w:p>
                  <w:pPr>
                    <w:pStyle w:val="Compact"/>
                    <w:jc w:val="left"/>
                    <w:jc w:val="center"/>
                  </w:pPr>
                  <w:r>
                    <w:t xml:space="preserve">UMAP dimensions</w:t>
                  </w:r>
                </w:p>
              </w:tc>
            </w:tr>
            <w:tr>
              <w:tc>
                <w:tcPr/>
                <w:p>
                  <w:pPr>
                    <w:pStyle w:val="Compact"/>
                    <w:jc w:val="left"/>
                    <w:jc w:val="center"/>
                  </w:pPr>
                  <w:r>
                    <w:t xml:space="preserve">CGM only</w:t>
                  </w:r>
                </w:p>
              </w:tc>
              <w:tc>
                <w:tcPr/>
                <w:p>
                  <w:pPr>
                    <w:pStyle w:val="Compact"/>
                    <w:jc w:val="center"/>
                    <w:jc w:val="center"/>
                  </w:pPr>
                  <w:r>
                    <w:rPr>
                      <w:b/>
                      <w:bCs/>
                    </w:rPr>
                    <w:t xml:space="preserve">C1</w:t>
                  </w:r>
                </w:p>
              </w:tc>
              <w:tc>
                <w:tcPr/>
                <w:p>
                  <w:pPr>
                    <w:pStyle w:val="Compact"/>
                    <w:jc w:val="left"/>
                    <w:jc w:val="center"/>
                  </w:pPr>
                  <w:r>
                    <w:t xml:space="preserve">TIR + MAGE</w:t>
                  </w:r>
                </w:p>
              </w:tc>
              <w:tc>
                <w:tcPr/>
                <w:p>
                  <w:pPr>
                    <w:pStyle w:val="Compact"/>
                    <w:jc w:val="left"/>
                    <w:jc w:val="center"/>
                  </w:pPr>
                  <w:r>
                    <w:t xml:space="preserve">–</w:t>
                  </w:r>
                </w:p>
              </w:tc>
            </w:tr>
            <w:tr>
              <w:tc>
                <w:tcPr/>
                <w:p>
                  <w:pPr>
                    <w:pStyle w:val="Compact"/>
                    <w:jc w:val="left"/>
                    <w:jc w:val="center"/>
                  </w:pPr>
                  <w:r>
                    <w:t xml:space="preserve">Embeddings only</w:t>
                  </w:r>
                </w:p>
              </w:tc>
              <w:tc>
                <w:tcPr/>
                <w:p>
                  <w:pPr>
                    <w:pStyle w:val="Compact"/>
                    <w:jc w:val="center"/>
                    <w:jc w:val="center"/>
                  </w:pPr>
                  <w:r>
                    <w:rPr>
                      <w:b/>
                      <w:bCs/>
                    </w:rPr>
                    <w:t xml:space="preserve">D1</w:t>
                  </w:r>
                </w:p>
              </w:tc>
              <w:tc>
                <w:tcPr/>
                <w:p>
                  <w:pPr>
                    <w:pStyle w:val="Compact"/>
                    <w:jc w:val="left"/>
                    <w:jc w:val="center"/>
                  </w:pPr>
                  <w:r>
                    <w:t xml:space="preserve">Pooled UMAP dimensions</w:t>
                  </w:r>
                </w:p>
              </w:tc>
              <w:tc>
                <w:tcPr/>
                <w:p>
                  <w:pPr>
                    <w:pStyle w:val="Compact"/>
                  </w:pPr>
                </w:p>
              </w:tc>
            </w:tr>
          </w:tbl>
          <w:bookmarkEnd w:id="135"/>
          <w:p/>
        </w:tc>
      </w:tr>
    </w:tbl>
    <w:bookmarkEnd w:id="136"/>
    <w:bookmarkEnd w:id="137"/>
    <w:bookmarkStart w:id="169" w:name="Xff00be2a9d251973aee9bb116deb781d66e0b62"/>
    <w:p>
      <w:pPr>
        <w:pStyle w:val="Heading2"/>
      </w:pPr>
      <w:r>
        <w:t xml:space="preserve">3.5 Study III: Algorithmic Fairness and Blood Glucose Prediction</w:t>
      </w:r>
    </w:p>
    <w:p>
      <w:pPr>
        <w:pStyle w:val="FirstParagraph"/>
      </w:pPr>
      <w:r>
        <w:t xml:space="preserve">The third study investigated racial bias strictly based on blood glucose measurements from a CGM device.</w:t>
      </w:r>
      <w:r>
        <w:t xml:space="preserve"> </w:t>
      </w:r>
      <w:r>
        <w:t xml:space="preserve">Although the primary focus of this dissertationis cardiovascular risk assessment, glucose forecasting provides an appropriate setting for investigating algorithmic fairness in CGM-based machine learning. In contrast to participant-level cardiovascular prediction, glucose forecasting is trained on a continuous stream of CGM measurements, allowing each participant to contribute numerous samples over the recording period rather than a single outcome.</w:t>
      </w:r>
      <w:r>
        <w:t xml:space="preserve"> </w:t>
      </w:r>
      <w:r>
        <w:t xml:space="preserve">This results in substantially more training examples, enabling the development and evaluation of more complex machine learning models. Consequently, glucose forecasting provides a suitable framework for studying how training data composition influences model performance across racial groups.</w:t>
      </w:r>
    </w:p>
    <w:bookmarkStart w:id="142" w:name="Xce711955e38166110a1f6bdd67a0668dff261f4"/>
    <w:p>
      <w:pPr>
        <w:pStyle w:val="Heading3"/>
      </w:pPr>
      <w:r>
        <w:t xml:space="preserve">Preprocessing of CGM data for Forecasting</w:t>
      </w:r>
    </w:p>
    <w:p>
      <w:pPr>
        <w:pStyle w:val="FirstParagraph"/>
      </w:pPr>
      <w:r>
        <w:t xml:space="preserve">A prediction horizon of 60 minutes was chosen as it provides sufficient time for preventive interventions for hypo- and hyperglycemia, such as insulin dose adjustments or carbohydrate intake, while accounting for the 15-minute sampling interval of the CGM device and the physiological delay between blood and interstitial glucose measurements.</w:t>
      </w:r>
      <w:r>
        <w:rPr>
          <w:vertAlign w:val="superscript"/>
        </w:rPr>
        <w:t xml:space="preserve">12</w:t>
      </w:r>
      <w:r>
        <w:t xml:space="preserve"> </w:t>
      </w:r>
      <w:r>
        <w:t xml:space="preserve">Accordingly, the CGM data was divided into consecutive 60-minute windows containing four glucose measurements to predict glucose levels 60 minutes into the future, as illustrated in</w:t>
      </w:r>
      <w:r>
        <w:t xml:space="preserve"> </w:t>
      </w:r>
      <w:hyperlink w:anchor="fig-study3_pred_horizon">
        <w:r>
          <w:rPr>
            <w:rStyle w:val="Hyperlink"/>
          </w:rPr>
          <w:t xml:space="preserve">Figure 3.9</w:t>
        </w:r>
      </w:hyperlink>
      <w:r>
        <w:t xml:space="preserve">. Prediction windows containing missing CGM values were excluded.</w:t>
      </w:r>
    </w:p>
    <w:tbl>
      <w:tblPr>
        <w:tblStyle w:val="Table"/>
        <w:tblW w:type="pct" w:w="5000"/>
        <w:tblLayout w:type="fixed"/>
        <w:tblLook w:firstRow="0" w:lastRow="0" w:firstColumn="0" w:lastColumn="0" w:noHBand="0" w:noVBand="0" w:val="0000"/>
      </w:tblPr>
      <w:tblGrid>
        <w:gridCol w:w="7920"/>
      </w:tblGrid>
      <w:tr>
        <w:tc>
          <w:tcPr/>
          <w:bookmarkStart w:id="141" w:name="fig-study3_pred_horizon"/>
          <w:p>
            <w:pPr>
              <w:pStyle w:val="Compact"/>
              <w:jc w:val="center"/>
            </w:pPr>
            <w:r>
              <w:drawing>
                <wp:inline>
                  <wp:extent cx="4000500" cy="1362872"/>
                  <wp:effectExtent b="0" l="0" r="0" t="0"/>
                  <wp:docPr descr="" title="" id="139" name="Picture"/>
                  <a:graphic>
                    <a:graphicData uri="http://schemas.openxmlformats.org/drawingml/2006/picture">
                      <pic:pic>
                        <pic:nvPicPr>
                          <pic:cNvPr descr="figures/3_methods_fig/study3_pred_horizon.png" id="140" name="Picture"/>
                          <pic:cNvPicPr>
                            <a:picLocks noChangeArrowheads="1" noChangeAspect="1"/>
                          </pic:cNvPicPr>
                        </pic:nvPicPr>
                        <pic:blipFill>
                          <a:blip r:embed="rId138"/>
                          <a:stretch>
                            <a:fillRect/>
                          </a:stretch>
                        </pic:blipFill>
                        <pic:spPr bwMode="auto">
                          <a:xfrm>
                            <a:off x="0" y="0"/>
                            <a:ext cx="4000500" cy="1362872"/>
                          </a:xfrm>
                          <a:prstGeom prst="rect">
                            <a:avLst/>
                          </a:prstGeom>
                          <a:noFill/>
                          <a:ln w="9525">
                            <a:noFill/>
                            <a:headEnd/>
                            <a:tailEnd/>
                          </a:ln>
                        </pic:spPr>
                      </pic:pic>
                    </a:graphicData>
                  </a:graphic>
                </wp:inline>
              </w:drawing>
            </w:r>
          </w:p>
          <w:p>
            <w:pPr>
              <w:jc w:val="center"/>
            </w:pPr>
            <w:pPr>
              <w:jc w:val="left"/>
              <w:spacing w:before="200"/>
              <w:pStyle w:val="ImageCaption"/>
            </w:pPr>
            <w:r>
              <w:t xml:space="preserve">Figure 3.9: The prediction horizon and overview of the creation of samples</w:t>
            </w:r>
            <w:r>
              <w:t xml:space="preserve"> </w:t>
            </w:r>
            <w:r>
              <w:t xml:space="preserve">(predictors and outcomes).</w:t>
            </w:r>
          </w:p>
          <w:bookmarkEnd w:id="141"/>
        </w:tc>
      </w:tr>
    </w:tbl>
    <w:bookmarkEnd w:id="142"/>
    <w:bookmarkStart w:id="153" w:name="partitioning-of-the-dataset"/>
    <w:p>
      <w:pPr>
        <w:pStyle w:val="Heading3"/>
      </w:pPr>
      <w:r>
        <w:t xml:space="preserve">Partitioning of the Dataset</w:t>
      </w:r>
    </w:p>
    <w:p>
      <w:pPr>
        <w:pStyle w:val="FirstParagraph"/>
      </w:pPr>
      <w:r>
        <w:t xml:space="preserve">The T1DX dataset was randomly resampled without replacement at the participant level to avoid data leakage and to evaluate model performance on independent participants. As illustrated in</w:t>
      </w:r>
      <w:r>
        <w:t xml:space="preserve"> </w:t>
      </w:r>
      <w:hyperlink w:anchor="fig-study3_partitioning">
        <w:r>
          <w:rPr>
            <w:rStyle w:val="Hyperlink"/>
          </w:rPr>
          <w:t xml:space="preserve">Figure 3.10</w:t>
        </w:r>
      </w:hyperlink>
      <w:r>
        <w:t xml:space="preserve">, training subsets with varying proportions of Black and White participants were generated by randomly selecting participants from the original dataset while keeping the train-test split at the participant level. Eleven training set compositions were created, ranging from 100% White and 0% Black to 0% White and 100% Black participants in 10% increments.</w:t>
      </w:r>
    </w:p>
    <w:p>
      <w:pPr>
        <w:pStyle w:val="BodyText"/>
      </w:pPr>
      <w:r>
        <w:t xml:space="preserve">Because some training subsets consisted entirely of participants from a single racial group, the maximum training set size on participant level was constrained by the size of the smaller racial group minus the participants kept for testing. Consequently, each training subset contained approximately half the number of participants in the original T1DX dataset. Repeating this procedure for each participant resulted in 2,255 training datasets (205 participants × 11 training set compositions) and 205 independent test sets. Throughout all resampling procedures, all CGM recordings from a participant were kept together to prevent data leakage between the training and test sets.</w:t>
      </w:r>
    </w:p>
    <w:tbl>
      <w:tblPr>
        <w:tblStyle w:val="Table"/>
        <w:tblW w:type="pct" w:w="5000"/>
        <w:tblLayout w:type="fixed"/>
        <w:tblLook w:firstRow="0" w:lastRow="0" w:firstColumn="0" w:lastColumn="0" w:noHBand="0" w:noVBand="0" w:val="0000"/>
      </w:tblPr>
      <w:tblGrid>
        <w:gridCol w:w="7920"/>
      </w:tblGrid>
      <w:tr>
        <w:tc>
          <w:tcPr/>
          <w:bookmarkStart w:id="147" w:name="fig-study3_partitioning"/>
          <w:p>
            <w:pPr>
              <w:pStyle w:val="Compact"/>
              <w:jc w:val="center"/>
            </w:pPr>
            <w:hyperlink r:id="rId146">
              <w:r>
                <w:drawing>
                  <wp:inline>
                    <wp:extent cx="5334000" cy="3456188"/>
                    <wp:effectExtent b="0" l="0" r="0" t="0"/>
                    <wp:docPr descr="" title="" id="144" name="Picture"/>
                    <a:graphic>
                      <a:graphicData uri="http://schemas.openxmlformats.org/drawingml/2006/picture">
                        <pic:pic>
                          <pic:nvPicPr>
                            <pic:cNvPr descr="figures/3_methods_fig/study3_partitioning.png" id="145" name="Picture"/>
                            <pic:cNvPicPr>
                              <a:picLocks noChangeArrowheads="1" noChangeAspect="1"/>
                            </pic:cNvPicPr>
                          </pic:nvPicPr>
                          <pic:blipFill>
                            <a:blip r:embed="rId143"/>
                            <a:stretch>
                              <a:fillRect/>
                            </a:stretch>
                          </pic:blipFill>
                          <pic:spPr bwMode="auto">
                            <a:xfrm>
                              <a:off x="0" y="0"/>
                              <a:ext cx="5334000" cy="3456188"/>
                            </a:xfrm>
                            <a:prstGeom prst="rect">
                              <a:avLst/>
                            </a:prstGeom>
                            <a:noFill/>
                            <a:ln w="9525">
                              <a:noFill/>
                              <a:headEnd/>
                              <a:tailEnd/>
                            </a:ln>
                          </pic:spPr>
                        </pic:pic>
                      </a:graphicData>
                    </a:graphic>
                  </wp:inline>
                </w:drawing>
              </w:r>
            </w:hyperlink>
          </w:p>
          <w:p>
            <w:pPr>
              <w:jc w:val="center"/>
            </w:pPr>
            <w:pPr>
              <w:jc w:val="left"/>
              <w:spacing w:before="200"/>
              <w:pStyle w:val="ImageCaption"/>
            </w:pPr>
            <w:r>
              <w:t xml:space="preserve">Figure 3.10: The prediction horizon and overview of the creation of subsets for training.</w:t>
            </w:r>
          </w:p>
          <w:bookmarkEnd w:id="147"/>
        </w:tc>
      </w:tr>
    </w:tbl>
    <w:p>
      <w:pPr>
        <w:pStyle w:val="BodyText"/>
      </w:pPr>
      <w:r>
        <w:t xml:space="preserve">Eleven subsets were created for each of the participants and the last week’s data was chosen to test on as illustrated in</w:t>
      </w:r>
      <w:r>
        <w:t xml:space="preserve"> </w:t>
      </w:r>
      <w:hyperlink w:anchor="fig-study3_train_finetune_test_split">
        <w:r>
          <w:rPr>
            <w:rStyle w:val="Hyperlink"/>
          </w:rPr>
          <w:t xml:space="preserve">Figure 3.11</w:t>
        </w:r>
      </w:hyperlink>
      <w:r>
        <w:t xml:space="preserve">.</w:t>
      </w:r>
      <w:r>
        <w:t xml:space="preserve"> </w:t>
      </w:r>
      <w:r>
        <w:t xml:space="preserve">To preserve sample size, one week was chosen because participants had varying amount of CGM data and the participant with the least amount of data had ~ 2 weeks.</w:t>
      </w:r>
      <w:r>
        <w:t xml:space="preserve"> </w:t>
      </w:r>
      <w:r>
        <w:t xml:space="preserve">The remaining data was used for training the models.</w:t>
      </w:r>
    </w:p>
    <w:tbl>
      <w:tblPr>
        <w:tblStyle w:val="Table"/>
        <w:tblW w:type="pct" w:w="5000"/>
        <w:tblLayout w:type="fixed"/>
        <w:tblLook w:firstRow="0" w:lastRow="0" w:firstColumn="0" w:lastColumn="0" w:noHBand="0" w:noVBand="0" w:val="0000"/>
      </w:tblPr>
      <w:tblGrid>
        <w:gridCol w:w="7920"/>
      </w:tblGrid>
      <w:tr>
        <w:tc>
          <w:tcPr/>
          <w:bookmarkStart w:id="152" w:name="fig-study3_train_finetune_test_split"/>
          <w:p>
            <w:pPr>
              <w:pStyle w:val="Compact"/>
              <w:jc w:val="center"/>
            </w:pPr>
            <w:hyperlink r:id="rId151">
              <w:r>
                <w:drawing>
                  <wp:inline>
                    <wp:extent cx="4686935" cy="1382279"/>
                    <wp:effectExtent b="0" l="0" r="0" t="0"/>
                    <wp:docPr descr="" title="" id="149" name="Picture"/>
                    <a:graphic>
                      <a:graphicData uri="http://schemas.openxmlformats.org/drawingml/2006/picture">
                        <pic:pic>
                          <pic:nvPicPr>
                            <pic:cNvPr descr="figures/3_methods_fig/study3_train_finetune_test_split.png" id="150" name="Picture"/>
                            <pic:cNvPicPr>
                              <a:picLocks noChangeArrowheads="1" noChangeAspect="1"/>
                            </pic:cNvPicPr>
                          </pic:nvPicPr>
                          <pic:blipFill>
                            <a:blip r:embed="rId148"/>
                            <a:stretch>
                              <a:fillRect/>
                            </a:stretch>
                          </pic:blipFill>
                          <pic:spPr bwMode="auto">
                            <a:xfrm>
                              <a:off x="0" y="0"/>
                              <a:ext cx="4686935" cy="1382279"/>
                            </a:xfrm>
                            <a:prstGeom prst="rect">
                              <a:avLst/>
                            </a:prstGeom>
                            <a:noFill/>
                            <a:ln w="9525">
                              <a:noFill/>
                              <a:headEnd/>
                              <a:tailEnd/>
                            </a:ln>
                          </pic:spPr>
                        </pic:pic>
                      </a:graphicData>
                    </a:graphic>
                  </wp:inline>
                </w:drawing>
              </w:r>
            </w:hyperlink>
          </w:p>
          <w:p>
            <w:pPr>
              <w:jc w:val="center"/>
            </w:pPr>
            <w:pPr>
              <w:jc w:val="left"/>
              <w:spacing w:before="200"/>
              <w:pStyle w:val="ImageCaption"/>
            </w:pPr>
            <w:r>
              <w:t xml:space="preserve">Figure 3.11: The splitting of a participants data to create training and test sets.</w:t>
            </w:r>
          </w:p>
          <w:bookmarkEnd w:id="152"/>
        </w:tc>
      </w:tr>
    </w:tbl>
    <w:p>
      <w:r>
        <w:br w:type="page"/>
      </w:r>
    </w:p>
    <w:bookmarkEnd w:id="153"/>
    <w:bookmarkStart w:id="159" w:name="model-selection-and-training-approaches"/>
    <w:p>
      <w:pPr>
        <w:pStyle w:val="Heading3"/>
      </w:pPr>
      <w:r>
        <w:t xml:space="preserve">Model Selection and Training Approaches</w:t>
      </w:r>
    </w:p>
    <w:p>
      <w:pPr>
        <w:pStyle w:val="FirstParagraph"/>
      </w:pPr>
      <w:r>
        <w:t xml:space="preserve">A</w:t>
      </w:r>
      <w:r>
        <w:t xml:space="preserve"> </w:t>
      </w:r>
      <w:hyperlink w:anchor="acronyms_LSTM">
        <w:r>
          <w:rPr>
            <w:rStyle w:val="Hyperlink"/>
          </w:rPr>
          <w:t xml:space="preserve">LSTM</w:t>
        </w:r>
      </w:hyperlink>
      <w:r>
        <w:t xml:space="preserve"> </w:t>
      </w:r>
      <w:r>
        <w:t xml:space="preserve">network architecture based on van Doorn et al.</w:t>
      </w:r>
      <w:r>
        <w:rPr>
          <w:vertAlign w:val="superscript"/>
        </w:rPr>
        <w:t xml:space="preserve">34</w:t>
      </w:r>
      <w:r>
        <w:t xml:space="preserve"> </w:t>
      </w:r>
      <w:r>
        <w:t xml:space="preserve">was used (two LSTM layers followed by a dense layer).</w:t>
      </w:r>
      <w:r>
        <w:t xml:space="preserve"> </w:t>
      </w:r>
      <w:r>
        <w:t xml:space="preserve">All the training data was scaled to be within the range of zero to one.</w:t>
      </w:r>
      <w:r>
        <w:t xml:space="preserve"> </w:t>
      </w:r>
      <w:r>
        <w:t xml:space="preserve">Hyperparameters were optimized once prior to the repeated model development using grid search and data from all participants except the last week.</w:t>
      </w:r>
      <w:r>
        <w:t xml:space="preserve"> </w:t>
      </w:r>
      <w:r>
        <w:t xml:space="preserve">The gridsearch included the number of neurons in the LSTM layers, activation function, dropout rate, batch size, learning rate, learning rate decay, and early stopping patience.</w:t>
      </w:r>
      <w:r>
        <w:t xml:space="preserve"> </w:t>
      </w:r>
      <w:r>
        <w:t xml:space="preserve">The selected hyperparameter configuration was subsequently fixed and applied to all</w:t>
      </w:r>
      <w:r>
        <w:t xml:space="preserve"> </w:t>
      </w:r>
      <w:hyperlink w:anchor="acronyms_LSTM">
        <w:r>
          <w:rPr>
            <w:rStyle w:val="Hyperlink"/>
          </w:rPr>
          <w:t xml:space="preserve">LSTM</w:t>
        </w:r>
      </w:hyperlink>
      <w:r>
        <w:t xml:space="preserve"> </w:t>
      </w:r>
      <w:r>
        <w:t xml:space="preserve">models.</w:t>
      </w:r>
      <w:r>
        <w:t xml:space="preserve"> </w:t>
      </w:r>
      <w:r>
        <w:t xml:space="preserve">The complete hyperparameter tuning procedure and implementation are available in the accompanying GitHub repository.</w:t>
      </w:r>
      <w:r>
        <w:rPr>
          <w:vertAlign w:val="superscript"/>
        </w:rPr>
        <w:t xml:space="preserve">85</w:t>
      </w:r>
      <w:r>
        <w:t xml:space="preserve"> </w:t>
      </w:r>
      <w:r>
        <w:t xml:space="preserve">Four training approaches were used when the models for each participant were developed as described below and illustrated in</w:t>
      </w:r>
      <w:r>
        <w:t xml:space="preserve"> </w:t>
      </w:r>
      <w:hyperlink w:anchor="fig-study3_training_approaches">
        <w:r>
          <w:rPr>
            <w:rStyle w:val="Hyperlink"/>
          </w:rPr>
          <w:t xml:space="preserve">Figure 3.12</w:t>
        </w:r>
      </w:hyperlink>
      <w:r>
        <w:t xml:space="preserve">.</w:t>
      </w:r>
    </w:p>
    <w:p>
      <w:pPr>
        <w:pStyle w:val="BodyText"/>
      </w:pPr>
      <w:r>
        <w:t xml:space="preserve">Additionally, Three</w:t>
      </w:r>
      <w:r>
        <w:t xml:space="preserve"> </w:t>
      </w:r>
      <w:hyperlink w:anchor="acronyms_LSTM">
        <w:r>
          <w:rPr>
            <w:rStyle w:val="Hyperlink"/>
          </w:rPr>
          <w:t xml:space="preserve">LSTM</w:t>
        </w:r>
      </w:hyperlink>
      <w:r>
        <w:t xml:space="preserve"> </w:t>
      </w:r>
      <w:r>
        <w:t xml:space="preserve">models and the</w:t>
      </w:r>
      <w:r>
        <w:t xml:space="preserve"> </w:t>
      </w:r>
      <w:hyperlink w:anchor="acronyms_LOCF">
        <w:r>
          <w:rPr>
            <w:rStyle w:val="Hyperlink"/>
          </w:rPr>
          <w:t xml:space="preserve">last observation carried forward (LOCF)</w:t>
        </w:r>
      </w:hyperlink>
      <w:r>
        <w:t xml:space="preserve"> </w:t>
      </w:r>
      <w:r>
        <w:t xml:space="preserve">as a naive baseline.</w:t>
      </w:r>
    </w:p>
    <w:p>
      <w:pPr>
        <w:numPr>
          <w:ilvl w:val="0"/>
          <w:numId w:val="1002"/>
        </w:numPr>
      </w:pPr>
      <w:hyperlink w:anchor="acronyms_LOCF">
        <w:r>
          <w:rPr>
            <w:rStyle w:val="Hyperlink"/>
            <w:b/>
            <w:bCs/>
          </w:rPr>
          <w:t xml:space="preserve">LOCF</w:t>
        </w:r>
      </w:hyperlink>
      <w:r>
        <w:rPr>
          <w:b/>
          <w:bCs/>
        </w:rPr>
        <w:t xml:space="preserve">:</w:t>
      </w:r>
      <w:r>
        <w:t xml:space="preserve"> </w:t>
      </w:r>
      <w:r>
        <w:t xml:space="preserve">In the LOCF model, a given CGM measurement (x</w:t>
      </w:r>
      <w:r>
        <w:rPr>
          <w:vertAlign w:val="subscript"/>
        </w:rPr>
        <w:t xml:space="preserve">4</w:t>
      </w:r>
      <w:r>
        <w:t xml:space="preserve">) was used to predict blood glucose values 60 minutes in advance (x</w:t>
      </w:r>
      <w:r>
        <w:rPr>
          <w:vertAlign w:val="subscript"/>
        </w:rPr>
        <w:t xml:space="preserve">8</w:t>
      </w:r>
      <w:r>
        <w:t xml:space="preserve">) in the test set by assuming no change in the last 60 minutes.</w:t>
      </w:r>
    </w:p>
    <w:p>
      <w:pPr>
        <w:numPr>
          <w:ilvl w:val="0"/>
          <w:numId w:val="1002"/>
        </w:numPr>
      </w:pPr>
      <w:r>
        <w:rPr>
          <w:b/>
          <w:bCs/>
        </w:rPr>
        <w:t xml:space="preserve">Base-Individual:</w:t>
      </w:r>
      <w:r>
        <w:t xml:space="preserve"> </w:t>
      </w:r>
      <w:r>
        <w:t xml:space="preserve">In the Base-Individual model, each participant’s complete CGM data (except for the last week, which was used for the testing data) was used for training.</w:t>
      </w:r>
    </w:p>
    <w:p>
      <w:pPr>
        <w:numPr>
          <w:ilvl w:val="0"/>
          <w:numId w:val="1002"/>
        </w:numPr>
      </w:pPr>
      <w:r>
        <w:rPr>
          <w:b/>
          <w:bCs/>
        </w:rPr>
        <w:t xml:space="preserve">Base-Generalized:</w:t>
      </w:r>
      <w:r>
        <w:t xml:space="preserve"> </w:t>
      </w:r>
      <w:r>
        <w:t xml:space="preserve">Here, for each participant, the 11 corresponding training datasets described above were used to generate 11 separate models, which were all subsequently tested on the given participant’s last week of CGM data.</w:t>
      </w:r>
    </w:p>
    <w:p>
      <w:pPr>
        <w:numPr>
          <w:ilvl w:val="0"/>
          <w:numId w:val="1002"/>
        </w:numPr>
      </w:pPr>
      <w:r>
        <w:rPr>
          <w:b/>
          <w:bCs/>
        </w:rPr>
        <w:t xml:space="preserve">Transfer Learned:</w:t>
      </w:r>
      <w:r>
        <w:t xml:space="preserve"> </w:t>
      </w:r>
      <w:r>
        <w:t xml:space="preserve">This model mirrored the Base-Generalized Model’s setup. However, the 11 trained models for each participant were subsequently tailored to the given participant’s complete CGM data (except for the last week, which was used for the testing data). The transfer learning technique used is described as transfer 2 in</w:t>
      </w:r>
      <w:r>
        <w:t xml:space="preserve"> </w:t>
      </w:r>
      <w:hyperlink w:anchor="fig-tl">
        <w:r>
          <w:rPr>
            <w:rStyle w:val="Hyperlink"/>
          </w:rPr>
          <w:t xml:space="preserve">Figure 1.3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58" w:name="fig-study3_training_approaches"/>
          <w:p>
            <w:pPr>
              <w:pStyle w:val="Compact"/>
              <w:jc w:val="center"/>
            </w:pPr>
            <w:hyperlink r:id="rId157">
              <w:r>
                <w:drawing>
                  <wp:inline>
                    <wp:extent cx="5334000" cy="5134167"/>
                    <wp:effectExtent b="0" l="0" r="0" t="0"/>
                    <wp:docPr descr="" title="" id="155" name="Picture"/>
                    <a:graphic>
                      <a:graphicData uri="http://schemas.openxmlformats.org/drawingml/2006/picture">
                        <pic:pic>
                          <pic:nvPicPr>
                            <pic:cNvPr descr="figures/3_methods_fig/study3_training_approaches.png" id="156" name="Picture"/>
                            <pic:cNvPicPr>
                              <a:picLocks noChangeArrowheads="1" noChangeAspect="1"/>
                            </pic:cNvPicPr>
                          </pic:nvPicPr>
                          <pic:blipFill>
                            <a:blip r:embed="rId154"/>
                            <a:stretch>
                              <a:fillRect/>
                            </a:stretch>
                          </pic:blipFill>
                          <pic:spPr bwMode="auto">
                            <a:xfrm>
                              <a:off x="0" y="0"/>
                              <a:ext cx="5334000" cy="5134167"/>
                            </a:xfrm>
                            <a:prstGeom prst="rect">
                              <a:avLst/>
                            </a:prstGeom>
                            <a:noFill/>
                            <a:ln w="9525">
                              <a:noFill/>
                              <a:headEnd/>
                              <a:tailEnd/>
                            </a:ln>
                          </pic:spPr>
                        </pic:pic>
                      </a:graphicData>
                    </a:graphic>
                  </wp:inline>
                </w:drawing>
              </w:r>
            </w:hyperlink>
          </w:p>
          <w:p>
            <w:pPr>
              <w:jc w:val="center"/>
            </w:pPr>
            <w:pPr>
              <w:jc w:val="left"/>
              <w:spacing w:before="200"/>
              <w:pStyle w:val="ImageCaption"/>
            </w:pPr>
            <w:r>
              <w:t xml:space="preserve">Figure 3.12: The four training approaches. The Base-Individual, Base-Generalized, and Transfer Learned models were based on an LSTM architecture. The base layer (green) consisted of two LSTM layers, while the task-specific layer (blue) consisted of a single dense layer.</w:t>
            </w:r>
            <w:r>
              <w:t xml:space="preserve"> </w:t>
            </w:r>
            <w:r>
              <w:rPr>
                <w:i/>
                <w:iCs/>
              </w:rPr>
              <w:t xml:space="preserve">Abbreviation:</w:t>
            </w:r>
            <w:r>
              <w:t xml:space="preserve"> </w:t>
            </w:r>
            <w:r>
              <w:t xml:space="preserve">LOCF, last observation carried forward.</w:t>
            </w:r>
          </w:p>
          <w:bookmarkEnd w:id="158"/>
        </w:tc>
      </w:tr>
    </w:tbl>
    <w:bookmarkEnd w:id="159"/>
    <w:bookmarkStart w:id="168" w:name="model-evaluation"/>
    <w:p>
      <w:pPr>
        <w:pStyle w:val="Heading3"/>
      </w:pPr>
      <w:r>
        <w:t xml:space="preserve">Model Evaluation</w:t>
      </w:r>
    </w:p>
    <w:p>
      <w:pPr>
        <w:pStyle w:val="FirstParagraph"/>
      </w:pPr>
      <w:r>
        <w:t xml:space="preserve">To evaluate model performance, each participant’s last week’s data (672 measurements) was reserved for internal testing (</w:t>
      </w:r>
      <w:hyperlink w:anchor="fig-study3_train_finetune_test_split">
        <w:r>
          <w:rPr>
            <w:rStyle w:val="Hyperlink"/>
          </w:rPr>
          <w:t xml:space="preserve">Figure 3.11</w:t>
        </w:r>
      </w:hyperlink>
      <w:r>
        <w:t xml:space="preserve">).</w:t>
      </w:r>
      <w:r>
        <w:t xml:space="preserve"> </w:t>
      </w:r>
      <w:r>
        <w:t xml:space="preserve">Model accuracy was assessed by calculating the root mean squared error (RMSE) for each participant across all four modeling approaches. For the LOCF and Base-Individual models, this yielded one RMSE value for each of the 101 White participants and 104 Black participants.</w:t>
      </w:r>
      <w:r>
        <w:t xml:space="preserve"> </w:t>
      </w:r>
      <w:r>
        <w:t xml:space="preserve">For the Base-Generalized and Transfer Learned models, RMSE values were calculated for each participant across 11 data subsets, each representing a unique proportion of White and Black participants.</w:t>
      </w:r>
      <w:r>
        <w:t xml:space="preserve"> </w:t>
      </w:r>
      <w:r>
        <w:t xml:space="preserve">Performance was summarized as the mean RMSE with corresponding 95% confidence intervals (CIs) for each racial group.</w:t>
      </w:r>
      <w:r>
        <w:t xml:space="preserve"> </w:t>
      </w:r>
      <w:r>
        <w:t xml:space="preserve">It was further assumed that the varying proportions of Black and White participants in the training data subsets would affect the performance and an interaction term was therefore added. The interaction term allowed for different slopes in the LMEM which allowed us to test the hypotheses. It was hypothesized that when plotting the proportion of White participants in the training data against the RMSE, the slope would be negative for White participants and positive for Black participants (</w:t>
      </w:r>
      <w:hyperlink w:anchor="fig-study3_rmse">
        <w:r>
          <w:rPr>
            <w:rStyle w:val="Hyperlink"/>
          </w:rPr>
          <w:t xml:space="preserve">Figure 3.13</w:t>
        </w:r>
      </w:hyperlink>
      <w:r>
        <w:t xml:space="preserve">). This would indicate that as the proportion of White participants in the training data increased, the RMSE decreased for White participants and increased for Black participants, indicating racial bias in the model. The Base-Individual model would perform the worst since it was trained on the least amount of data and the Transfer Learned model would remove the slopes that were expected to be seen in the Base-Generalized models.</w:t>
      </w:r>
    </w:p>
    <w:tbl>
      <w:tblPr>
        <w:tblStyle w:val="Table"/>
        <w:tblW w:type="pct" w:w="5000"/>
        <w:tblLayout w:type="fixed"/>
        <w:tblLook w:firstRow="0" w:lastRow="0" w:firstColumn="0" w:lastColumn="0" w:noHBand="0" w:noVBand="0" w:val="0000"/>
      </w:tblPr>
      <w:tblGrid>
        <w:gridCol w:w="7920"/>
      </w:tblGrid>
      <w:tr>
        <w:tc>
          <w:tcPr/>
          <w:bookmarkStart w:id="163" w:name="fig-study3_rmse"/>
          <w:p>
            <w:pPr>
              <w:pStyle w:val="Compact"/>
              <w:jc w:val="center"/>
            </w:pPr>
            <w:r>
              <w:drawing>
                <wp:inline>
                  <wp:extent cx="4267200" cy="2259105"/>
                  <wp:effectExtent b="0" l="0" r="0" t="0"/>
                  <wp:docPr descr="" title="" id="161" name="Picture"/>
                  <a:graphic>
                    <a:graphicData uri="http://schemas.openxmlformats.org/drawingml/2006/picture">
                      <pic:pic>
                        <pic:nvPicPr>
                          <pic:cNvPr descr="figures/3_methods_fig/study3_rmse.png" id="162" name="Picture"/>
                          <pic:cNvPicPr>
                            <a:picLocks noChangeArrowheads="1" noChangeAspect="1"/>
                          </pic:cNvPicPr>
                        </pic:nvPicPr>
                        <pic:blipFill>
                          <a:blip r:embed="rId160"/>
                          <a:stretch>
                            <a:fillRect/>
                          </a:stretch>
                        </pic:blipFill>
                        <pic:spPr bwMode="auto">
                          <a:xfrm>
                            <a:off x="0" y="0"/>
                            <a:ext cx="4267200" cy="2259105"/>
                          </a:xfrm>
                          <a:prstGeom prst="rect">
                            <a:avLst/>
                          </a:prstGeom>
                          <a:noFill/>
                          <a:ln w="9525">
                            <a:noFill/>
                            <a:headEnd/>
                            <a:tailEnd/>
                          </a:ln>
                        </pic:spPr>
                      </pic:pic>
                    </a:graphicData>
                  </a:graphic>
                </wp:inline>
              </w:drawing>
            </w:r>
          </w:p>
          <w:p>
            <w:pPr>
              <w:jc w:val="center"/>
            </w:pPr>
            <w:pPr>
              <w:jc w:val="left"/>
              <w:spacing w:before="200"/>
              <w:pStyle w:val="ImageCaption"/>
            </w:pPr>
            <w:r>
              <w:t xml:space="preserve">Figure 3.13: The hypotheses for the results of the linear mixed effect models.</w:t>
            </w:r>
          </w:p>
          <w:bookmarkEnd w:id="163"/>
        </w:tc>
      </w:tr>
    </w:tbl>
    <w:p>
      <w:pPr>
        <w:pStyle w:val="BodyText"/>
      </w:pPr>
      <w:r>
        <w:t xml:space="preserve">Surveillance error grids (SEG) were used to get a general idea of the clinical risk of the prediction models.</w:t>
      </w:r>
      <w:r>
        <w:rPr>
          <w:vertAlign w:val="superscript"/>
        </w:rPr>
        <w:t xml:space="preserve">86</w:t>
      </w:r>
      <w:r>
        <w:t xml:space="preserve"> </w:t>
      </w:r>
      <w:r>
        <w:t xml:space="preserve">The error grids are originally developed for the regulatory bodies to asses clinical accuracy of blood glucose monitoring in post-surveillance before the wide spread use of CGM devices.</w:t>
      </w:r>
      <w:r>
        <w:rPr>
          <w:vertAlign w:val="superscript"/>
        </w:rPr>
        <w:t xml:space="preserve">86,87</w:t>
      </w:r>
      <w:r>
        <w:t xml:space="preserve"> </w:t>
      </w:r>
      <w:r>
        <w:t xml:space="preserve">and the results should therefore be interpreted with caution when using CGM data. The SEG is a 600x600 grid assigned an individual risk score to each datapoint with 15 colored zones, each indicating severity of a monitoring error that is acted upon in regards to risk of hypoglycemia or hyperglycemia (</w:t>
      </w:r>
      <w:hyperlink w:anchor="fig-study3_SEG">
        <w:r>
          <w:rPr>
            <w:rStyle w:val="Hyperlink"/>
          </w:rPr>
          <w:t xml:space="preserve">Figure 3.14</w:t>
        </w:r>
      </w:hyperlink>
      <w:r>
        <w:t xml:space="preserve">).</w:t>
      </w:r>
      <w:r>
        <w:rPr>
          <w:vertAlign w:val="superscript"/>
        </w:rPr>
        <w:t xml:space="preserve">87</w:t>
      </w:r>
      <w:r>
        <w:t xml:space="preserve"> </w:t>
      </w:r>
      <w:r>
        <w:t xml:space="preserve">To facilitate interpretation, the 15 surveillance error grid zones were collapsed into the five broader risk zones (</w:t>
      </w:r>
      <w:r>
        <w:t xml:space="preserve">“No”</w:t>
      </w:r>
      <w:r>
        <w:t xml:space="preserve">,</w:t>
      </w:r>
      <w:r>
        <w:t xml:space="preserve"> </w:t>
      </w:r>
      <w:r>
        <w:t xml:space="preserve">“Slight”</w:t>
      </w:r>
      <w:r>
        <w:t xml:space="preserve">,</w:t>
      </w:r>
      <w:r>
        <w:t xml:space="preserve"> </w:t>
      </w:r>
      <w:r>
        <w:t xml:space="preserve">“Moderate”</w:t>
      </w:r>
      <w:r>
        <w:t xml:space="preserve">,</w:t>
      </w:r>
      <w:r>
        <w:t xml:space="preserve"> </w:t>
      </w:r>
      <w:r>
        <w:t xml:space="preserve">“High”</w:t>
      </w:r>
      <w:r>
        <w:t xml:space="preserve">, and</w:t>
      </w:r>
      <w:r>
        <w:t xml:space="preserve"> </w:t>
      </w:r>
      <w:r>
        <w:t xml:space="preserve">“Extreme”</w:t>
      </w:r>
      <w:r>
        <w:t xml:space="preserve">), as previously suggested in the literature.</w:t>
      </w:r>
      <w:r>
        <w:rPr>
          <w:vertAlign w:val="superscript"/>
        </w:rPr>
        <w:t xml:space="preserve">86</w:t>
      </w:r>
      <w:r>
        <w:t xml:space="preserve"> </w:t>
      </w:r>
      <w:r>
        <w:t xml:space="preserve">Predictions outside of 0–33 mmol/L were changed to 0 or 33 mmol/L to keep within the upper and lower bounds of the surveillance error grid.</w:t>
      </w:r>
    </w:p>
    <w:tbl>
      <w:tblPr>
        <w:tblStyle w:val="Table"/>
        <w:tblW w:type="pct" w:w="5000"/>
        <w:tblLayout w:type="fixed"/>
        <w:tblLook w:firstRow="0" w:lastRow="0" w:firstColumn="0" w:lastColumn="0" w:noHBand="0" w:noVBand="0" w:val="0000"/>
      </w:tblPr>
      <w:tblGrid>
        <w:gridCol w:w="7920"/>
      </w:tblGrid>
      <w:tr>
        <w:tc>
          <w:tcPr/>
          <w:bookmarkStart w:id="167" w:name="fig-study3_SEG"/>
          <w:p>
            <w:pPr>
              <w:pStyle w:val="Compact"/>
              <w:jc w:val="center"/>
            </w:pPr>
            <w:r>
              <w:drawing>
                <wp:inline>
                  <wp:extent cx="3467100" cy="2314939"/>
                  <wp:effectExtent b="0" l="0" r="0" t="0"/>
                  <wp:docPr descr="" title="" id="165" name="Picture"/>
                  <a:graphic>
                    <a:graphicData uri="http://schemas.openxmlformats.org/drawingml/2006/picture">
                      <pic:pic>
                        <pic:nvPicPr>
                          <pic:cNvPr descr="figures/3_methods_fig/study3_SEG_empty.png" id="166" name="Picture"/>
                          <pic:cNvPicPr>
                            <a:picLocks noChangeArrowheads="1" noChangeAspect="1"/>
                          </pic:cNvPicPr>
                        </pic:nvPicPr>
                        <pic:blipFill>
                          <a:blip r:embed="rId164"/>
                          <a:stretch>
                            <a:fillRect/>
                          </a:stretch>
                        </pic:blipFill>
                        <pic:spPr bwMode="auto">
                          <a:xfrm>
                            <a:off x="0" y="0"/>
                            <a:ext cx="3467100" cy="2314939"/>
                          </a:xfrm>
                          <a:prstGeom prst="rect">
                            <a:avLst/>
                          </a:prstGeom>
                          <a:noFill/>
                          <a:ln w="9525">
                            <a:noFill/>
                            <a:headEnd/>
                            <a:tailEnd/>
                          </a:ln>
                        </pic:spPr>
                      </pic:pic>
                    </a:graphicData>
                  </a:graphic>
                </wp:inline>
              </w:drawing>
            </w:r>
          </w:p>
          <w:p>
            <w:pPr>
              <w:jc w:val="center"/>
            </w:pPr>
            <w:pPr>
              <w:jc w:val="left"/>
              <w:spacing w:before="200"/>
              <w:pStyle w:val="ImageCaption"/>
            </w:pPr>
            <w:r>
              <w:t xml:space="preserve">Figure 3.14: Surveillance error grid showing the clinical risk associated with prediction errors. The green region indicates no clinical risk, whereas yellow, orange, and red regions represent increasing levels of clinical risk. Generated from the methcomp package.</w:t>
            </w:r>
            <w:r>
              <w:rPr>
                <w:vertAlign w:val="superscript"/>
              </w:rPr>
              <w:t xml:space="preserve">88</w:t>
            </w:r>
          </w:p>
          <w:bookmarkEnd w:id="167"/>
        </w:tc>
      </w:tr>
    </w:tbl>
    <w:bookmarkEnd w:id="168"/>
    <w:bookmarkEnd w:id="169"/>
    <w:bookmarkEnd w:id="170"/>
    <w:bookmarkStart w:id="211" w:name="results"/>
    <w:p>
      <w:pPr>
        <w:pStyle w:val="Heading1"/>
      </w:pPr>
      <w:r>
        <w:t xml:space="preserve">4. Results</w:t>
      </w:r>
    </w:p>
    <w:bookmarkStart w:id="189" w:name="study-i-scoping-review-results"/>
    <w:p>
      <w:pPr>
        <w:pStyle w:val="Heading2"/>
      </w:pPr>
      <w:r>
        <w:t xml:space="preserve">4.1 Study I: Scoping Review Results</w:t>
      </w:r>
    </w:p>
    <w:p>
      <w:pPr>
        <w:pStyle w:val="FirstParagraph"/>
      </w:pPr>
      <w:r>
        <w:t xml:space="preserve">The study selection process is summarized in</w:t>
      </w:r>
      <w:r>
        <w:t xml:space="preserve"> </w:t>
      </w:r>
      <w:hyperlink w:anchor="fig-prisma">
        <w:r>
          <w:rPr>
            <w:rStyle w:val="Hyperlink"/>
          </w:rPr>
          <w:t xml:space="preserve">Figure 4.1</w:t>
        </w:r>
      </w:hyperlink>
      <w:r>
        <w:t xml:space="preserve">. The MEDLINE and Embase search resulted in 4884 records screened on title and abstract, and 81 reports were assessed for eligibility based on full-text review by two independent reviewers. The citation search on the included 51 reports identified 2 additional reports, which finally resulted in 53 included reports in total. All included and excluded reports are reported in</w:t>
      </w:r>
      <w:r>
        <w:t xml:space="preserve"> </w:t>
      </w:r>
      <w:hyperlink w:anchor="sec-suppl-study1-reports">
        <w:r>
          <w:rPr>
            <w:rStyle w:val="Hyperlink"/>
          </w:rPr>
          <w:t xml:space="preserve">Appendix B</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75" w:name="fig-prisma"/>
          <w:p>
            <w:pPr>
              <w:pStyle w:val="Compact"/>
              <w:jc w:val="center"/>
            </w:pPr>
            <w:hyperlink r:id="rId174">
              <w:r>
                <w:drawing>
                  <wp:inline>
                    <wp:extent cx="5334000" cy="4601367"/>
                    <wp:effectExtent b="0" l="0" r="0" t="0"/>
                    <wp:docPr descr="" title="" id="172" name="Picture"/>
                    <a:graphic>
                      <a:graphicData uri="http://schemas.openxmlformats.org/drawingml/2006/picture">
                        <pic:pic>
                          <pic:nvPicPr>
                            <pic:cNvPr descr="figures/4_results_fig/study_1_prisma.png" id="173" name="Picture"/>
                            <pic:cNvPicPr>
                              <a:picLocks noChangeArrowheads="1" noChangeAspect="1"/>
                            </pic:cNvPicPr>
                          </pic:nvPicPr>
                          <pic:blipFill>
                            <a:blip r:embed="rId171"/>
                            <a:stretch>
                              <a:fillRect/>
                            </a:stretch>
                          </pic:blipFill>
                          <pic:spPr bwMode="auto">
                            <a:xfrm>
                              <a:off x="0" y="0"/>
                              <a:ext cx="5334000" cy="4601367"/>
                            </a:xfrm>
                            <a:prstGeom prst="rect">
                              <a:avLst/>
                            </a:prstGeom>
                            <a:noFill/>
                            <a:ln w="9525">
                              <a:noFill/>
                              <a:headEnd/>
                              <a:tailEnd/>
                            </a:ln>
                          </pic:spPr>
                        </pic:pic>
                      </a:graphicData>
                    </a:graphic>
                  </wp:inline>
                </w:drawing>
              </w:r>
            </w:hyperlink>
          </w:p>
          <w:p>
            <w:pPr>
              <w:jc w:val="center"/>
            </w:pPr>
            <w:pPr>
              <w:jc w:val="left"/>
              <w:spacing w:before="200"/>
              <w:pStyle w:val="ImageCaption"/>
            </w:pPr>
            <w:r>
              <w:t xml:space="preserve">Figure 4.1: Flow diagram of study selection.</w:t>
            </w:r>
            <w:r>
              <w:br/>
            </w:r>
            <w:r>
              <w:t xml:space="preserve">Reproduced from Thomsen et al.</w:t>
            </w:r>
            <w:r>
              <w:rPr>
                <w:vertAlign w:val="superscript"/>
              </w:rPr>
              <w:t xml:space="preserve">59</w:t>
            </w:r>
            <w:r>
              <w:t xml:space="preserve">, originally published in JMIR Diabetes, under the Creative Commons Attribution License (CC BY 4.0).</w:t>
            </w:r>
          </w:p>
          <w:bookmarkEnd w:id="175"/>
        </w:tc>
      </w:tr>
    </w:tbl>
    <w:bookmarkStart w:id="182" w:name="study-populations"/>
    <w:p>
      <w:pPr>
        <w:pStyle w:val="Heading3"/>
      </w:pPr>
      <w:r>
        <w:t xml:space="preserve">Study Populations</w:t>
      </w:r>
    </w:p>
    <w:p>
      <w:pPr>
        <w:pStyle w:val="FirstParagraph"/>
      </w:pPr>
      <w:r>
        <w:t xml:space="preserve">The study population most common was people with T2D (34 of studies), then people with T1D (20 of 53) and lastly prediabetes (4 of 53). Most studies included adult participants, whereas seven focused on children younger than 18 years. Two studies included only male participants, whereas the remaining studies included both male and female participants.</w:t>
      </w:r>
    </w:p>
    <w:p>
      <w:pPr>
        <w:pStyle w:val="BodyText"/>
      </w:pPr>
      <w:r>
        <w:t xml:space="preserve">The geographic distribution was found based on the hospitals and centers where data was collected or by the first author’s affiliation when the other options were not available. The distribution was uneven as shown in</w:t>
      </w:r>
      <w:r>
        <w:t xml:space="preserve"> </w:t>
      </w:r>
      <w:hyperlink w:anchor="fig-geographical">
        <w:r>
          <w:rPr>
            <w:rStyle w:val="Hyperlink"/>
          </w:rPr>
          <w:t xml:space="preserve">Figure 4.2</w:t>
        </w:r>
      </w:hyperlink>
      <w:r>
        <w:t xml:space="preserve">.</w:t>
      </w:r>
      <w:r>
        <w:t xml:space="preserve"> </w:t>
      </w:r>
      <w:r>
        <w:t xml:space="preserve">Most studies were conducted in Asia (27 of 53) or Europe (22 of 53). Three studies included data from North America, one was conducted in Australia, and only one included data from an African country, although its study population was predominantly White.</w:t>
      </w:r>
      <w:r>
        <w:rPr>
          <w:vertAlign w:val="superscript"/>
        </w:rPr>
        <w:t xml:space="preserve">89</w:t>
      </w:r>
      <w:r>
        <w:t xml:space="preserve"> </w:t>
      </w:r>
      <w:r>
        <w:t xml:space="preserve">No data was included from South America (</w:t>
      </w:r>
      <w:hyperlink w:anchor="sec-suppl-geo-map">
        <w:r>
          <w:rPr>
            <w:rStyle w:val="Hyperlink"/>
          </w:rPr>
          <w:t xml:space="preserve">Appendix C</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81" w:name="fig-geographical"/>
          <w:p>
            <w:pPr>
              <w:pStyle w:val="Compact"/>
              <w:jc w:val="center"/>
            </w:pPr>
            <w:hyperlink r:id="rId179">
              <w:r>
                <w:drawing>
                  <wp:inline>
                    <wp:extent cx="5334000" cy="2685165"/>
                    <wp:effectExtent b="0" l="0" r="0" t="0"/>
                    <wp:docPr descr="" title="" id="177" name="Picture"/>
                    <a:graphic>
                      <a:graphicData uri="http://schemas.openxmlformats.org/drawingml/2006/picture">
                        <pic:pic>
                          <pic:nvPicPr>
                            <pic:cNvPr descr="figures/4_results_fig/study_1_world_map.png" id="178" name="Picture"/>
                            <pic:cNvPicPr>
                              <a:picLocks noChangeArrowheads="1" noChangeAspect="1"/>
                            </pic:cNvPicPr>
                          </pic:nvPicPr>
                          <pic:blipFill>
                            <a:blip r:embed="rId176"/>
                            <a:stretch>
                              <a:fillRect/>
                            </a:stretch>
                          </pic:blipFill>
                          <pic:spPr bwMode="auto">
                            <a:xfrm>
                              <a:off x="0" y="0"/>
                              <a:ext cx="5334000" cy="2685165"/>
                            </a:xfrm>
                            <a:prstGeom prst="rect">
                              <a:avLst/>
                            </a:prstGeom>
                            <a:noFill/>
                            <a:ln w="9525">
                              <a:noFill/>
                              <a:headEnd/>
                              <a:tailEnd/>
                            </a:ln>
                          </pic:spPr>
                        </pic:pic>
                      </a:graphicData>
                    </a:graphic>
                  </wp:inline>
                </w:drawing>
              </w:r>
            </w:hyperlink>
          </w:p>
          <w:p>
            <w:pPr>
              <w:jc w:val="center"/>
            </w:pPr>
            <w:pPr>
              <w:jc w:val="left"/>
              <w:spacing w:before="200"/>
              <w:pStyle w:val="ImageCaption"/>
            </w:pPr>
            <w:r>
              <w:t xml:space="preserve">Figure 4.2: Geographical location of the studies. Countries colored in red indicate the geographical locations where the studies were conducted. Figure was created using MapChart</w:t>
            </w:r>
            <w:r>
              <w:t xml:space="preserve"> </w:t>
            </w:r>
            <w:hyperlink r:id="rId180">
              <w:r>
                <w:rPr>
                  <w:rStyle w:val="Hyperlink"/>
                </w:rPr>
                <w:t xml:space="preserve">https://www.mapchart.net/</w:t>
              </w:r>
            </w:hyperlink>
            <w:r>
              <w:t xml:space="preserve">.</w:t>
            </w:r>
          </w:p>
          <w:bookmarkEnd w:id="181"/>
        </w:tc>
      </w:tr>
    </w:tbl>
    <w:bookmarkEnd w:id="182"/>
    <w:bookmarkStart w:id="183" w:name="study-designs-and-demographics"/>
    <w:p>
      <w:pPr>
        <w:pStyle w:val="Heading3"/>
      </w:pPr>
      <w:r>
        <w:t xml:space="preserve">Study Designs and Demographics</w:t>
      </w:r>
    </w:p>
    <w:p>
      <w:pPr>
        <w:pStyle w:val="FirstParagraph"/>
      </w:pPr>
      <w:r>
        <w:t xml:space="preserve">Only one study was a randomized controlled trial,</w:t>
      </w:r>
      <w:r>
        <w:rPr>
          <w:vertAlign w:val="superscript"/>
        </w:rPr>
        <w:t xml:space="preserve">90</w:t>
      </w:r>
      <w:r>
        <w:t xml:space="preserve"> </w:t>
      </w:r>
      <w:r>
        <w:t xml:space="preserve">and the remaining studies were observational.</w:t>
      </w:r>
      <w:r>
        <w:t xml:space="preserve"> </w:t>
      </w:r>
      <w:r>
        <w:t xml:space="preserve">Most studies used a cross-sectional design, with the cardiovascular outcome assessed at the same time as the CGM sensor was given.</w:t>
      </w:r>
      <w:r>
        <w:t xml:space="preserve"> </w:t>
      </w:r>
      <w:r>
        <w:t xml:space="preserve">Only six studies performed longitudinal analyzes. Study sample sizes varied considerably, ranging from 17</w:t>
      </w:r>
      <w:r>
        <w:rPr>
          <w:vertAlign w:val="superscript"/>
        </w:rPr>
        <w:t xml:space="preserve">91</w:t>
      </w:r>
      <w:r>
        <w:t xml:space="preserve"> </w:t>
      </w:r>
      <w:r>
        <w:t xml:space="preserve">to 6,225</w:t>
      </w:r>
      <w:r>
        <w:rPr>
          <w:vertAlign w:val="superscript"/>
        </w:rPr>
        <w:t xml:space="preserve">62</w:t>
      </w:r>
      <w:r>
        <w:t xml:space="preserve"> </w:t>
      </w:r>
      <w:r>
        <w:t xml:space="preserve">participants, with a median of 152.</w:t>
      </w:r>
      <w:r>
        <w:t xml:space="preserve"> </w:t>
      </w:r>
      <w:r>
        <w:t xml:space="preserve">CGM data were obtained either from participants’ own devices (11 studies) or from CGM devices provided as part of the study (42 studies).</w:t>
      </w:r>
      <w:r>
        <w:t xml:space="preserve"> </w:t>
      </w:r>
      <w:r>
        <w:t xml:space="preserve">Statistical analyzes most commonly included linear regression (22 studies) and logistic regression (22 studies), followed by Spearman or Pearson correlation analyzes (11 studies) and Cox proportional hazards regression (3 studies).</w:t>
      </w:r>
      <w:r>
        <w:t xml:space="preserve"> </w:t>
      </w:r>
      <w:r>
        <w:t xml:space="preserve">Several studies performed additional exploratory analyzes, such as correlation analyzes, to identify relevant covariates for inclusion in regression models.</w:t>
      </w:r>
    </w:p>
    <w:p>
      <w:pPr>
        <w:pStyle w:val="BodyText"/>
      </w:pPr>
      <w:r>
        <w:t xml:space="preserve">All included studies primarily investigated associations between CGM-derived measures and cardiovascular outcomes. Only three studies reported predictive performance measures as part of secondary analyzes,</w:t>
      </w:r>
      <w:r>
        <w:rPr>
          <w:vertAlign w:val="superscript"/>
        </w:rPr>
        <w:t xml:space="preserve">69,92,93</w:t>
      </w:r>
      <w:r>
        <w:t xml:space="preserve"> </w:t>
      </w:r>
      <w:r>
        <w:t xml:space="preserve">and none applied machine learning methods. Furthermore, none of the included studies provided openly available data or source code. Instead, availability was either not addressed or limited to access upon reasonable request from the corresponding author.</w:t>
      </w:r>
    </w:p>
    <w:bookmarkEnd w:id="183"/>
    <w:bookmarkStart w:id="185" w:name="continuous-glucose-monitoring"/>
    <w:p>
      <w:pPr>
        <w:pStyle w:val="Heading3"/>
      </w:pPr>
      <w:r>
        <w:t xml:space="preserve">Continuous Glucose Monitoring</w:t>
      </w:r>
    </w:p>
    <w:p>
      <w:pPr>
        <w:pStyle w:val="FirstParagraph"/>
      </w:pPr>
      <w:r>
        <w:t xml:space="preserve">Medtronic CGM devices were the most frequently used (28 of 53 studies), followed by Abbott (9 of 53) and Dexcom (5 of 53). Other manufacturers included Menarini, Meiqi Company, and SIBIONICS. Sampling intervals ranged from 3 to 15 minutes but were reported in only a minority of studies (21 of 53).</w:t>
      </w:r>
      <w:r>
        <w:t xml:space="preserve"> </w:t>
      </w:r>
      <w:r>
        <w:t xml:space="preserve">TIR (22 studies) and MAGE (23 studies) were the most frequently investigated CGM-derived metrics (</w:t>
      </w:r>
      <w:hyperlink w:anchor="tbl-study1-cgm-count">
        <w:r>
          <w:rPr>
            <w:rStyle w:val="Hyperlink"/>
          </w:rPr>
          <w:t xml:space="preserve">Table 4.1</w:t>
        </w:r>
      </w:hyperlink>
      <w:r>
        <w:t xml:space="preserve">).</w:t>
      </w:r>
      <w:r>
        <w:t xml:space="preserve"> </w:t>
      </w:r>
      <w:r>
        <w:t xml:space="preserve">When stratified by T1D and T2D then TIR was the most frequently investigated metric in T1D populations (10 of 23 studies), whereas MAGE was less commonly investigated (5 of 22 studies). In T2D populations, TIR and MAGE were investigated in 11 of 23 and 14 of 22 studies, respectively. Studies conducted in T2D populations also tended to include larger sample sizes than those in T1D populations (median [IQR]: TIR, 510 [405–600] vs. 214 [119–547]; MAGE, 251 [89–411] vs. 57 [30–215]).</w:t>
      </w:r>
    </w:p>
    <w:tbl>
      <w:tblPr>
        <w:tblStyle w:val="Table"/>
        <w:tblW w:type="pct" w:w="5000"/>
        <w:tblLayout w:type="fixed"/>
        <w:tblLook w:firstRow="0" w:lastRow="0" w:firstColumn="0" w:lastColumn="0" w:noHBand="0" w:noVBand="0" w:val="0000"/>
      </w:tblPr>
      <w:tblGrid>
        <w:gridCol w:w="7920"/>
      </w:tblGrid>
      <w:tr>
        <w:tc>
          <w:tcPr/>
          <w:bookmarkStart w:id="184" w:name="tbl-study1-cgm-count"/>
          <w:p>
            <w:pPr>
              <w:jc w:val="center"/>
            </w:pPr>
            <w:pPr>
              <w:jc w:val="left"/>
              <w:spacing w:before="200"/>
              <w:pStyle w:val="ImageCaption"/>
            </w:pPr>
            <w:r>
              <w:t xml:space="preserve">Table 4.1: Summary of the frequency of the seven most used CGM-derived metrics</w:t>
            </w:r>
          </w:p>
          <w:tbl>
            <w:tblPr>
              <w:tblStyle w:val="Table"/>
              <w:tblW w:type="pct" w:w="5000"/>
              <w:tblLayout w:type="fixed"/>
              <w:tblLook w:firstRow="1" w:lastRow="0" w:firstColumn="0" w:lastColumn="0" w:noHBand="0" w:noVBand="0" w:val="0020"/>
            </w:tblPr>
            <w:tblGrid>
              <w:gridCol w:w="1584"/>
              <w:gridCol w:w="1188"/>
              <w:gridCol w:w="792"/>
              <w:gridCol w:w="792"/>
              <w:gridCol w:w="792"/>
              <w:gridCol w:w="950"/>
              <w:gridCol w:w="1029"/>
              <w:gridCol w:w="792"/>
            </w:tblGrid>
            <w:tr>
              <w:trPr>
                <w:tblHeader w:val="on"/>
              </w:trPr>
              <w:tc>
                <w:tcPr/>
                <w:p>
                  <w:pPr>
                    <w:pStyle w:val="Compact"/>
                    <w:jc w:val="left"/>
                    <w:jc w:val="center"/>
                  </w:pPr>
                  <w:r>
                    <w:t xml:space="preserve">CGM-derived Metrics:</w:t>
                  </w:r>
                </w:p>
              </w:tc>
              <w:tc>
                <w:tcPr/>
                <w:p>
                  <w:pPr>
                    <w:pStyle w:val="Compact"/>
                    <w:jc w:val="center"/>
                    <w:jc w:val="center"/>
                  </w:pPr>
                  <w:r>
                    <w:t xml:space="preserve">TIR</w:t>
                  </w:r>
                </w:p>
              </w:tc>
              <w:tc>
                <w:tcPr/>
                <w:p>
                  <w:pPr>
                    <w:pStyle w:val="Compact"/>
                    <w:jc w:val="center"/>
                    <w:jc w:val="center"/>
                  </w:pPr>
                  <w:r>
                    <w:t xml:space="preserve">MAGE</w:t>
                  </w:r>
                </w:p>
              </w:tc>
              <w:tc>
                <w:tcPr/>
                <w:p>
                  <w:pPr>
                    <w:pStyle w:val="Compact"/>
                    <w:jc w:val="center"/>
                    <w:jc w:val="center"/>
                  </w:pPr>
                  <w:r>
                    <w:t xml:space="preserve">MBG</w:t>
                  </w:r>
                </w:p>
              </w:tc>
              <w:tc>
                <w:tcPr/>
                <w:p>
                  <w:pPr>
                    <w:pStyle w:val="Compact"/>
                    <w:jc w:val="center"/>
                    <w:jc w:val="center"/>
                  </w:pPr>
                  <w:r>
                    <w:t xml:space="preserve">SD</w:t>
                  </w:r>
                </w:p>
              </w:tc>
              <w:tc>
                <w:tcPr/>
                <w:p>
                  <w:pPr>
                    <w:pStyle w:val="Compact"/>
                    <w:jc w:val="center"/>
                    <w:jc w:val="center"/>
                  </w:pPr>
                  <w:r>
                    <w:t xml:space="preserve">CV</w:t>
                  </w:r>
                </w:p>
              </w:tc>
              <w:tc>
                <w:tcPr/>
                <w:p>
                  <w:pPr>
                    <w:pStyle w:val="Compact"/>
                    <w:jc w:val="center"/>
                    <w:jc w:val="center"/>
                  </w:pPr>
                  <w:r>
                    <w:t xml:space="preserve">TBR</w:t>
                  </w:r>
                </w:p>
              </w:tc>
              <w:tc>
                <w:tcPr/>
                <w:p>
                  <w:pPr>
                    <w:pStyle w:val="Compact"/>
                    <w:jc w:val="center"/>
                    <w:jc w:val="center"/>
                  </w:pPr>
                  <w:r>
                    <w:t xml:space="preserve">TAR</w:t>
                  </w:r>
                </w:p>
              </w:tc>
            </w:tr>
            <w:tr>
              <w:tc>
                <w:tcPr/>
                <w:p>
                  <w:pPr>
                    <w:pStyle w:val="Compact"/>
                    <w:jc w:val="left"/>
                    <w:jc w:val="center"/>
                  </w:pPr>
                  <w:r>
                    <w:rPr>
                      <w:b/>
                      <w:bCs/>
                    </w:rPr>
                    <w:t xml:space="preserve">Number of Studies, n</w:t>
                  </w:r>
                </w:p>
              </w:tc>
              <w:tc>
                <w:tcPr/>
                <w:p>
                  <w:pPr>
                    <w:pStyle w:val="Compact"/>
                    <w:jc w:val="center"/>
                    <w:jc w:val="center"/>
                  </w:pPr>
                  <w:r>
                    <w:t xml:space="preserve">23</w:t>
                  </w:r>
                </w:p>
              </w:tc>
              <w:tc>
                <w:tcPr/>
                <w:p>
                  <w:pPr>
                    <w:pStyle w:val="Compact"/>
                    <w:jc w:val="center"/>
                    <w:jc w:val="center"/>
                  </w:pPr>
                  <w:r>
                    <w:t xml:space="preserve">22</w:t>
                  </w:r>
                </w:p>
              </w:tc>
              <w:tc>
                <w:tcPr/>
                <w:p>
                  <w:pPr>
                    <w:pStyle w:val="Compact"/>
                    <w:jc w:val="center"/>
                    <w:jc w:val="center"/>
                  </w:pPr>
                  <w:r>
                    <w:t xml:space="preserve">21</w:t>
                  </w:r>
                </w:p>
              </w:tc>
              <w:tc>
                <w:tcPr/>
                <w:p>
                  <w:pPr>
                    <w:pStyle w:val="Compact"/>
                    <w:jc w:val="center"/>
                    <w:jc w:val="center"/>
                  </w:pPr>
                  <w:r>
                    <w:t xml:space="preserve">19</w:t>
                  </w:r>
                </w:p>
              </w:tc>
              <w:tc>
                <w:tcPr/>
                <w:p>
                  <w:pPr>
                    <w:pStyle w:val="Compact"/>
                    <w:jc w:val="center"/>
                    <w:jc w:val="center"/>
                  </w:pPr>
                  <w:r>
                    <w:t xml:space="preserve">19</w:t>
                  </w:r>
                </w:p>
              </w:tc>
              <w:tc>
                <w:tcPr/>
                <w:p>
                  <w:pPr>
                    <w:pStyle w:val="Compact"/>
                    <w:jc w:val="center"/>
                    <w:jc w:val="center"/>
                  </w:pPr>
                  <w:r>
                    <w:t xml:space="preserve">16</w:t>
                  </w:r>
                </w:p>
              </w:tc>
              <w:tc>
                <w:tcPr/>
                <w:p>
                  <w:pPr>
                    <w:pStyle w:val="Compact"/>
                    <w:jc w:val="center"/>
                    <w:jc w:val="center"/>
                  </w:pPr>
                  <w:r>
                    <w:t xml:space="preserve">15</w:t>
                  </w:r>
                </w:p>
              </w:tc>
            </w:tr>
            <w:tr>
              <w:tc>
                <w:tcPr/>
                <w:p>
                  <w:pPr>
                    <w:pStyle w:val="Compact"/>
                    <w:jc w:val="left"/>
                    <w:jc w:val="center"/>
                  </w:pPr>
                  <w:r>
                    <w:t xml:space="preserve">    T1D, n</w:t>
                  </w:r>
                </w:p>
              </w:tc>
              <w:tc>
                <w:tcPr/>
                <w:p>
                  <w:pPr>
                    <w:pStyle w:val="Compact"/>
                    <w:jc w:val="center"/>
                    <w:jc w:val="center"/>
                  </w:pPr>
                  <w:r>
                    <w:t xml:space="preserve">10</w:t>
                  </w:r>
                </w:p>
              </w:tc>
              <w:tc>
                <w:tcPr/>
                <w:p>
                  <w:pPr>
                    <w:pStyle w:val="Compact"/>
                    <w:jc w:val="center"/>
                    <w:jc w:val="center"/>
                  </w:pPr>
                  <w:r>
                    <w:t xml:space="preserve">5</w:t>
                  </w:r>
                </w:p>
              </w:tc>
              <w:tc>
                <w:tcPr/>
                <w:p>
                  <w:pPr>
                    <w:pStyle w:val="Compact"/>
                    <w:jc w:val="center"/>
                    <w:jc w:val="center"/>
                  </w:pPr>
                  <w:r>
                    <w:t xml:space="preserve">9</w:t>
                  </w:r>
                </w:p>
              </w:tc>
              <w:tc>
                <w:tcPr/>
                <w:p>
                  <w:pPr>
                    <w:pStyle w:val="Compact"/>
                    <w:jc w:val="center"/>
                    <w:jc w:val="center"/>
                  </w:pPr>
                  <w:r>
                    <w:t xml:space="preserve">7</w:t>
                  </w:r>
                </w:p>
              </w:tc>
              <w:tc>
                <w:tcPr/>
                <w:p>
                  <w:pPr>
                    <w:pStyle w:val="Compact"/>
                    <w:jc w:val="center"/>
                    <w:jc w:val="center"/>
                  </w:pPr>
                  <w:r>
                    <w:t xml:space="preserve">8</w:t>
                  </w:r>
                </w:p>
              </w:tc>
              <w:tc>
                <w:tcPr/>
                <w:p>
                  <w:pPr>
                    <w:pStyle w:val="Compact"/>
                    <w:jc w:val="center"/>
                    <w:jc w:val="center"/>
                  </w:pPr>
                  <w:r>
                    <w:t xml:space="preserve">9</w:t>
                  </w:r>
                </w:p>
              </w:tc>
              <w:tc>
                <w:tcPr/>
                <w:p>
                  <w:pPr>
                    <w:pStyle w:val="Compact"/>
                    <w:jc w:val="center"/>
                    <w:jc w:val="center"/>
                  </w:pPr>
                  <w:r>
                    <w:t xml:space="preserve">8</w:t>
                  </w:r>
                </w:p>
              </w:tc>
            </w:tr>
            <w:tr>
              <w:tc>
                <w:tcPr/>
                <w:p>
                  <w:pPr>
                    <w:pStyle w:val="Compact"/>
                    <w:jc w:val="left"/>
                    <w:jc w:val="center"/>
                  </w:pPr>
                  <w:r>
                    <w:t xml:space="preserve">    T2D, n</w:t>
                  </w:r>
                </w:p>
              </w:tc>
              <w:tc>
                <w:tcPr/>
                <w:p>
                  <w:pPr>
                    <w:pStyle w:val="Compact"/>
                    <w:jc w:val="center"/>
                    <w:jc w:val="center"/>
                  </w:pPr>
                  <w:r>
                    <w:t xml:space="preserve">11</w:t>
                  </w:r>
                </w:p>
              </w:tc>
              <w:tc>
                <w:tcPr/>
                <w:p>
                  <w:pPr>
                    <w:pStyle w:val="Compact"/>
                    <w:jc w:val="center"/>
                    <w:jc w:val="center"/>
                  </w:pPr>
                  <w:r>
                    <w:t xml:space="preserve">14</w:t>
                  </w:r>
                </w:p>
              </w:tc>
              <w:tc>
                <w:tcPr/>
                <w:p>
                  <w:pPr>
                    <w:pStyle w:val="Compact"/>
                    <w:jc w:val="center"/>
                    <w:jc w:val="center"/>
                  </w:pPr>
                  <w:r>
                    <w:t xml:space="preserve">8</w:t>
                  </w:r>
                </w:p>
              </w:tc>
              <w:tc>
                <w:tcPr/>
                <w:p>
                  <w:pPr>
                    <w:pStyle w:val="Compact"/>
                    <w:jc w:val="center"/>
                    <w:jc w:val="center"/>
                  </w:pPr>
                  <w:r>
                    <w:t xml:space="preserve">10</w:t>
                  </w:r>
                </w:p>
              </w:tc>
              <w:tc>
                <w:tcPr/>
                <w:p>
                  <w:pPr>
                    <w:pStyle w:val="Compact"/>
                    <w:jc w:val="center"/>
                    <w:jc w:val="center"/>
                  </w:pPr>
                  <w:r>
                    <w:t xml:space="preserve">8</w:t>
                  </w:r>
                </w:p>
              </w:tc>
              <w:tc>
                <w:tcPr/>
                <w:p>
                  <w:pPr>
                    <w:pStyle w:val="Compact"/>
                    <w:jc w:val="center"/>
                    <w:jc w:val="center"/>
                  </w:pPr>
                  <w:r>
                    <w:t xml:space="preserve">7</w:t>
                  </w:r>
                </w:p>
              </w:tc>
              <w:tc>
                <w:tcPr/>
                <w:p>
                  <w:pPr>
                    <w:pStyle w:val="Compact"/>
                    <w:jc w:val="center"/>
                    <w:jc w:val="center"/>
                  </w:pPr>
                  <w:r>
                    <w:t xml:space="preserve">7</w:t>
                  </w:r>
                </w:p>
              </w:tc>
            </w:tr>
            <w:tr>
              <w:tc>
                <w:tcPr/>
                <w:p>
                  <w:pPr>
                    <w:pStyle w:val="Compact"/>
                    <w:jc w:val="left"/>
                    <w:jc w:val="center"/>
                  </w:pPr>
                  <w:r>
                    <w:t xml:space="preserve">    Mixed</w:t>
                  </w:r>
                  <m:oMath>
                    <m:sSup>
                      <m:e>
                        <m:r>
                          <m:t>​</m:t>
                        </m:r>
                      </m:e>
                      <m:sup>
                        <m:r>
                          <m:rPr>
                            <m:sty m:val="p"/>
                          </m:rPr>
                          <m:t>*</m:t>
                        </m:r>
                      </m:sup>
                    </m:sSup>
                  </m:oMath>
                </w:p>
              </w:tc>
              <w:tc>
                <w:tcPr/>
                <w:p>
                  <w:pPr>
                    <w:pStyle w:val="Compact"/>
                    <w:jc w:val="center"/>
                    <w:jc w:val="center"/>
                  </w:pPr>
                  <w:r>
                    <w:t xml:space="preserve">2</w:t>
                  </w:r>
                </w:p>
              </w:tc>
              <w:tc>
                <w:tcPr/>
                <w:p>
                  <w:pPr>
                    <w:pStyle w:val="Compact"/>
                    <w:jc w:val="center"/>
                    <w:jc w:val="center"/>
                  </w:pPr>
                  <w:r>
                    <w:t xml:space="preserve">3</w:t>
                  </w:r>
                </w:p>
              </w:tc>
              <w:tc>
                <w:tcPr/>
                <w:p>
                  <w:pPr>
                    <w:pStyle w:val="Compact"/>
                    <w:jc w:val="center"/>
                    <w:jc w:val="center"/>
                  </w:pPr>
                  <w:r>
                    <w:t xml:space="preserve">4</w:t>
                  </w:r>
                </w:p>
              </w:tc>
              <w:tc>
                <w:tcPr/>
                <w:p>
                  <w:pPr>
                    <w:pStyle w:val="Compact"/>
                    <w:jc w:val="center"/>
                    <w:jc w:val="center"/>
                  </w:pPr>
                  <w:r>
                    <w:t xml:space="preserve">2</w:t>
                  </w:r>
                </w:p>
              </w:tc>
              <w:tc>
                <w:tcPr/>
                <w:p>
                  <w:pPr>
                    <w:pStyle w:val="Compact"/>
                    <w:jc w:val="center"/>
                    <w:jc w:val="center"/>
                  </w:pPr>
                  <w:r>
                    <w:t xml:space="preserve">3</w:t>
                  </w:r>
                </w:p>
              </w:tc>
              <w:tc>
                <w:tcPr/>
                <w:p>
                  <w:pPr>
                    <w:pStyle w:val="Compact"/>
                    <w:jc w:val="center"/>
                    <w:jc w:val="center"/>
                  </w:pPr>
                  <w:r>
                    <w:t xml:space="preserve">0</w:t>
                  </w:r>
                </w:p>
              </w:tc>
              <w:tc>
                <w:tcPr/>
                <w:p>
                  <w:pPr>
                    <w:pStyle w:val="Compact"/>
                    <w:jc w:val="center"/>
                    <w:jc w:val="center"/>
                  </w:pPr>
                  <w:r>
                    <w:t xml:space="preserve">0</w:t>
                  </w:r>
                </w:p>
              </w:tc>
            </w:tr>
            <w:tr>
              <w:tc>
                <w:tcPr/>
                <w:p>
                  <w:pPr>
                    <w:pStyle w:val="Compact"/>
                    <w:jc w:val="left"/>
                    <w:jc w:val="center"/>
                  </w:pPr>
                  <w:r>
                    <w:rPr>
                      <w:b/>
                      <w:bCs/>
                    </w:rPr>
                    <w:t xml:space="preserve">Total study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rPr>
                    <w:t xml:space="preserve">size for the CGM-derived metrics</w:t>
                  </w:r>
                  <m:oMath>
                    <m:sSup>
                      <m:e>
                        <m:r>
                          <m:t>​</m:t>
                        </m:r>
                      </m:e>
                      <m:sup>
                        <m:r>
                          <m:rPr>
                            <m:sty m:val="p"/>
                          </m:rPr>
                          <m:t>*</m:t>
                        </m:r>
                        <m:r>
                          <m:rPr>
                            <m:sty m:val="p"/>
                          </m:rPr>
                          <m:t>*</m:t>
                        </m:r>
                      </m:sup>
                    </m:sSup>
                  </m:oMath>
                </w:p>
              </w:tc>
              <w:tc>
                <w:tcPr/>
                <w:p>
                  <w:pPr>
                    <w:pStyle w:val="Compact"/>
                    <w:jc w:val="center"/>
                    <w:jc w:val="center"/>
                  </w:pPr>
                  <w:r>
                    <w:t xml:space="preserve">445 [157-577]</w:t>
                  </w:r>
                </w:p>
              </w:tc>
              <w:tc>
                <w:tcPr/>
                <w:p>
                  <w:pPr>
                    <w:pStyle w:val="Compact"/>
                    <w:jc w:val="center"/>
                    <w:jc w:val="center"/>
                  </w:pPr>
                  <w:r>
                    <w:t xml:space="preserve">156 [63-344]</w:t>
                  </w:r>
                </w:p>
              </w:tc>
              <w:tc>
                <w:tcPr/>
                <w:p>
                  <w:pPr>
                    <w:pStyle w:val="Compact"/>
                    <w:jc w:val="center"/>
                    <w:jc w:val="center"/>
                  </w:pPr>
                  <w:r>
                    <w:t xml:space="preserve">105 [71-427]</w:t>
                  </w:r>
                </w:p>
              </w:tc>
              <w:tc>
                <w:tcPr/>
                <w:p>
                  <w:pPr>
                    <w:pStyle w:val="Compact"/>
                    <w:jc w:val="center"/>
                    <w:jc w:val="center"/>
                  </w:pPr>
                  <w:r>
                    <w:t xml:space="preserve">267 [77-480]</w:t>
                  </w:r>
                </w:p>
              </w:tc>
              <w:tc>
                <w:tcPr/>
                <w:p>
                  <w:pPr>
                    <w:pStyle w:val="Compact"/>
                    <w:jc w:val="center"/>
                    <w:jc w:val="center"/>
                  </w:pPr>
                  <w:r>
                    <w:t xml:space="preserve">342 [98-577]</w:t>
                  </w:r>
                </w:p>
              </w:tc>
              <w:tc>
                <w:tcPr/>
                <w:p>
                  <w:pPr>
                    <w:pStyle w:val="Compact"/>
                    <w:jc w:val="center"/>
                    <w:jc w:val="center"/>
                  </w:pPr>
                  <w:r>
                    <w:t xml:space="preserve">123 [77-312]</w:t>
                  </w:r>
                </w:p>
              </w:tc>
              <w:tc>
                <w:tcPr/>
                <w:p>
                  <w:pPr>
                    <w:pStyle w:val="Compact"/>
                    <w:jc w:val="center"/>
                    <w:jc w:val="center"/>
                  </w:pPr>
                  <w:r>
                    <w:t xml:space="preserve">152 [77-425]</w:t>
                  </w:r>
                </w:p>
              </w:tc>
            </w:tr>
            <w:tr>
              <w:tc>
                <w:tcPr/>
                <w:p>
                  <w:pPr>
                    <w:pStyle w:val="Compact"/>
                    <w:jc w:val="left"/>
                    <w:jc w:val="center"/>
                  </w:pPr>
                  <w:r>
                    <w:t xml:space="preserve">    T1D</w:t>
                  </w:r>
                  <m:oMath>
                    <m:sSup>
                      <m:e>
                        <m:r>
                          <m:t>​</m:t>
                        </m:r>
                      </m:e>
                      <m:sup>
                        <m:r>
                          <m:rPr>
                            <m:sty m:val="p"/>
                          </m:rPr>
                          <m:t>*</m:t>
                        </m:r>
                        <m:r>
                          <m:rPr>
                            <m:sty m:val="p"/>
                          </m:rPr>
                          <m:t>*</m:t>
                        </m:r>
                      </m:sup>
                    </m:sSup>
                  </m:oMath>
                </w:p>
              </w:tc>
              <w:tc>
                <w:tcPr/>
                <w:p>
                  <w:pPr>
                    <w:pStyle w:val="Compact"/>
                    <w:jc w:val="center"/>
                    <w:jc w:val="center"/>
                  </w:pPr>
                  <w:r>
                    <w:t xml:space="preserve">214 [119-547]</w:t>
                  </w:r>
                </w:p>
              </w:tc>
              <w:tc>
                <w:tcPr/>
                <w:p>
                  <w:pPr>
                    <w:pStyle w:val="Compact"/>
                    <w:jc w:val="center"/>
                    <w:jc w:val="center"/>
                  </w:pPr>
                  <w:r>
                    <w:t xml:space="preserve">57 [30-215]</w:t>
                  </w:r>
                </w:p>
              </w:tc>
              <w:tc>
                <w:tcPr/>
                <w:p>
                  <w:pPr>
                    <w:pStyle w:val="Compact"/>
                    <w:jc w:val="center"/>
                    <w:jc w:val="center"/>
                  </w:pPr>
                  <w:r>
                    <w:t xml:space="preserve">105 [31-347]</w:t>
                  </w:r>
                </w:p>
              </w:tc>
              <w:tc>
                <w:tcPr/>
                <w:p>
                  <w:pPr>
                    <w:pStyle w:val="Compact"/>
                    <w:jc w:val="center"/>
                    <w:jc w:val="center"/>
                  </w:pPr>
                  <w:r>
                    <w:t xml:space="preserve">267 [54-515]</w:t>
                  </w:r>
                </w:p>
              </w:tc>
              <w:tc>
                <w:tcPr/>
                <w:p>
                  <w:pPr>
                    <w:pStyle w:val="Compact"/>
                    <w:jc w:val="center"/>
                    <w:jc w:val="center"/>
                  </w:pPr>
                  <w:r>
                    <w:t xml:space="preserve">152 [91-515]</w:t>
                  </w:r>
                </w:p>
              </w:tc>
              <w:tc>
                <w:tcPr/>
                <w:p>
                  <w:pPr>
                    <w:pStyle w:val="Compact"/>
                    <w:jc w:val="center"/>
                    <w:jc w:val="center"/>
                  </w:pPr>
                  <w:r>
                    <w:t xml:space="preserve">124 [102-161]</w:t>
                  </w:r>
                </w:p>
              </w:tc>
              <w:tc>
                <w:tcPr/>
                <w:p>
                  <w:pPr>
                    <w:pStyle w:val="Compact"/>
                    <w:jc w:val="center"/>
                    <w:jc w:val="center"/>
                  </w:pPr>
                  <w:r>
                    <w:t xml:space="preserve">138 [98-188]</w:t>
                  </w:r>
                </w:p>
              </w:tc>
            </w:tr>
            <w:tr>
              <w:tc>
                <w:tcPr/>
                <w:p>
                  <w:pPr>
                    <w:pStyle w:val="Compact"/>
                    <w:jc w:val="left"/>
                    <w:jc w:val="center"/>
                  </w:pPr>
                  <w:r>
                    <w:t xml:space="preserve">    T2D</w:t>
                  </w:r>
                  <m:oMath>
                    <m:sSup>
                      <m:e>
                        <m:r>
                          <m:t>​</m:t>
                        </m:r>
                      </m:e>
                      <m:sup>
                        <m:r>
                          <m:rPr>
                            <m:sty m:val="p"/>
                          </m:rPr>
                          <m:t>*</m:t>
                        </m:r>
                        <m:r>
                          <m:rPr>
                            <m:sty m:val="p"/>
                          </m:rPr>
                          <m:t>*</m:t>
                        </m:r>
                      </m:sup>
                    </m:sSup>
                  </m:oMath>
                </w:p>
              </w:tc>
              <w:tc>
                <w:tcPr/>
                <w:p>
                  <w:pPr>
                    <w:pStyle w:val="Compact"/>
                    <w:jc w:val="center"/>
                    <w:jc w:val="center"/>
                  </w:pPr>
                  <w:r>
                    <w:t xml:space="preserve">510 [405-600]</w:t>
                  </w:r>
                </w:p>
              </w:tc>
              <w:tc>
                <w:tcPr/>
                <w:p>
                  <w:pPr>
                    <w:pStyle w:val="Compact"/>
                    <w:jc w:val="center"/>
                    <w:jc w:val="center"/>
                  </w:pPr>
                  <w:r>
                    <w:t xml:space="preserve">251 [89-411]</w:t>
                  </w:r>
                </w:p>
              </w:tc>
              <w:tc>
                <w:tcPr/>
                <w:p>
                  <w:pPr>
                    <w:pStyle w:val="Compact"/>
                    <w:jc w:val="center"/>
                    <w:jc w:val="center"/>
                  </w:pPr>
                  <w:r>
                    <w:t xml:space="preserve">405 [77-499]</w:t>
                  </w:r>
                </w:p>
              </w:tc>
              <w:tc>
                <w:tcPr/>
                <w:p>
                  <w:pPr>
                    <w:pStyle w:val="Compact"/>
                    <w:jc w:val="center"/>
                    <w:jc w:val="center"/>
                  </w:pPr>
                  <w:r>
                    <w:t xml:space="preserve">371 [95-484]</w:t>
                  </w:r>
                </w:p>
              </w:tc>
              <w:tc>
                <w:tcPr/>
                <w:p>
                  <w:pPr>
                    <w:pStyle w:val="Compact"/>
                    <w:jc w:val="center"/>
                    <w:jc w:val="center"/>
                  </w:pPr>
                  <w:r>
                    <w:t xml:space="preserve">499 [358-632]</w:t>
                  </w:r>
                </w:p>
              </w:tc>
              <w:tc>
                <w:tcPr/>
                <w:p>
                  <w:pPr>
                    <w:pStyle w:val="Compact"/>
                    <w:jc w:val="center"/>
                    <w:jc w:val="center"/>
                  </w:pPr>
                  <w:r>
                    <w:t xml:space="preserve">121 [75-499]</w:t>
                  </w:r>
                </w:p>
              </w:tc>
              <w:tc>
                <w:tcPr/>
                <w:p>
                  <w:pPr>
                    <w:pStyle w:val="Compact"/>
                    <w:jc w:val="center"/>
                    <w:jc w:val="center"/>
                  </w:pPr>
                  <w:r>
                    <w:t xml:space="preserve">405 [75-499]</w:t>
                  </w:r>
                </w:p>
              </w:tc>
            </w:tr>
          </w:tbl>
          <w:bookmarkEnd w:id="184"/>
          <w:p/>
        </w:tc>
      </w:tr>
    </w:tbl>
    <w:bookmarkEnd w:id="185"/>
    <w:bookmarkStart w:id="186" w:name="prediction-studies"/>
    <w:p>
      <w:pPr>
        <w:pStyle w:val="Heading3"/>
      </w:pPr>
      <w:r>
        <w:t xml:space="preserve">Prediction Studies</w:t>
      </w:r>
    </w:p>
    <w:p>
      <w:pPr>
        <w:pStyle w:val="FirstParagraph"/>
      </w:pPr>
      <w:r>
        <w:t xml:space="preserve">Only three studies evaluated the predictive performance of CGM-derived metrics for cardiovascular outcomes, all using logistic regression models with MAGE as the predictor. Two studies reported</w:t>
      </w:r>
      <w:r>
        <w:t xml:space="preserve"> </w:t>
      </w:r>
      <w:hyperlink w:anchor="acronyms_AUROC">
        <w:r>
          <w:rPr>
            <w:rStyle w:val="Hyperlink"/>
          </w:rPr>
          <w:t xml:space="preserve">AUROC</w:t>
        </w:r>
      </w:hyperlink>
      <w:r>
        <w:t xml:space="preserve"> </w:t>
      </w:r>
      <w:r>
        <w:t xml:space="preserve">values of 0.61 and 0.62, respectively,</w:t>
      </w:r>
      <w:r>
        <w:rPr>
          <w:vertAlign w:val="superscript"/>
        </w:rPr>
        <w:t xml:space="preserve">69,92</w:t>
      </w:r>
      <w:r>
        <w:t xml:space="preserve"> </w:t>
      </w:r>
      <w:r>
        <w:t xml:space="preserve">and both found MAGE to outperform HbA1c (</w:t>
      </w:r>
      <w:hyperlink w:anchor="acronyms_AUROC">
        <w:r>
          <w:rPr>
            <w:rStyle w:val="Hyperlink"/>
          </w:rPr>
          <w:t xml:space="preserve">AUROC</w:t>
        </w:r>
      </w:hyperlink>
      <w:r>
        <w:t xml:space="preserve">: 0.55 and 0.58, respectively). The third study used receiver operating characteristic analyzis to determine the optimal threshold for dichotomizing MAGE during variable selection but did not report the</w:t>
      </w:r>
      <w:r>
        <w:t xml:space="preserve"> </w:t>
      </w:r>
      <w:hyperlink w:anchor="acronyms_AUROC">
        <w:r>
          <w:rPr>
            <w:rStyle w:val="Hyperlink"/>
          </w:rPr>
          <w:t xml:space="preserve">AUROC</w:t>
        </w:r>
      </w:hyperlink>
      <w:r>
        <w:t xml:space="preserve">.</w:t>
      </w:r>
      <w:r>
        <w:rPr>
          <w:vertAlign w:val="superscript"/>
        </w:rPr>
        <w:t xml:space="preserve">93</w:t>
      </w:r>
      <w:r>
        <w:t xml:space="preserve"> </w:t>
      </w:r>
      <w:r>
        <w:t xml:space="preserve">Instead, a threshold of MAGE ≥ 3.4 mmol/L was identified as a risk factor for stenosis and/or occlusion, with a sensitivity of 0.60 and a specificity of 0.61.</w:t>
      </w:r>
    </w:p>
    <w:p>
      <w:r>
        <w:br w:type="page"/>
      </w:r>
    </w:p>
    <w:bookmarkEnd w:id="186"/>
    <w:bookmarkStart w:id="187" w:name="association-studies"/>
    <w:p>
      <w:pPr>
        <w:pStyle w:val="Heading3"/>
      </w:pPr>
      <w:r>
        <w:t xml:space="preserve">Association Studies</w:t>
      </w:r>
    </w:p>
    <w:p>
      <w:pPr>
        <w:pStyle w:val="FirstParagraph"/>
      </w:pPr>
      <w:r>
        <w:t xml:space="preserve">There were a variety of different CVD outcomes as presented in</w:t>
      </w:r>
      <w:r>
        <w:t xml:space="preserve"> </w:t>
      </w:r>
      <w:hyperlink w:anchor="tbl-study3-clin-subclin-cvd">
        <w:r>
          <w:rPr>
            <w:rStyle w:val="Hyperlink"/>
          </w:rPr>
          <w:t xml:space="preserve">Table 4.2</w:t>
        </w:r>
      </w:hyperlink>
      <w:r>
        <w:t xml:space="preserve">.</w:t>
      </w:r>
    </w:p>
    <w:bookmarkEnd w:id="187"/>
    <w:bookmarkStart w:id="188" w:name="clinical-association-studies"/>
    <w:p>
      <w:pPr>
        <w:pStyle w:val="Heading3"/>
      </w:pPr>
      <w:r>
        <w:t xml:space="preserve">Clinical Association Studies</w:t>
      </w:r>
    </w:p>
    <w:p>
      <w:pPr>
        <w:pStyle w:val="FirstParagraph"/>
      </w:pPr>
      <w:r>
        <w:t xml:space="preserve">Most studies focused exclusively on subclinical cardiovascular outcomes (37 of 53 studies, 70%), whereas 13 studies (25%) investigated only clinical cardiovascular outcomes and three studies (6%) included both clinical and subclinical outcomes. An overview of all the studies is provided in</w:t>
      </w:r>
      <w:r>
        <w:t xml:space="preserve"> </w:t>
      </w:r>
      <w:hyperlink w:anchor="sec-suppl-subclin-results">
        <w:r>
          <w:rPr>
            <w:rStyle w:val="Hyperlink"/>
          </w:rPr>
          <w:t xml:space="preserve">Appendix D</w:t>
        </w:r>
      </w:hyperlink>
      <w:r>
        <w:t xml:space="preserve">.</w:t>
      </w:r>
    </w:p>
    <w:p>
      <w:pPr>
        <w:pStyle w:val="BodyText"/>
      </w:pPr>
      <w:r>
        <w:t xml:space="preserve">Adjustment for potential confounders varied considerably across studies. Demographic factors were most frequently included (n = 36), followed by medical history and biochemical factors (n = 32 each), anthropometric factors (n = 29), and physiological factors (n = 24). Lifestyle factors were included in 20 studies, whereas adjustment for medication, CGM-derived metrics, and CVD markers was less common. Adjustment was not applicable in 12 studies, and six studies did not report whether or how the analyses were adjusted (</w:t>
      </w:r>
      <w:hyperlink w:anchor="tbl-adjustments">
        <w:r>
          <w:rPr>
            <w:rStyle w:val="Hyperlink"/>
          </w:rPr>
          <w:t xml:space="preserve">Table 4.3</w:t>
        </w:r>
      </w:hyperlink>
      <w:r>
        <w:t xml:space="preserve">). Because studies could adjust for variables from several domains, the categories are not mutually exclusive.</w:t>
      </w:r>
    </w:p>
    <w:p>
      <w:pPr>
        <w:pStyle w:val="BodyText"/>
      </w:pPr>
      <w:r>
        <w:t xml:space="preserve">An overview of the most frequently used CGM-derived metrics stratified based on clinical and subclinical cardiovascular outcomes are shown in</w:t>
      </w:r>
      <w:r>
        <w:t xml:space="preserve"> </w:t>
      </w:r>
      <w:hyperlink w:anchor="tbl-CVD-CGM">
        <w:r>
          <w:rPr>
            <w:rStyle w:val="Hyperlink"/>
          </w:rPr>
          <w:t xml:space="preserve">Table 4.4</w:t>
        </w:r>
      </w:hyperlink>
      <w:r>
        <w:t xml:space="preserve">.</w:t>
      </w:r>
      <w:r>
        <w:t xml:space="preserve"> </w:t>
      </w:r>
      <w:r>
        <w:t xml:space="preserve">Outcomes related to subclinical cardiovascular outcomes were more frequently studied (59 studies) compared to clinical outcomes (26 studies) and studies were predominantly done among people with T2D.</w:t>
      </w:r>
      <w:r>
        <w:t xml:space="preserve"> </w:t>
      </w:r>
      <w:r>
        <w:t xml:space="preserve">Among clinical cardiovascular outcomes, coronary artery disease was examined most frequently (6 studies), followed by macrovascular complications (5 studies) and the Gensini score (4 studies) and for subclinical cardiovascular outcomes, particularly arterial wall thickness were frequently investigated (19 studies), arterial stiffness (12 studies), cardiac and pulse-related measures (10 studies), and flow resistance (9 studies).</w:t>
      </w:r>
    </w:p>
    <w:p>
      <w:pPr>
        <w:pStyle w:val="BodyText"/>
      </w:pPr>
      <w:r>
        <w:t xml:space="preserve">TIR was the most commonly reported CGM-derived metric across most arterial-stiffness outcomes, followed by MAGE, MBG, SD, and CV. MAGE was reported most frequently in studies evaluating coronary artery disease, Gensini score, and Syntax score. By contrast, relatively few CGM-derived metrics were reported for mortality, major adverse cardiovascular events, stroke, peripheral artery disease, and lower-extremity arterial disease.</w:t>
      </w:r>
      <w:r>
        <w:t xml:space="preserve"> </w:t>
      </w:r>
      <w:r>
        <w:t xml:space="preserve">A more detailed extraction table of the CVD outcomes for the 53 studies can be found in</w:t>
      </w:r>
      <w:r>
        <w:t xml:space="preserve"> </w:t>
      </w:r>
      <w:hyperlink w:anchor="sec-suppl-subclin-results">
        <w:r>
          <w:rPr>
            <w:rStyle w:val="Hyperlink"/>
          </w:rPr>
          <w:t xml:space="preserve">Appendix D</w:t>
        </w:r>
      </w:hyperlink>
      <w:r>
        <w:t xml:space="preserve">.</w:t>
      </w:r>
    </w:p>
    <w:p>
      <w:pPr>
        <w:sectPr/>
      </w:pPr>
    </w:p>
    <w:p>
      <w:pPr>
        <w:sectPr>
          <w:pgSz w:h="11906" w:w="16838" w:orient="landscape"/>
        </w:sectPr>
      </w:pPr>
    </w:p>
    <w:bookmarkEnd w:id="188"/>
    <w:bookmarkEnd w:id="189"/>
    <w:bookmarkStart w:id="192" w:name="Xbc1d62b03cd3f191661724aaa2cfeeb36c4f2a1"/>
    <w:p>
      <w:pPr>
        <w:pStyle w:val="Heading2"/>
      </w:pPr>
      <w:r>
        <w:t xml:space="preserve">4.2 Study II and III: Baseline Characteristics Tables of the Datasets</w:t>
      </w:r>
    </w:p>
    <w:p>
      <w:pPr>
        <w:pStyle w:val="FirstParagraph"/>
      </w:pPr>
      <w:r>
        <w:t xml:space="preserve">The CANCAN dataset presented below was used in Study II (</w:t>
      </w:r>
      <w:hyperlink w:anchor="tbl-baseline-cancan">
        <w:r>
          <w:rPr>
            <w:rStyle w:val="Hyperlink"/>
          </w:rPr>
          <w:t xml:space="preserve">Table 4.5</w:t>
        </w:r>
      </w:hyperlink>
      <w:r>
        <w:t xml:space="preserve">).</w:t>
      </w:r>
      <w:r>
        <w:t xml:space="preserve"> </w:t>
      </w:r>
      <w:r>
        <w:t xml:space="preserve">The total number of included participants were 159 and 67 (42%) had elevated NT-proBNP values.</w:t>
      </w:r>
      <w:r>
        <w:t xml:space="preserve"> </w:t>
      </w:r>
      <w:r>
        <w:t xml:space="preserve">Participants with elevated NT-proBNP tended to be older, have a longer duration of diabetes, and more frequently have cardiovascular disease. They also tended to have lower BMI and lower LDL and total cholesterol concentrations, while exhibiting modestly better overall glycemic control however with slightly higher glycemic variability.</w:t>
      </w:r>
    </w:p>
    <w:tbl>
      <w:tblPr>
        <w:tblStyle w:val="Table"/>
        <w:tblW w:type="pct" w:w="5000"/>
        <w:tblLayout w:type="fixed"/>
        <w:tblLook w:firstRow="0" w:lastRow="0" w:firstColumn="0" w:lastColumn="0" w:noHBand="0" w:noVBand="0" w:val="0000"/>
      </w:tblPr>
      <w:tblGrid>
        <w:gridCol w:w="7920"/>
      </w:tblGrid>
      <w:tr>
        <w:tc>
          <w:tcPr/>
          <w:bookmarkStart w:id="190" w:name="tbl-baseline-cancan"/>
          <w:p>
            <w:pPr>
              <w:jc w:val="center"/>
            </w:pPr>
            <w:pPr>
              <w:jc w:val="left"/>
              <w:spacing w:before="200"/>
              <w:pStyle w:val="ImageCaption"/>
            </w:pPr>
            <w:r>
              <w:t xml:space="preserve">Table 4.5: Baseline table for CANCAN data.</w:t>
            </w:r>
          </w:p>
          <w:tbl>
            <w:tblPr>
              <w:tblStyle w:val="Table"/>
              <w:tblW w:type="pct" w:w="5000"/>
              <w:tblLayout w:type="fixed"/>
              <w:tblLook w:firstRow="1" w:lastRow="0" w:firstColumn="0" w:lastColumn="0" w:noHBand="0" w:noVBand="0" w:val="0020"/>
            </w:tblPr>
            <w:tblGrid>
              <w:gridCol w:w="3168"/>
              <w:gridCol w:w="1584"/>
              <w:gridCol w:w="1584"/>
              <w:gridCol w:w="1584"/>
            </w:tblGrid>
            <w:tr>
              <w:trPr>
                <w:tblHeader w:val="on"/>
              </w:trPr>
              <w:tc>
                <w:tcPr/>
                <w:p>
                  <w:pPr>
                    <w:pStyle w:val="Compact"/>
                    <w:jc w:val="left"/>
                    <w:jc w:val="center"/>
                  </w:pPr>
                  <w:r>
                    <w:t xml:space="preserve">Variable</w:t>
                  </w:r>
                </w:p>
              </w:tc>
              <w:tc>
                <w:tcPr/>
                <w:p>
                  <w:pPr>
                    <w:pStyle w:val="Compact"/>
                    <w:jc w:val="right"/>
                    <w:jc w:val="center"/>
                  </w:pPr>
                  <w:r>
                    <w:t xml:space="preserve">Total</w:t>
                  </w:r>
                </w:p>
              </w:tc>
              <w:tc>
                <w:tcPr/>
                <w:p>
                  <w:pPr>
                    <w:pStyle w:val="Compact"/>
                    <w:jc w:val="right"/>
                    <w:jc w:val="center"/>
                  </w:pPr>
                  <w:r>
                    <w:t xml:space="preserve">NT-proBNP</w:t>
                  </w:r>
                  <w:r>
                    <w:t xml:space="preserve"> </w:t>
                  </w:r>
                  <m:oMath>
                    <m:r>
                      <m:rPr>
                        <m:sty m:val="p"/>
                      </m:rPr>
                      <m:t>≤</m:t>
                    </m:r>
                    <m:r>
                      <m:t>125</m:t>
                    </m:r>
                  </m:oMath>
                  <w:r>
                    <w:t xml:space="preserve"> </w:t>
                  </w:r>
                  <w:r>
                    <w:t xml:space="preserve">pg/mL</w:t>
                  </w:r>
                </w:p>
              </w:tc>
              <w:tc>
                <w:tcPr/>
                <w:p>
                  <w:pPr>
                    <w:pStyle w:val="Compact"/>
                    <w:jc w:val="right"/>
                    <w:jc w:val="center"/>
                  </w:pPr>
                  <w:r>
                    <w:t xml:space="preserve">NT-proBNP &gt;125 pg/mL</w:t>
                  </w:r>
                </w:p>
              </w:tc>
            </w:tr>
            <w:tr>
              <w:tc>
                <w:tcPr/>
                <w:p>
                  <w:pPr>
                    <w:pStyle w:val="Compact"/>
                    <w:jc w:val="left"/>
                    <w:jc w:val="center"/>
                  </w:pPr>
                  <w:r>
                    <w:t xml:space="preserve">N</w:t>
                  </w:r>
                </w:p>
              </w:tc>
              <w:tc>
                <w:tcPr/>
                <w:p>
                  <w:pPr>
                    <w:pStyle w:val="Compact"/>
                    <w:jc w:val="right"/>
                    <w:jc w:val="center"/>
                  </w:pPr>
                  <w:r>
                    <w:t xml:space="preserve">159</w:t>
                  </w:r>
                </w:p>
              </w:tc>
              <w:tc>
                <w:tcPr/>
                <w:p>
                  <w:pPr>
                    <w:pStyle w:val="Compact"/>
                    <w:jc w:val="right"/>
                    <w:jc w:val="center"/>
                  </w:pPr>
                  <w:r>
                    <w:t xml:space="preserve">92</w:t>
                  </w:r>
                </w:p>
              </w:tc>
              <w:tc>
                <w:tcPr/>
                <w:p>
                  <w:pPr>
                    <w:pStyle w:val="Compact"/>
                    <w:jc w:val="right"/>
                    <w:jc w:val="center"/>
                  </w:pPr>
                  <w:r>
                    <w:t xml:space="preserve">67</w:t>
                  </w:r>
                </w:p>
              </w:tc>
            </w:tr>
            <w:tr>
              <w:tc>
                <w:tcPr/>
                <w:p>
                  <w:pPr>
                    <w:pStyle w:val="Compact"/>
                    <w:jc w:val="left"/>
                    <w:jc w:val="center"/>
                  </w:pPr>
                  <w:r>
                    <w:t xml:space="preserve">Age (years)</w:t>
                  </w:r>
                </w:p>
              </w:tc>
              <w:tc>
                <w:tcPr/>
                <w:p>
                  <w:pPr>
                    <w:pStyle w:val="Compact"/>
                    <w:jc w:val="right"/>
                    <w:jc w:val="center"/>
                  </w:pPr>
                  <w:r>
                    <w:t xml:space="preserve">65 [56, 71]</w:t>
                  </w:r>
                </w:p>
              </w:tc>
              <w:tc>
                <w:tcPr/>
                <w:p>
                  <w:pPr>
                    <w:pStyle w:val="Compact"/>
                    <w:jc w:val="right"/>
                    <w:jc w:val="center"/>
                  </w:pPr>
                  <w:r>
                    <w:t xml:space="preserve">60 [53, 68]</w:t>
                  </w:r>
                </w:p>
              </w:tc>
              <w:tc>
                <w:tcPr/>
                <w:p>
                  <w:pPr>
                    <w:pStyle w:val="Compact"/>
                    <w:jc w:val="right"/>
                    <w:jc w:val="center"/>
                  </w:pPr>
                  <w:r>
                    <w:t xml:space="preserve">68 [64, 76]</w:t>
                  </w:r>
                </w:p>
              </w:tc>
            </w:tr>
            <w:tr>
              <w:tc>
                <w:tcPr/>
                <w:p>
                  <w:pPr>
                    <w:pStyle w:val="Compact"/>
                    <w:jc w:val="left"/>
                    <w:jc w:val="center"/>
                  </w:pPr>
                  <w:r>
                    <w:rPr>
                      <w:b/>
                      <w:bCs/>
                    </w:rPr>
                    <w:t xml:space="preserve">Sex</w:t>
                  </w:r>
                </w:p>
              </w:tc>
              <w:tc>
                <w:tcPr/>
                <w:p>
                  <w:pPr>
                    <w:pStyle w:val="Compact"/>
                  </w:pPr>
                </w:p>
              </w:tc>
              <w:tc>
                <w:tcPr/>
                <w:p>
                  <w:pPr>
                    <w:pStyle w:val="Compact"/>
                  </w:pPr>
                </w:p>
              </w:tc>
              <w:tc>
                <w:tcPr/>
                <w:p>
                  <w:pPr>
                    <w:pStyle w:val="Compact"/>
                  </w:pPr>
                </w:p>
              </w:tc>
            </w:tr>
            <w:tr>
              <w:tc>
                <w:tcPr/>
                <w:p>
                  <w:pPr>
                    <w:pStyle w:val="Compact"/>
                    <w:jc w:val="left"/>
                    <w:jc w:val="center"/>
                  </w:pPr>
                  <w:r>
                    <w:t xml:space="preserve">    – Male</w:t>
                  </w:r>
                </w:p>
              </w:tc>
              <w:tc>
                <w:tcPr/>
                <w:p>
                  <w:pPr>
                    <w:pStyle w:val="Compact"/>
                    <w:jc w:val="right"/>
                    <w:jc w:val="center"/>
                  </w:pPr>
                  <w:r>
                    <w:t xml:space="preserve">99 (62%)</w:t>
                  </w:r>
                </w:p>
              </w:tc>
              <w:tc>
                <w:tcPr/>
                <w:p>
                  <w:pPr>
                    <w:pStyle w:val="Compact"/>
                    <w:jc w:val="right"/>
                    <w:jc w:val="center"/>
                  </w:pPr>
                  <w:r>
                    <w:t xml:space="preserve">55 (60%)</w:t>
                  </w:r>
                </w:p>
              </w:tc>
              <w:tc>
                <w:tcPr/>
                <w:p>
                  <w:pPr>
                    <w:pStyle w:val="Compact"/>
                    <w:jc w:val="right"/>
                    <w:jc w:val="center"/>
                  </w:pPr>
                  <w:r>
                    <w:t xml:space="preserve">44 (66%)</w:t>
                  </w:r>
                </w:p>
              </w:tc>
            </w:tr>
            <w:tr>
              <w:tc>
                <w:tcPr/>
                <w:p>
                  <w:pPr>
                    <w:pStyle w:val="Compact"/>
                    <w:jc w:val="left"/>
                    <w:jc w:val="center"/>
                  </w:pPr>
                  <w:r>
                    <w:t xml:space="preserve">    – Female</w:t>
                  </w:r>
                </w:p>
              </w:tc>
              <w:tc>
                <w:tcPr/>
                <w:p>
                  <w:pPr>
                    <w:pStyle w:val="Compact"/>
                    <w:jc w:val="right"/>
                    <w:jc w:val="center"/>
                  </w:pPr>
                  <w:r>
                    <w:t xml:space="preserve">60 (38%)</w:t>
                  </w:r>
                </w:p>
              </w:tc>
              <w:tc>
                <w:tcPr/>
                <w:p>
                  <w:pPr>
                    <w:pStyle w:val="Compact"/>
                    <w:jc w:val="right"/>
                    <w:jc w:val="center"/>
                  </w:pPr>
                  <w:r>
                    <w:t xml:space="preserve">37 (40%)</w:t>
                  </w:r>
                </w:p>
              </w:tc>
              <w:tc>
                <w:tcPr/>
                <w:p>
                  <w:pPr>
                    <w:pStyle w:val="Compact"/>
                    <w:jc w:val="right"/>
                    <w:jc w:val="center"/>
                  </w:pPr>
                  <w:r>
                    <w:t xml:space="preserve">23 (34%)</w:t>
                  </w:r>
                </w:p>
              </w:tc>
            </w:tr>
            <w:tr>
              <w:tc>
                <w:tcPr/>
                <w:p>
                  <w:pPr>
                    <w:pStyle w:val="Compact"/>
                    <w:jc w:val="left"/>
                    <w:jc w:val="center"/>
                  </w:pPr>
                  <w:r>
                    <w:rPr>
                      <w:b/>
                      <w:bCs/>
                    </w:rPr>
                    <w:t xml:space="preserve">Smoking status</w:t>
                  </w:r>
                </w:p>
              </w:tc>
              <w:tc>
                <w:tcPr/>
                <w:p>
                  <w:pPr>
                    <w:pStyle w:val="Compact"/>
                  </w:pPr>
                </w:p>
              </w:tc>
              <w:tc>
                <w:tcPr/>
                <w:p>
                  <w:pPr>
                    <w:pStyle w:val="Compact"/>
                  </w:pPr>
                </w:p>
              </w:tc>
              <w:tc>
                <w:tcPr/>
                <w:p>
                  <w:pPr>
                    <w:pStyle w:val="Compact"/>
                  </w:pPr>
                </w:p>
              </w:tc>
            </w:tr>
            <w:tr>
              <w:tc>
                <w:tcPr/>
                <w:p>
                  <w:pPr>
                    <w:pStyle w:val="Compact"/>
                    <w:jc w:val="left"/>
                    <w:jc w:val="center"/>
                  </w:pPr>
                  <w:r>
                    <w:t xml:space="preserve">    – Never or former</w:t>
                  </w:r>
                </w:p>
              </w:tc>
              <w:tc>
                <w:tcPr/>
                <w:p>
                  <w:pPr>
                    <w:pStyle w:val="Compact"/>
                    <w:jc w:val="right"/>
                    <w:jc w:val="center"/>
                  </w:pPr>
                  <w:r>
                    <w:t xml:space="preserve">135 (85%)</w:t>
                  </w:r>
                </w:p>
              </w:tc>
              <w:tc>
                <w:tcPr/>
                <w:p>
                  <w:pPr>
                    <w:pStyle w:val="Compact"/>
                    <w:jc w:val="right"/>
                    <w:jc w:val="center"/>
                  </w:pPr>
                  <w:r>
                    <w:t xml:space="preserve">77 (84%)</w:t>
                  </w:r>
                </w:p>
              </w:tc>
              <w:tc>
                <w:tcPr/>
                <w:p>
                  <w:pPr>
                    <w:pStyle w:val="Compact"/>
                    <w:jc w:val="right"/>
                    <w:jc w:val="center"/>
                  </w:pPr>
                  <w:r>
                    <w:t xml:space="preserve">58 (87%)</w:t>
                  </w:r>
                </w:p>
              </w:tc>
            </w:tr>
            <w:tr>
              <w:tc>
                <w:tcPr/>
                <w:p>
                  <w:pPr>
                    <w:pStyle w:val="Compact"/>
                    <w:jc w:val="left"/>
                    <w:jc w:val="center"/>
                  </w:pPr>
                  <w:r>
                    <w:t xml:space="preserve">    – Current</w:t>
                  </w:r>
                </w:p>
              </w:tc>
              <w:tc>
                <w:tcPr/>
                <w:p>
                  <w:pPr>
                    <w:pStyle w:val="Compact"/>
                    <w:jc w:val="right"/>
                    <w:jc w:val="center"/>
                  </w:pPr>
                  <w:r>
                    <w:t xml:space="preserve">24 (15%)</w:t>
                  </w:r>
                </w:p>
              </w:tc>
              <w:tc>
                <w:tcPr/>
                <w:p>
                  <w:pPr>
                    <w:pStyle w:val="Compact"/>
                    <w:jc w:val="right"/>
                    <w:jc w:val="center"/>
                  </w:pPr>
                  <w:r>
                    <w:t xml:space="preserve">15 (16%)</w:t>
                  </w:r>
                </w:p>
              </w:tc>
              <w:tc>
                <w:tcPr/>
                <w:p>
                  <w:pPr>
                    <w:pStyle w:val="Compact"/>
                    <w:jc w:val="right"/>
                    <w:jc w:val="center"/>
                  </w:pPr>
                  <w:r>
                    <w:t xml:space="preserve">9 (13%)</w:t>
                  </w:r>
                </w:p>
              </w:tc>
            </w:tr>
            <w:tr>
              <w:tc>
                <w:tcPr/>
                <w:p>
                  <w:pPr>
                    <w:pStyle w:val="Compact"/>
                    <w:jc w:val="left"/>
                    <w:jc w:val="center"/>
                  </w:pPr>
                  <w:r>
                    <w:t xml:space="preserve">Diabetes duration (years)</w:t>
                  </w:r>
                </w:p>
              </w:tc>
              <w:tc>
                <w:tcPr/>
                <w:p>
                  <w:pPr>
                    <w:pStyle w:val="Compact"/>
                    <w:jc w:val="right"/>
                    <w:jc w:val="center"/>
                  </w:pPr>
                  <w:r>
                    <w:t xml:space="preserve">16 [11, 24]</w:t>
                  </w:r>
                </w:p>
              </w:tc>
              <w:tc>
                <w:tcPr/>
                <w:p>
                  <w:pPr>
                    <w:pStyle w:val="Compact"/>
                    <w:jc w:val="right"/>
                    <w:jc w:val="center"/>
                  </w:pPr>
                  <w:r>
                    <w:t xml:space="preserve">14 [9, 22]</w:t>
                  </w:r>
                </w:p>
              </w:tc>
              <w:tc>
                <w:tcPr/>
                <w:p>
                  <w:pPr>
                    <w:pStyle w:val="Compact"/>
                    <w:jc w:val="right"/>
                    <w:jc w:val="center"/>
                  </w:pPr>
                  <w:r>
                    <w:t xml:space="preserve">19 [14, 25]</w:t>
                  </w:r>
                </w:p>
              </w:tc>
            </w:tr>
            <w:tr>
              <w:tc>
                <w:tcPr/>
                <w:p>
                  <w:pPr>
                    <w:pStyle w:val="Compact"/>
                    <w:jc w:val="left"/>
                    <w:jc w:val="center"/>
                  </w:pPr>
                  <w:r>
                    <w:t xml:space="preserve">SCORE2-Diabetes (%)</w:t>
                  </w:r>
                </w:p>
              </w:tc>
              <w:tc>
                <w:tcPr/>
                <w:p>
                  <w:pPr>
                    <w:pStyle w:val="Compact"/>
                    <w:jc w:val="right"/>
                    <w:jc w:val="center"/>
                  </w:pPr>
                  <w:r>
                    <w:t xml:space="preserve">14.8 [9.1, 20.9]</w:t>
                  </w:r>
                </w:p>
              </w:tc>
              <w:tc>
                <w:tcPr/>
                <w:p>
                  <w:pPr>
                    <w:pStyle w:val="Compact"/>
                    <w:jc w:val="right"/>
                    <w:jc w:val="center"/>
                  </w:pPr>
                  <w:r>
                    <w:t xml:space="preserve">11.9 [7.8, 17.2]</w:t>
                  </w:r>
                </w:p>
              </w:tc>
              <w:tc>
                <w:tcPr/>
                <w:p>
                  <w:pPr>
                    <w:pStyle w:val="Compact"/>
                    <w:jc w:val="right"/>
                    <w:jc w:val="center"/>
                  </w:pPr>
                  <w:r>
                    <w:t xml:space="preserve">19.0 [13.4, 25.4]</w:t>
                  </w:r>
                </w:p>
              </w:tc>
            </w:tr>
            <w:tr>
              <w:tc>
                <w:tcPr/>
                <w:p>
                  <w:pPr>
                    <w:pStyle w:val="Compact"/>
                    <w:jc w:val="left"/>
                    <w:jc w:val="center"/>
                  </w:pPr>
                  <w:r>
                    <w:t xml:space="preserve">HbA1c (mmol/mol)</w:t>
                  </w:r>
                </w:p>
              </w:tc>
              <w:tc>
                <w:tcPr/>
                <w:p>
                  <w:pPr>
                    <w:pStyle w:val="Compact"/>
                    <w:jc w:val="right"/>
                    <w:jc w:val="center"/>
                  </w:pPr>
                  <w:r>
                    <w:t xml:space="preserve">64 [55, 80]</w:t>
                  </w:r>
                </w:p>
              </w:tc>
              <w:tc>
                <w:tcPr/>
                <w:p>
                  <w:pPr>
                    <w:pStyle w:val="Compact"/>
                    <w:jc w:val="right"/>
                    <w:jc w:val="center"/>
                  </w:pPr>
                  <w:r>
                    <w:t xml:space="preserve">66 [56, 86]</w:t>
                  </w:r>
                </w:p>
              </w:tc>
              <w:tc>
                <w:tcPr/>
                <w:p>
                  <w:pPr>
                    <w:pStyle w:val="Compact"/>
                    <w:jc w:val="right"/>
                    <w:jc w:val="center"/>
                  </w:pPr>
                  <w:r>
                    <w:t xml:space="preserve">60 [54, 72]</w:t>
                  </w:r>
                </w:p>
              </w:tc>
            </w:tr>
            <w:tr>
              <w:tc>
                <w:tcPr/>
                <w:p>
                  <w:pPr>
                    <w:pStyle w:val="Compact"/>
                    <w:jc w:val="left"/>
                    <w:jc w:val="center"/>
                  </w:pPr>
                  <w:r>
                    <w:t xml:space="preserve">Systolic blood pressure (mmHg)</w:t>
                  </w:r>
                </w:p>
              </w:tc>
              <w:tc>
                <w:tcPr/>
                <w:p>
                  <w:pPr>
                    <w:pStyle w:val="Compact"/>
                    <w:jc w:val="right"/>
                    <w:jc w:val="center"/>
                  </w:pPr>
                  <w:r>
                    <w:t xml:space="preserve">132 [123, 143]</w:t>
                  </w:r>
                </w:p>
              </w:tc>
              <w:tc>
                <w:tcPr/>
                <w:p>
                  <w:pPr>
                    <w:pStyle w:val="Compact"/>
                    <w:jc w:val="right"/>
                    <w:jc w:val="center"/>
                  </w:pPr>
                  <w:r>
                    <w:t xml:space="preserve">132 [123, 143]</w:t>
                  </w:r>
                </w:p>
              </w:tc>
              <w:tc>
                <w:tcPr/>
                <w:p>
                  <w:pPr>
                    <w:pStyle w:val="Compact"/>
                    <w:jc w:val="right"/>
                    <w:jc w:val="center"/>
                  </w:pPr>
                  <w:r>
                    <w:t xml:space="preserve">131 [122, 142]</w:t>
                  </w:r>
                </w:p>
              </w:tc>
            </w:tr>
            <w:tr>
              <w:tc>
                <w:tcPr/>
                <w:p>
                  <w:pPr>
                    <w:pStyle w:val="Compact"/>
                    <w:jc w:val="left"/>
                    <w:jc w:val="center"/>
                  </w:pPr>
                  <w:r>
                    <w:t xml:space="preserve">HDL (mmol/L)</w:t>
                  </w:r>
                </w:p>
              </w:tc>
              <w:tc>
                <w:tcPr/>
                <w:p>
                  <w:pPr>
                    <w:pStyle w:val="Compact"/>
                    <w:jc w:val="right"/>
                    <w:jc w:val="center"/>
                  </w:pPr>
                  <w:r>
                    <w:t xml:space="preserve">1.0 [0.9, 1.2]</w:t>
                  </w:r>
                </w:p>
              </w:tc>
              <w:tc>
                <w:tcPr/>
                <w:p>
                  <w:pPr>
                    <w:pStyle w:val="Compact"/>
                    <w:jc w:val="right"/>
                    <w:jc w:val="center"/>
                  </w:pPr>
                  <w:r>
                    <w:t xml:space="preserve">1.0 [0.9, 1.2]</w:t>
                  </w:r>
                </w:p>
              </w:tc>
              <w:tc>
                <w:tcPr/>
                <w:p>
                  <w:pPr>
                    <w:pStyle w:val="Compact"/>
                    <w:jc w:val="right"/>
                    <w:jc w:val="center"/>
                  </w:pPr>
                  <w:r>
                    <w:t xml:space="preserve">1.0 [0.9, 1.3]</w:t>
                  </w:r>
                </w:p>
              </w:tc>
            </w:tr>
            <w:tr>
              <w:tc>
                <w:tcPr/>
                <w:p>
                  <w:pPr>
                    <w:pStyle w:val="Compact"/>
                    <w:jc w:val="left"/>
                    <w:jc w:val="center"/>
                  </w:pPr>
                  <w:r>
                    <w:t xml:space="preserve">Total cholesterol (mmol/L)</w:t>
                  </w:r>
                </w:p>
              </w:tc>
              <w:tc>
                <w:tcPr/>
                <w:p>
                  <w:pPr>
                    <w:pStyle w:val="Compact"/>
                    <w:jc w:val="right"/>
                    <w:jc w:val="center"/>
                  </w:pPr>
                  <w:r>
                    <w:t xml:space="preserve">3.9 [3.2, 4.8]</w:t>
                  </w:r>
                </w:p>
              </w:tc>
              <w:tc>
                <w:tcPr/>
                <w:p>
                  <w:pPr>
                    <w:pStyle w:val="Compact"/>
                    <w:jc w:val="right"/>
                    <w:jc w:val="center"/>
                  </w:pPr>
                  <w:r>
                    <w:t xml:space="preserve">4.1 [3.5, 4.9]</w:t>
                  </w:r>
                </w:p>
              </w:tc>
              <w:tc>
                <w:tcPr/>
                <w:p>
                  <w:pPr>
                    <w:pStyle w:val="Compact"/>
                    <w:jc w:val="right"/>
                    <w:jc w:val="center"/>
                  </w:pPr>
                  <w:r>
                    <w:t xml:space="preserve">3.6 [3.0, 4.2]</w:t>
                  </w:r>
                </w:p>
              </w:tc>
            </w:tr>
            <w:tr>
              <w:tc>
                <w:tcPr/>
                <w:p>
                  <w:pPr>
                    <w:pStyle w:val="Compact"/>
                    <w:jc w:val="left"/>
                    <w:jc w:val="center"/>
                  </w:pPr>
                  <w:r>
                    <w:t xml:space="preserve">eGFR (mL/min/1.73 m²)</w:t>
                  </w:r>
                </w:p>
              </w:tc>
              <w:tc>
                <w:tcPr/>
                <w:p>
                  <w:pPr>
                    <w:pStyle w:val="Compact"/>
                    <w:jc w:val="right"/>
                    <w:jc w:val="center"/>
                  </w:pPr>
                  <w:r>
                    <w:t xml:space="preserve">57 [39, 74]</w:t>
                  </w:r>
                </w:p>
              </w:tc>
              <w:tc>
                <w:tcPr/>
                <w:p>
                  <w:pPr>
                    <w:pStyle w:val="Compact"/>
                    <w:jc w:val="right"/>
                    <w:jc w:val="center"/>
                  </w:pPr>
                  <w:r>
                    <w:t xml:space="preserve">68 [52, 82]</w:t>
                  </w:r>
                </w:p>
              </w:tc>
              <w:tc>
                <w:tcPr/>
                <w:p>
                  <w:pPr>
                    <w:pStyle w:val="Compact"/>
                    <w:jc w:val="right"/>
                    <w:jc w:val="center"/>
                  </w:pPr>
                  <w:r>
                    <w:t xml:space="preserve">48 [27, 63]</w:t>
                  </w:r>
                </w:p>
              </w:tc>
            </w:tr>
            <w:tr>
              <w:tc>
                <w:tcPr/>
                <w:p>
                  <w:pPr>
                    <w:pStyle w:val="Compact"/>
                    <w:jc w:val="left"/>
                    <w:jc w:val="center"/>
                  </w:pPr>
                  <w:r>
                    <w:rPr>
                      <w:b/>
                      <w:bCs/>
                    </w:rPr>
                    <w:t xml:space="preserve">CGM-derived metrics</w:t>
                  </w:r>
                </w:p>
              </w:tc>
              <w:tc>
                <w:tcPr/>
                <w:p>
                  <w:pPr>
                    <w:pStyle w:val="Compact"/>
                  </w:pPr>
                </w:p>
              </w:tc>
              <w:tc>
                <w:tcPr/>
                <w:p>
                  <w:pPr>
                    <w:pStyle w:val="Compact"/>
                  </w:pPr>
                </w:p>
              </w:tc>
              <w:tc>
                <w:tcPr/>
                <w:p>
                  <w:pPr>
                    <w:pStyle w:val="Compact"/>
                  </w:pPr>
                </w:p>
              </w:tc>
            </w:tr>
            <w:tr>
              <w:tc>
                <w:tcPr/>
                <w:p>
                  <w:pPr>
                    <w:pStyle w:val="Compact"/>
                    <w:jc w:val="left"/>
                    <w:jc w:val="center"/>
                  </w:pPr>
                  <w:r>
                    <w:t xml:space="preserve">    – CGM days (n/participant)</w:t>
                  </w:r>
                </w:p>
              </w:tc>
              <w:tc>
                <w:tcPr/>
                <w:p>
                  <w:pPr>
                    <w:pStyle w:val="Compact"/>
                    <w:jc w:val="right"/>
                    <w:jc w:val="center"/>
                  </w:pPr>
                  <w:r>
                    <w:t xml:space="preserve">13 [10, 13]</w:t>
                  </w:r>
                </w:p>
              </w:tc>
              <w:tc>
                <w:tcPr/>
                <w:p>
                  <w:pPr>
                    <w:pStyle w:val="Compact"/>
                    <w:jc w:val="right"/>
                    <w:jc w:val="center"/>
                  </w:pPr>
                  <w:r>
                    <w:t xml:space="preserve">13 [9, 13]</w:t>
                  </w:r>
                </w:p>
              </w:tc>
              <w:tc>
                <w:tcPr/>
                <w:p>
                  <w:pPr>
                    <w:pStyle w:val="Compact"/>
                    <w:jc w:val="right"/>
                    <w:jc w:val="center"/>
                  </w:pPr>
                  <w:r>
                    <w:t xml:space="preserve">13 [10, 13]</w:t>
                  </w:r>
                </w:p>
              </w:tc>
            </w:tr>
            <w:tr>
              <w:tc>
                <w:tcPr/>
                <w:p>
                  <w:pPr>
                    <w:pStyle w:val="Compact"/>
                    <w:jc w:val="left"/>
                    <w:jc w:val="center"/>
                  </w:pPr>
                  <w:r>
                    <w:t xml:space="preserve">    – Glucose management</w:t>
                  </w:r>
                </w:p>
              </w:tc>
              <w:tc>
                <w:tcPr/>
                <w:p>
                  <w:pPr>
                    <w:pStyle w:val="Compact"/>
                    <w:jc w:val="right"/>
                    <w:jc w:val="center"/>
                  </w:pPr>
                  <w:r>
                    <w:t xml:space="preserve">7.3 [6.8, 8.4]</w:t>
                  </w:r>
                </w:p>
              </w:tc>
              <w:tc>
                <w:tcPr/>
                <w:p>
                  <w:pPr>
                    <w:pStyle w:val="Compact"/>
                    <w:jc w:val="right"/>
                    <w:jc w:val="center"/>
                  </w:pPr>
                  <w:r>
                    <w:t xml:space="preserve">7.5 [6.8, 8.6]</w:t>
                  </w:r>
                </w:p>
              </w:tc>
              <w:tc>
                <w:tcPr/>
                <w:p>
                  <w:pPr>
                    <w:pStyle w:val="Compact"/>
                    <w:jc w:val="right"/>
                    <w:jc w:val="center"/>
                  </w:pPr>
                  <w:r>
                    <w:t xml:space="preserve">7.2 [6.7, 8.0]</w:t>
                  </w:r>
                </w:p>
              </w:tc>
            </w:tr>
            <w:tr>
              <w:tc>
                <w:tcPr/>
                <w:p>
                  <w:pPr>
                    <w:pStyle w:val="Compact"/>
                    <w:jc w:val="left"/>
                    <w:jc w:val="center"/>
                  </w:pPr>
                  <w:r>
                    <w:t xml:space="preserve">       indicator (%)</w:t>
                  </w:r>
                </w:p>
              </w:tc>
              <w:tc>
                <w:tcPr/>
                <w:p>
                  <w:pPr>
                    <w:pStyle w:val="Compact"/>
                  </w:pPr>
                </w:p>
              </w:tc>
              <w:tc>
                <w:tcPr/>
                <w:p>
                  <w:pPr>
                    <w:pStyle w:val="Compact"/>
                  </w:pPr>
                </w:p>
              </w:tc>
              <w:tc>
                <w:tcPr/>
                <w:p>
                  <w:pPr>
                    <w:pStyle w:val="Compact"/>
                  </w:pPr>
                </w:p>
              </w:tc>
            </w:tr>
            <w:tr>
              <w:tc>
                <w:tcPr/>
                <w:p>
                  <w:pPr>
                    <w:pStyle w:val="Compact"/>
                    <w:jc w:val="left"/>
                    <w:jc w:val="center"/>
                  </w:pPr>
                  <w:r>
                    <w:t xml:space="preserve">    – Time in range (%)</w:t>
                  </w:r>
                </w:p>
              </w:tc>
              <w:tc>
                <w:tcPr/>
                <w:p>
                  <w:pPr>
                    <w:pStyle w:val="Compact"/>
                    <w:jc w:val="right"/>
                    <w:jc w:val="center"/>
                  </w:pPr>
                  <w:r>
                    <w:t xml:space="preserve">59.6 [31.9, 78.9]</w:t>
                  </w:r>
                </w:p>
              </w:tc>
              <w:tc>
                <w:tcPr/>
                <w:p>
                  <w:pPr>
                    <w:pStyle w:val="Compact"/>
                    <w:jc w:val="right"/>
                    <w:jc w:val="center"/>
                  </w:pPr>
                  <w:r>
                    <w:t xml:space="preserve">58.2 [20.2, 78.6]</w:t>
                  </w:r>
                </w:p>
              </w:tc>
              <w:tc>
                <w:tcPr/>
                <w:p>
                  <w:pPr>
                    <w:pStyle w:val="Compact"/>
                    <w:jc w:val="right"/>
                    <w:jc w:val="center"/>
                  </w:pPr>
                  <w:r>
                    <w:t xml:space="preserve">62.1 [40.8, 81.0]</w:t>
                  </w:r>
                </w:p>
              </w:tc>
            </w:tr>
            <w:tr>
              <w:tc>
                <w:tcPr/>
                <w:p>
                  <w:pPr>
                    <w:pStyle w:val="Compact"/>
                    <w:jc w:val="left"/>
                    <w:jc w:val="center"/>
                  </w:pPr>
                  <w:r>
                    <w:t xml:space="preserve">    – Time below range (%)</w:t>
                  </w:r>
                </w:p>
              </w:tc>
              <w:tc>
                <w:tcPr/>
                <w:p>
                  <w:pPr>
                    <w:pStyle w:val="Compact"/>
                    <w:jc w:val="right"/>
                    <w:jc w:val="center"/>
                  </w:pPr>
                  <w:r>
                    <w:t xml:space="preserve">0.0 [0.0, 1.5]</w:t>
                  </w:r>
                </w:p>
              </w:tc>
              <w:tc>
                <w:tcPr/>
                <w:p>
                  <w:pPr>
                    <w:pStyle w:val="Compact"/>
                    <w:jc w:val="right"/>
                    <w:jc w:val="center"/>
                  </w:pPr>
                  <w:r>
                    <w:t xml:space="preserve">0.0 [0.0, 0.8]</w:t>
                  </w:r>
                </w:p>
              </w:tc>
              <w:tc>
                <w:tcPr/>
                <w:p>
                  <w:pPr>
                    <w:pStyle w:val="Compact"/>
                    <w:jc w:val="right"/>
                    <w:jc w:val="center"/>
                  </w:pPr>
                  <w:r>
                    <w:t xml:space="preserve">0.2 [0.0, 2.0]</w:t>
                  </w:r>
                </w:p>
              </w:tc>
            </w:tr>
            <w:tr>
              <w:tc>
                <w:tcPr/>
                <w:p>
                  <w:pPr>
                    <w:pStyle w:val="Compact"/>
                    <w:jc w:val="left"/>
                    <w:jc w:val="center"/>
                  </w:pPr>
                  <w:r>
                    <w:t xml:space="preserve">    – Time above range (%)</w:t>
                  </w:r>
                </w:p>
              </w:tc>
              <w:tc>
                <w:tcPr/>
                <w:p>
                  <w:pPr>
                    <w:pStyle w:val="Compact"/>
                    <w:jc w:val="right"/>
                    <w:jc w:val="center"/>
                  </w:pPr>
                  <w:r>
                    <w:t xml:space="preserve">36.6 [17.6, 68.1]</w:t>
                  </w:r>
                </w:p>
              </w:tc>
              <w:tc>
                <w:tcPr/>
                <w:p>
                  <w:pPr>
                    <w:pStyle w:val="Compact"/>
                    <w:jc w:val="right"/>
                    <w:jc w:val="center"/>
                  </w:pPr>
                  <w:r>
                    <w:t xml:space="preserve">41.8 [19.8, 79.5]</w:t>
                  </w:r>
                </w:p>
              </w:tc>
              <w:tc>
                <w:tcPr/>
                <w:p>
                  <w:pPr>
                    <w:pStyle w:val="Compact"/>
                    <w:jc w:val="right"/>
                    <w:jc w:val="center"/>
                  </w:pPr>
                  <w:r>
                    <w:t xml:space="preserve">33.1 [14.1, 58.2]</w:t>
                  </w:r>
                </w:p>
              </w:tc>
            </w:tr>
            <w:tr>
              <w:tc>
                <w:tcPr/>
                <w:p>
                  <w:pPr>
                    <w:pStyle w:val="Compact"/>
                    <w:jc w:val="left"/>
                    <w:jc w:val="center"/>
                  </w:pPr>
                  <w:r>
                    <w:t xml:space="preserve">    – Coefficient of variation (%)</w:t>
                  </w:r>
                </w:p>
              </w:tc>
              <w:tc>
                <w:tcPr/>
                <w:p>
                  <w:pPr>
                    <w:pStyle w:val="Compact"/>
                    <w:jc w:val="right"/>
                    <w:jc w:val="center"/>
                  </w:pPr>
                  <w:r>
                    <w:t xml:space="preserve">27.3 [22.5, 31.9]</w:t>
                  </w:r>
                </w:p>
              </w:tc>
              <w:tc>
                <w:tcPr/>
                <w:p>
                  <w:pPr>
                    <w:pStyle w:val="Compact"/>
                    <w:jc w:val="right"/>
                    <w:jc w:val="center"/>
                  </w:pPr>
                  <w:r>
                    <w:t xml:space="preserve">25.3 [21.2, 30.3]</w:t>
                  </w:r>
                </w:p>
              </w:tc>
              <w:tc>
                <w:tcPr/>
                <w:p>
                  <w:pPr>
                    <w:pStyle w:val="Compact"/>
                    <w:jc w:val="right"/>
                    <w:jc w:val="center"/>
                  </w:pPr>
                  <w:r>
                    <w:t xml:space="preserve">28.3[24.8, 34.2]</w:t>
                  </w:r>
                </w:p>
              </w:tc>
            </w:tr>
            <w:tr>
              <w:tc>
                <w:tcPr/>
                <w:p>
                  <w:pPr>
                    <w:pStyle w:val="Compact"/>
                    <w:jc w:val="left"/>
                    <w:jc w:val="center"/>
                  </w:pPr>
                  <w:r>
                    <w:t xml:space="preserve">    – Mean amplitude of</w:t>
                  </w:r>
                </w:p>
              </w:tc>
              <w:tc>
                <w:tcPr/>
                <w:p>
                  <w:pPr>
                    <w:pStyle w:val="Compact"/>
                    <w:jc w:val="right"/>
                    <w:jc w:val="center"/>
                  </w:pPr>
                  <w:r>
                    <w:t xml:space="preserve">6.3 [5.0, 7.9]</w:t>
                  </w:r>
                </w:p>
              </w:tc>
              <w:tc>
                <w:tcPr/>
                <w:p>
                  <w:pPr>
                    <w:pStyle w:val="Compact"/>
                    <w:jc w:val="right"/>
                    <w:jc w:val="center"/>
                  </w:pPr>
                  <w:r>
                    <w:t xml:space="preserve">6.0 [4.9, 7.7]</w:t>
                  </w:r>
                </w:p>
              </w:tc>
              <w:tc>
                <w:tcPr/>
                <w:p>
                  <w:pPr>
                    <w:pStyle w:val="Compact"/>
                    <w:jc w:val="right"/>
                    <w:jc w:val="center"/>
                  </w:pPr>
                  <w:r>
                    <w:t xml:space="preserve">6.7 [5.1, 8.5]</w:t>
                  </w:r>
                </w:p>
              </w:tc>
            </w:tr>
            <w:tr>
              <w:tc>
                <w:tcPr/>
                <w:p>
                  <w:pPr>
                    <w:pStyle w:val="Compact"/>
                    <w:jc w:val="left"/>
                    <w:jc w:val="center"/>
                  </w:pPr>
                  <w:r>
                    <w:t xml:space="preserve">      glycemic excursions (mmol/L)</w:t>
                  </w:r>
                </w:p>
              </w:tc>
              <w:tc>
                <w:tcPr/>
                <w:p>
                  <w:pPr>
                    <w:pStyle w:val="Compact"/>
                  </w:pPr>
                </w:p>
              </w:tc>
              <w:tc>
                <w:tcPr/>
                <w:p>
                  <w:pPr>
                    <w:pStyle w:val="Compact"/>
                  </w:pPr>
                </w:p>
              </w:tc>
              <w:tc>
                <w:tcPr/>
                <w:p>
                  <w:pPr>
                    <w:pStyle w:val="Compact"/>
                  </w:pPr>
                </w:p>
              </w:tc>
            </w:tr>
          </w:tbl>
          <w:bookmarkEnd w:id="190"/>
          <w:p/>
        </w:tc>
      </w:tr>
    </w:tbl>
    <w:p>
      <w:pPr>
        <w:pStyle w:val="BodyText"/>
      </w:pPr>
      <w:r>
        <w:t xml:space="preserve">The T1DX dataset presented below was used in Study II and Study III (</w:t>
      </w:r>
      <w:hyperlink w:anchor="tbl-baseline-t1dx">
        <w:r>
          <w:rPr>
            <w:rStyle w:val="Hyperlink"/>
          </w:rPr>
          <w:t xml:space="preserve">Table 4.6</w:t>
        </w:r>
      </w:hyperlink>
      <w:r>
        <w:t xml:space="preserve">).</w:t>
      </w:r>
      <w:r>
        <w:t xml:space="preserve"> </w:t>
      </w:r>
      <w:r>
        <w:t xml:space="preserve">A total of 205 participants were included, of whom 101 (49%) were White. Compared with Black participants, White participants tended to have lower HbA1c levels (63 mmol/mol vs. 72 mmol/mol ) and a higher proportion of children (49% vs. 32%). Females constituted the majority of both racial groups (54% and 60%).</w:t>
      </w:r>
    </w:p>
    <w:tbl>
      <w:tblPr>
        <w:tblStyle w:val="Table"/>
        <w:tblW w:type="pct" w:w="5000"/>
        <w:tblLayout w:type="fixed"/>
        <w:tblLook w:firstRow="0" w:lastRow="0" w:firstColumn="0" w:lastColumn="0" w:noHBand="0" w:noVBand="0" w:val="0000"/>
      </w:tblPr>
      <w:tblGrid>
        <w:gridCol w:w="7920"/>
      </w:tblGrid>
      <w:tr>
        <w:tc>
          <w:tcPr/>
          <w:bookmarkStart w:id="191" w:name="tbl-baseline-t1dx"/>
          <w:p>
            <w:pPr>
              <w:jc w:val="center"/>
            </w:pPr>
            <w:pPr>
              <w:jc w:val="left"/>
              <w:spacing w:before="200"/>
              <w:pStyle w:val="ImageCaption"/>
            </w:pPr>
            <w:r>
              <w:t xml:space="preserve">Table 4.6: Baseline table for T1DX data.</w:t>
            </w:r>
          </w:p>
          <w:tbl>
            <w:tblPr>
              <w:tblStyle w:val="Table"/>
              <w:tblW w:type="pct" w:w="5000"/>
              <w:tblLayout w:type="fixed"/>
              <w:tblLook w:firstRow="1" w:lastRow="0" w:firstColumn="0" w:lastColumn="0" w:noHBand="0" w:noVBand="0" w:val="0020"/>
            </w:tblPr>
            <w:tblGrid>
              <w:gridCol w:w="3168"/>
              <w:gridCol w:w="1584"/>
              <w:gridCol w:w="1584"/>
              <w:gridCol w:w="1584"/>
            </w:tblGrid>
            <w:tr>
              <w:trPr>
                <w:tblHeader w:val="on"/>
              </w:trPr>
              <w:tc>
                <w:tcPr/>
                <w:p>
                  <w:pPr>
                    <w:pStyle w:val="Compact"/>
                    <w:jc w:val="left"/>
                    <w:jc w:val="center"/>
                  </w:pPr>
                  <w:r>
                    <w:t xml:space="preserve">Characteristics</w:t>
                  </w:r>
                </w:p>
              </w:tc>
              <w:tc>
                <w:tcPr/>
                <w:p>
                  <w:pPr>
                    <w:pStyle w:val="Compact"/>
                    <w:jc w:val="right"/>
                    <w:jc w:val="center"/>
                  </w:pPr>
                  <w:r>
                    <w:t xml:space="preserve">Total</w:t>
                  </w:r>
                </w:p>
              </w:tc>
              <w:tc>
                <w:tcPr/>
                <w:p>
                  <w:pPr>
                    <w:pStyle w:val="Compact"/>
                    <w:jc w:val="right"/>
                    <w:jc w:val="center"/>
                  </w:pPr>
                  <w:r>
                    <w:t xml:space="preserve">Race: White</w:t>
                  </w:r>
                </w:p>
              </w:tc>
              <w:tc>
                <w:tcPr/>
                <w:p>
                  <w:pPr>
                    <w:pStyle w:val="Compact"/>
                    <w:jc w:val="right"/>
                    <w:jc w:val="center"/>
                  </w:pPr>
                  <w:r>
                    <w:t xml:space="preserve">Race: Black</w:t>
                  </w:r>
                </w:p>
              </w:tc>
            </w:tr>
            <w:tr>
              <w:tc>
                <w:tcPr/>
                <w:p>
                  <w:pPr>
                    <w:pStyle w:val="Compact"/>
                    <w:jc w:val="left"/>
                    <w:jc w:val="center"/>
                  </w:pPr>
                  <w:r>
                    <w:t xml:space="preserve">N</w:t>
                  </w:r>
                </w:p>
              </w:tc>
              <w:tc>
                <w:tcPr/>
                <w:p>
                  <w:pPr>
                    <w:pStyle w:val="Compact"/>
                    <w:jc w:val="right"/>
                    <w:jc w:val="center"/>
                  </w:pPr>
                  <w:r>
                    <w:t xml:space="preserve">205</w:t>
                  </w:r>
                </w:p>
              </w:tc>
              <w:tc>
                <w:tcPr/>
                <w:p>
                  <w:pPr>
                    <w:pStyle w:val="Compact"/>
                    <w:jc w:val="right"/>
                    <w:jc w:val="center"/>
                  </w:pPr>
                  <w:r>
                    <w:t xml:space="preserve">101</w:t>
                  </w:r>
                </w:p>
              </w:tc>
              <w:tc>
                <w:tcPr/>
                <w:p>
                  <w:pPr>
                    <w:pStyle w:val="Compact"/>
                    <w:jc w:val="right"/>
                    <w:jc w:val="center"/>
                  </w:pPr>
                  <w:r>
                    <w:t xml:space="preserve">104</w:t>
                  </w:r>
                </w:p>
              </w:tc>
            </w:tr>
            <w:tr>
              <w:tc>
                <w:tcPr/>
                <w:p>
                  <w:pPr>
                    <w:pStyle w:val="Compact"/>
                    <w:jc w:val="left"/>
                    <w:jc w:val="center"/>
                  </w:pPr>
                  <w:r>
                    <w:t xml:space="preserve">Race (White)</w:t>
                  </w:r>
                </w:p>
              </w:tc>
              <w:tc>
                <w:tcPr/>
                <w:p>
                  <w:pPr>
                    <w:pStyle w:val="Compact"/>
                    <w:jc w:val="right"/>
                    <w:jc w:val="center"/>
                  </w:pPr>
                  <w:r>
                    <w:t xml:space="preserve">101 (49%)</w:t>
                  </w:r>
                </w:p>
              </w:tc>
              <w:tc>
                <w:tcPr/>
                <w:p>
                  <w:pPr>
                    <w:pStyle w:val="Compact"/>
                    <w:jc w:val="right"/>
                    <w:jc w:val="center"/>
                  </w:pPr>
                  <w:r>
                    <w:t xml:space="preserve">101 (100%)</w:t>
                  </w:r>
                </w:p>
              </w:tc>
              <w:tc>
                <w:tcPr/>
                <w:p>
                  <w:pPr>
                    <w:pStyle w:val="Compact"/>
                    <w:jc w:val="right"/>
                    <w:jc w:val="center"/>
                  </w:pPr>
                  <w:r>
                    <w:t xml:space="preserve">0 (0%)</w:t>
                  </w:r>
                </w:p>
              </w:tc>
            </w:tr>
            <w:tr>
              <w:tc>
                <w:tcPr/>
                <w:p>
                  <w:pPr>
                    <w:pStyle w:val="Compact"/>
                    <w:jc w:val="left"/>
                    <w:jc w:val="center"/>
                  </w:pPr>
                  <w:r>
                    <w:t xml:space="preserve">Sex (male)</w:t>
                  </w:r>
                </w:p>
              </w:tc>
              <w:tc>
                <w:tcPr/>
                <w:p>
                  <w:pPr>
                    <w:pStyle w:val="Compact"/>
                    <w:jc w:val="right"/>
                    <w:jc w:val="center"/>
                  </w:pPr>
                  <w:r>
                    <w:t xml:space="preserve">88 (43%)</w:t>
                  </w:r>
                </w:p>
              </w:tc>
              <w:tc>
                <w:tcPr/>
                <w:p>
                  <w:pPr>
                    <w:pStyle w:val="Compact"/>
                    <w:jc w:val="right"/>
                    <w:jc w:val="center"/>
                  </w:pPr>
                  <w:r>
                    <w:t xml:space="preserve">46 (46%)</w:t>
                  </w:r>
                </w:p>
              </w:tc>
              <w:tc>
                <w:tcPr/>
                <w:p>
                  <w:pPr>
                    <w:pStyle w:val="Compact"/>
                    <w:jc w:val="right"/>
                    <w:jc w:val="center"/>
                  </w:pPr>
                  <w:r>
                    <w:t xml:space="preserve">42 (40%)</w:t>
                  </w:r>
                </w:p>
              </w:tc>
            </w:tr>
            <w:tr>
              <w:tc>
                <w:tcPr/>
                <w:p>
                  <w:pPr>
                    <w:pStyle w:val="Compact"/>
                    <w:jc w:val="left"/>
                    <w:jc w:val="center"/>
                  </w:pPr>
                  <w:r>
                    <w:t xml:space="preserve">Age (years)</w:t>
                  </w:r>
                </w:p>
              </w:tc>
              <w:tc>
                <w:tcPr/>
                <w:p>
                  <w:pPr>
                    <w:pStyle w:val="Compact"/>
                    <w:jc w:val="right"/>
                    <w:jc w:val="center"/>
                  </w:pPr>
                  <w:r>
                    <w:t xml:space="preserve">28 [15, 47]</w:t>
                  </w:r>
                </w:p>
              </w:tc>
              <w:tc>
                <w:tcPr/>
                <w:p>
                  <w:pPr>
                    <w:pStyle w:val="Compact"/>
                    <w:jc w:val="right"/>
                    <w:jc w:val="center"/>
                  </w:pPr>
                  <w:r>
                    <w:t xml:space="preserve">22 [13, 46]</w:t>
                  </w:r>
                </w:p>
              </w:tc>
              <w:tc>
                <w:tcPr/>
                <w:p>
                  <w:pPr>
                    <w:pStyle w:val="Compact"/>
                    <w:jc w:val="right"/>
                    <w:jc w:val="center"/>
                  </w:pPr>
                  <w:r>
                    <w:t xml:space="preserve">32 [16, 47]</w:t>
                  </w:r>
                </w:p>
              </w:tc>
            </w:tr>
            <w:tr>
              <w:tc>
                <w:tcPr/>
                <w:p>
                  <w:pPr>
                    <w:pStyle w:val="Compact"/>
                    <w:jc w:val="left"/>
                    <w:jc w:val="center"/>
                  </w:pPr>
                  <w:r>
                    <w:t xml:space="preserve">Age group (child, &lt; 18 yrs)</w:t>
                  </w:r>
                </w:p>
              </w:tc>
              <w:tc>
                <w:tcPr/>
                <w:p>
                  <w:pPr>
                    <w:pStyle w:val="Compact"/>
                    <w:jc w:val="right"/>
                    <w:jc w:val="center"/>
                  </w:pPr>
                  <w:r>
                    <w:t xml:space="preserve">82 (40%)</w:t>
                  </w:r>
                </w:p>
              </w:tc>
              <w:tc>
                <w:tcPr/>
                <w:p>
                  <w:pPr>
                    <w:pStyle w:val="Compact"/>
                    <w:jc w:val="right"/>
                    <w:jc w:val="center"/>
                  </w:pPr>
                  <w:r>
                    <w:t xml:space="preserve">49 (49%)</w:t>
                  </w:r>
                </w:p>
              </w:tc>
              <w:tc>
                <w:tcPr/>
                <w:p>
                  <w:pPr>
                    <w:pStyle w:val="Compact"/>
                    <w:jc w:val="right"/>
                    <w:jc w:val="center"/>
                  </w:pPr>
                  <w:r>
                    <w:t xml:space="preserve">33 (32%)</w:t>
                  </w:r>
                </w:p>
              </w:tc>
            </w:tr>
            <w:tr>
              <w:tc>
                <w:tcPr/>
                <w:p>
                  <w:pPr>
                    <w:pStyle w:val="Compact"/>
                    <w:jc w:val="left"/>
                    <w:jc w:val="center"/>
                  </w:pPr>
                  <w:r>
                    <w:t xml:space="preserve">Age at T1D diagnosis (years)</w:t>
                  </w:r>
                </w:p>
              </w:tc>
              <w:tc>
                <w:tcPr/>
                <w:p>
                  <w:pPr>
                    <w:pStyle w:val="Compact"/>
                    <w:jc w:val="right"/>
                    <w:jc w:val="center"/>
                  </w:pPr>
                  <w:r>
                    <w:t xml:space="preserve">11 [7, 22]</w:t>
                  </w:r>
                </w:p>
              </w:tc>
              <w:tc>
                <w:tcPr/>
                <w:p>
                  <w:pPr>
                    <w:pStyle w:val="Compact"/>
                    <w:jc w:val="right"/>
                    <w:jc w:val="center"/>
                  </w:pPr>
                  <w:r>
                    <w:t xml:space="preserve">9 [6, 16]</w:t>
                  </w:r>
                </w:p>
              </w:tc>
              <w:tc>
                <w:tcPr/>
                <w:p>
                  <w:pPr>
                    <w:pStyle w:val="Compact"/>
                    <w:jc w:val="right"/>
                    <w:jc w:val="center"/>
                  </w:pPr>
                  <w:r>
                    <w:t xml:space="preserve">14 [8, 25]</w:t>
                  </w:r>
                </w:p>
              </w:tc>
            </w:tr>
            <w:tr>
              <w:tc>
                <w:tcPr/>
                <w:p>
                  <w:pPr>
                    <w:pStyle w:val="Compact"/>
                    <w:jc w:val="left"/>
                    <w:jc w:val="center"/>
                  </w:pPr>
                  <w:r>
                    <w:t xml:space="preserve">BMI (</w:t>
                  </w:r>
                  <m:oMath>
                    <m:sSup>
                      <m:e>
                        <m:r>
                          <m:rPr>
                            <m:nor/>
                            <m:sty m:val="p"/>
                          </m:rPr>
                          <m:t>kg/m</m:t>
                        </m:r>
                      </m:e>
                      <m:sup>
                        <m:r>
                          <m:t>2</m:t>
                        </m:r>
                      </m:sup>
                    </m:sSup>
                  </m:oMath>
                  <w:r>
                    <w:t xml:space="preserve">)</w:t>
                  </w:r>
                </w:p>
              </w:tc>
              <w:tc>
                <w:tcPr/>
                <w:p>
                  <w:pPr>
                    <w:pStyle w:val="Compact"/>
                    <w:jc w:val="right"/>
                    <w:jc w:val="center"/>
                  </w:pPr>
                  <w:r>
                    <w:t xml:space="preserve">25.1 [21.7, 29.2]</w:t>
                  </w:r>
                </w:p>
              </w:tc>
              <w:tc>
                <w:tcPr/>
                <w:p>
                  <w:pPr>
                    <w:pStyle w:val="Compact"/>
                    <w:jc w:val="right"/>
                    <w:jc w:val="center"/>
                  </w:pPr>
                  <w:r>
                    <w:t xml:space="preserve">24.0 [20.7, 28.6]</w:t>
                  </w:r>
                </w:p>
              </w:tc>
              <w:tc>
                <w:tcPr/>
                <w:p>
                  <w:pPr>
                    <w:pStyle w:val="Compact"/>
                    <w:jc w:val="right"/>
                    <w:jc w:val="center"/>
                  </w:pPr>
                  <w:r>
                    <w:t xml:space="preserve">26.7 [22.3, 30.0]</w:t>
                  </w:r>
                </w:p>
              </w:tc>
            </w:tr>
            <w:tr>
              <w:tc>
                <w:tcPr/>
                <w:p>
                  <w:pPr>
                    <w:pStyle w:val="Compact"/>
                    <w:jc w:val="left"/>
                    <w:jc w:val="center"/>
                  </w:pPr>
                  <w:r>
                    <w:t xml:space="preserve">HbA1c (mmol/mol)</w:t>
                  </w:r>
                </w:p>
              </w:tc>
              <w:tc>
                <w:tcPr/>
                <w:p>
                  <w:pPr>
                    <w:pStyle w:val="Compact"/>
                    <w:jc w:val="right"/>
                    <w:jc w:val="center"/>
                  </w:pPr>
                  <w:r>
                    <w:t xml:space="preserve">67 [57, 78]</w:t>
                  </w:r>
                </w:p>
              </w:tc>
              <w:tc>
                <w:tcPr/>
                <w:p>
                  <w:pPr>
                    <w:pStyle w:val="Compact"/>
                    <w:jc w:val="right"/>
                    <w:jc w:val="center"/>
                  </w:pPr>
                  <w:r>
                    <w:t xml:space="preserve">63 [55, 73]</w:t>
                  </w:r>
                </w:p>
              </w:tc>
              <w:tc>
                <w:tcPr/>
                <w:p>
                  <w:pPr>
                    <w:pStyle w:val="Compact"/>
                    <w:jc w:val="right"/>
                    <w:jc w:val="center"/>
                  </w:pPr>
                  <w:r>
                    <w:t xml:space="preserve">72 [60, 85]</w:t>
                  </w:r>
                </w:p>
              </w:tc>
            </w:tr>
            <w:tr>
              <w:tc>
                <w:tcPr/>
                <w:p>
                  <w:pPr>
                    <w:pStyle w:val="Compact"/>
                    <w:jc w:val="left"/>
                    <w:jc w:val="center"/>
                  </w:pPr>
                  <w:r>
                    <w:rPr>
                      <w:b/>
                      <w:bCs/>
                    </w:rPr>
                    <w:t xml:space="preserve">CGM-derived metrics</w:t>
                  </w:r>
                </w:p>
              </w:tc>
              <w:tc>
                <w:tcPr/>
                <w:p>
                  <w:pPr>
                    <w:pStyle w:val="Compact"/>
                  </w:pPr>
                </w:p>
              </w:tc>
              <w:tc>
                <w:tcPr/>
                <w:p>
                  <w:pPr>
                    <w:pStyle w:val="Compact"/>
                  </w:pPr>
                </w:p>
              </w:tc>
              <w:tc>
                <w:tcPr/>
                <w:p>
                  <w:pPr>
                    <w:pStyle w:val="Compact"/>
                  </w:pPr>
                </w:p>
              </w:tc>
            </w:tr>
            <w:tr>
              <w:tc>
                <w:tcPr/>
                <w:p>
                  <w:pPr>
                    <w:pStyle w:val="Compact"/>
                    <w:jc w:val="left"/>
                    <w:jc w:val="center"/>
                  </w:pPr>
                  <w:r>
                    <w:t xml:space="preserve">    – CGM days (n/participant)</w:t>
                  </w:r>
                </w:p>
              </w:tc>
              <w:tc>
                <w:tcPr/>
                <w:p>
                  <w:pPr>
                    <w:pStyle w:val="Compact"/>
                    <w:jc w:val="right"/>
                    <w:jc w:val="center"/>
                  </w:pPr>
                  <w:r>
                    <w:t xml:space="preserve">58 [46, 69]</w:t>
                  </w:r>
                </w:p>
              </w:tc>
              <w:tc>
                <w:tcPr/>
                <w:p>
                  <w:pPr>
                    <w:pStyle w:val="Compact"/>
                    <w:jc w:val="right"/>
                    <w:jc w:val="center"/>
                  </w:pPr>
                  <w:r>
                    <w:t xml:space="preserve">63 [47, 71]</w:t>
                  </w:r>
                </w:p>
              </w:tc>
              <w:tc>
                <w:tcPr/>
                <w:p>
                  <w:pPr>
                    <w:pStyle w:val="Compact"/>
                    <w:jc w:val="right"/>
                    <w:jc w:val="center"/>
                  </w:pPr>
                  <w:r>
                    <w:t xml:space="preserve">56 [45, 66]</w:t>
                  </w:r>
                </w:p>
              </w:tc>
            </w:tr>
            <w:tr>
              <w:tc>
                <w:tcPr/>
                <w:p>
                  <w:pPr>
                    <w:pStyle w:val="Compact"/>
                    <w:jc w:val="left"/>
                    <w:jc w:val="center"/>
                  </w:pPr>
                  <w:r>
                    <w:t xml:space="preserve">    – Glucose management</w:t>
                  </w:r>
                </w:p>
              </w:tc>
              <w:tc>
                <w:tcPr/>
                <w:p>
                  <w:pPr>
                    <w:pStyle w:val="Compact"/>
                    <w:jc w:val="right"/>
                    <w:jc w:val="center"/>
                  </w:pPr>
                  <w:r>
                    <w:t xml:space="preserve">7.5 [7.0, 8.2]</w:t>
                  </w:r>
                </w:p>
              </w:tc>
              <w:tc>
                <w:tcPr/>
                <w:p>
                  <w:pPr>
                    <w:pStyle w:val="Compact"/>
                    <w:jc w:val="right"/>
                    <w:jc w:val="center"/>
                  </w:pPr>
                  <w:r>
                    <w:t xml:space="preserve">7.4 [6.9, 7.9]</w:t>
                  </w:r>
                </w:p>
              </w:tc>
              <w:tc>
                <w:tcPr/>
                <w:p>
                  <w:pPr>
                    <w:pStyle w:val="Compact"/>
                    <w:jc w:val="right"/>
                    <w:jc w:val="center"/>
                  </w:pPr>
                  <w:r>
                    <w:t xml:space="preserve">7.7 [7.0, 8.5]</w:t>
                  </w:r>
                </w:p>
              </w:tc>
            </w:tr>
            <w:tr>
              <w:tc>
                <w:tcPr/>
                <w:p>
                  <w:pPr>
                    <w:pStyle w:val="Compact"/>
                    <w:jc w:val="left"/>
                    <w:jc w:val="center"/>
                  </w:pPr>
                  <w:r>
                    <w:t xml:space="preserve">       indicator (%)</w:t>
                  </w:r>
                </w:p>
              </w:tc>
              <w:tc>
                <w:tcPr/>
                <w:p>
                  <w:pPr>
                    <w:pStyle w:val="Compact"/>
                  </w:pPr>
                </w:p>
              </w:tc>
              <w:tc>
                <w:tcPr/>
                <w:p>
                  <w:pPr>
                    <w:pStyle w:val="Compact"/>
                  </w:pPr>
                </w:p>
              </w:tc>
              <w:tc>
                <w:tcPr/>
                <w:p>
                  <w:pPr>
                    <w:pStyle w:val="Compact"/>
                  </w:pPr>
                </w:p>
              </w:tc>
            </w:tr>
            <w:tr>
              <w:tc>
                <w:tcPr/>
                <w:p>
                  <w:pPr>
                    <w:pStyle w:val="Compact"/>
                    <w:jc w:val="left"/>
                    <w:jc w:val="center"/>
                  </w:pPr>
                  <w:r>
                    <w:t xml:space="preserve">    – Time in range (%)</w:t>
                  </w:r>
                </w:p>
              </w:tc>
              <w:tc>
                <w:tcPr/>
                <w:p>
                  <w:pPr>
                    <w:pStyle w:val="Compact"/>
                    <w:jc w:val="right"/>
                    <w:jc w:val="center"/>
                  </w:pPr>
                  <w:r>
                    <w:t xml:space="preserve">47 [35, 57]</w:t>
                  </w:r>
                </w:p>
              </w:tc>
              <w:tc>
                <w:tcPr/>
                <w:p>
                  <w:pPr>
                    <w:pStyle w:val="Compact"/>
                    <w:jc w:val="right"/>
                    <w:jc w:val="center"/>
                  </w:pPr>
                  <w:r>
                    <w:t xml:space="preserve">49 [39, 60]</w:t>
                  </w:r>
                </w:p>
              </w:tc>
              <w:tc>
                <w:tcPr/>
                <w:p>
                  <w:pPr>
                    <w:pStyle w:val="Compact"/>
                    <w:jc w:val="right"/>
                    <w:jc w:val="center"/>
                  </w:pPr>
                  <w:r>
                    <w:t xml:space="preserve">42 [31, 54]</w:t>
                  </w:r>
                </w:p>
              </w:tc>
            </w:tr>
            <w:tr>
              <w:tc>
                <w:tcPr/>
                <w:p>
                  <w:pPr>
                    <w:pStyle w:val="Compact"/>
                    <w:jc w:val="left"/>
                    <w:jc w:val="center"/>
                  </w:pPr>
                  <w:r>
                    <w:t xml:space="preserve">    – Time above range (%)</w:t>
                  </w:r>
                </w:p>
              </w:tc>
              <w:tc>
                <w:tcPr/>
                <w:p>
                  <w:pPr>
                    <w:pStyle w:val="Compact"/>
                    <w:jc w:val="right"/>
                    <w:jc w:val="center"/>
                  </w:pPr>
                  <w:r>
                    <w:t xml:space="preserve">45 [30, 56]</w:t>
                  </w:r>
                </w:p>
              </w:tc>
              <w:tc>
                <w:tcPr/>
                <w:p>
                  <w:pPr>
                    <w:pStyle w:val="Compact"/>
                    <w:jc w:val="right"/>
                    <w:jc w:val="center"/>
                  </w:pPr>
                  <w:r>
                    <w:t xml:space="preserve">42 [28, 53]</w:t>
                  </w:r>
                </w:p>
              </w:tc>
              <w:tc>
                <w:tcPr/>
                <w:p>
                  <w:pPr>
                    <w:pStyle w:val="Compact"/>
                    <w:jc w:val="right"/>
                    <w:jc w:val="center"/>
                  </w:pPr>
                  <w:r>
                    <w:t xml:space="preserve">48 [32, 60]</w:t>
                  </w:r>
                </w:p>
              </w:tc>
            </w:tr>
            <w:tr>
              <w:tc>
                <w:tcPr/>
                <w:p>
                  <w:pPr>
                    <w:pStyle w:val="Compact"/>
                    <w:jc w:val="left"/>
                    <w:jc w:val="center"/>
                  </w:pPr>
                  <w:r>
                    <w:t xml:space="preserve">    – Time below range (%)</w:t>
                  </w:r>
                </w:p>
              </w:tc>
              <w:tc>
                <w:tcPr/>
                <w:p>
                  <w:pPr>
                    <w:pStyle w:val="Compact"/>
                    <w:jc w:val="right"/>
                    <w:jc w:val="center"/>
                  </w:pPr>
                  <w:r>
                    <w:t xml:space="preserve">8 [4, 14]</w:t>
                  </w:r>
                </w:p>
              </w:tc>
              <w:tc>
                <w:tcPr/>
                <w:p>
                  <w:pPr>
                    <w:pStyle w:val="Compact"/>
                    <w:jc w:val="right"/>
                    <w:jc w:val="center"/>
                  </w:pPr>
                  <w:r>
                    <w:t xml:space="preserve">6 [4, 10]</w:t>
                  </w:r>
                </w:p>
              </w:tc>
              <w:tc>
                <w:tcPr/>
                <w:p>
                  <w:pPr>
                    <w:pStyle w:val="Compact"/>
                    <w:jc w:val="right"/>
                    <w:jc w:val="center"/>
                  </w:pPr>
                  <w:r>
                    <w:t xml:space="preserve">11 [5, 15]</w:t>
                  </w:r>
                </w:p>
              </w:tc>
            </w:tr>
            <w:tr>
              <w:tc>
                <w:tcPr/>
                <w:p>
                  <w:pPr>
                    <w:pStyle w:val="Compact"/>
                    <w:jc w:val="left"/>
                    <w:jc w:val="center"/>
                  </w:pPr>
                  <w:r>
                    <w:t xml:space="preserve">    – Coefficient of variation (%)</w:t>
                  </w:r>
                </w:p>
              </w:tc>
              <w:tc>
                <w:tcPr/>
                <w:p>
                  <w:pPr>
                    <w:pStyle w:val="Compact"/>
                    <w:jc w:val="right"/>
                    <w:jc w:val="center"/>
                  </w:pPr>
                  <w:r>
                    <w:t xml:space="preserve">43.3 [39.6, 48.6]</w:t>
                  </w:r>
                </w:p>
              </w:tc>
              <w:tc>
                <w:tcPr/>
                <w:p>
                  <w:pPr>
                    <w:pStyle w:val="Compact"/>
                    <w:jc w:val="right"/>
                    <w:jc w:val="center"/>
                  </w:pPr>
                  <w:r>
                    <w:t xml:space="preserve">42.2 [38.6, 46.5]</w:t>
                  </w:r>
                </w:p>
              </w:tc>
              <w:tc>
                <w:tcPr/>
                <w:p>
                  <w:pPr>
                    <w:pStyle w:val="Compact"/>
                    <w:jc w:val="right"/>
                    <w:jc w:val="center"/>
                  </w:pPr>
                  <w:r>
                    <w:t xml:space="preserve">46.7 [40.4, 51.9]</w:t>
                  </w:r>
                </w:p>
              </w:tc>
            </w:tr>
            <w:tr>
              <w:tc>
                <w:tcPr/>
                <w:p>
                  <w:pPr>
                    <w:pStyle w:val="Compact"/>
                    <w:jc w:val="left"/>
                    <w:jc w:val="center"/>
                  </w:pPr>
                  <w:r>
                    <w:t xml:space="preserve">    – Mean amplitude of</w:t>
                  </w:r>
                </w:p>
              </w:tc>
              <w:tc>
                <w:tcPr/>
                <w:p>
                  <w:pPr>
                    <w:pStyle w:val="Compact"/>
                    <w:jc w:val="right"/>
                    <w:jc w:val="center"/>
                  </w:pPr>
                  <w:r>
                    <w:t xml:space="preserve">9.9 [8.2, 12.1]</w:t>
                  </w:r>
                </w:p>
              </w:tc>
              <w:tc>
                <w:tcPr/>
                <w:p>
                  <w:pPr>
                    <w:pStyle w:val="Compact"/>
                    <w:jc w:val="right"/>
                    <w:jc w:val="center"/>
                  </w:pPr>
                  <w:r>
                    <w:t xml:space="preserve">9.6 [8.1, 11.2]</w:t>
                  </w:r>
                </w:p>
              </w:tc>
              <w:tc>
                <w:tcPr/>
                <w:p>
                  <w:pPr>
                    <w:pStyle w:val="Compact"/>
                    <w:jc w:val="right"/>
                    <w:jc w:val="center"/>
                  </w:pPr>
                  <w:r>
                    <w:t xml:space="preserve">10.6 [8.5, 13.0]</w:t>
                  </w:r>
                </w:p>
              </w:tc>
            </w:tr>
            <w:tr>
              <w:tc>
                <w:tcPr/>
                <w:p>
                  <w:pPr>
                    <w:pStyle w:val="Compact"/>
                    <w:jc w:val="left"/>
                    <w:jc w:val="center"/>
                  </w:pPr>
                  <w:r>
                    <w:t xml:space="preserve">      glycemic excursions (mmol/L)</w:t>
                  </w:r>
                </w:p>
              </w:tc>
              <w:tc>
                <w:tcPr/>
                <w:p>
                  <w:pPr>
                    <w:pStyle w:val="Compact"/>
                  </w:pPr>
                </w:p>
              </w:tc>
              <w:tc>
                <w:tcPr/>
                <w:p>
                  <w:pPr>
                    <w:pStyle w:val="Compact"/>
                  </w:pPr>
                </w:p>
              </w:tc>
              <w:tc>
                <w:tcPr/>
                <w:p>
                  <w:pPr>
                    <w:pStyle w:val="Compact"/>
                  </w:pPr>
                </w:p>
              </w:tc>
            </w:tr>
          </w:tbl>
          <w:bookmarkEnd w:id="191"/>
          <w:p/>
        </w:tc>
      </w:tr>
    </w:tbl>
    <w:bookmarkEnd w:id="192"/>
    <w:bookmarkStart w:id="202" w:name="Xe26222a0d6bbd18ccefdfbb614a572b6ad2c76c"/>
    <w:p>
      <w:pPr>
        <w:pStyle w:val="Heading2"/>
      </w:pPr>
      <w:r>
        <w:t xml:space="preserve">4.3 Study II: Foundation Model Embedding Analysis</w:t>
      </w:r>
    </w:p>
    <w:p>
      <w:pPr>
        <w:pStyle w:val="FirstParagraph"/>
      </w:pPr>
      <w:r>
        <w:t xml:space="preserve">The following section contains UMAP visualizations and cosine distance analyzes results including kernel density plots and the median and interquartile ranges of the distances.</w:t>
      </w:r>
    </w:p>
    <w:bookmarkStart w:id="193" w:name="umaps-and-glycemic-control"/>
    <w:p>
      <w:pPr>
        <w:pStyle w:val="Heading3"/>
      </w:pPr>
      <w:r>
        <w:t xml:space="preserve">UMAPs and Glycemic Control</w:t>
      </w:r>
    </w:p>
    <w:p>
      <w:pPr>
        <w:pStyle w:val="FirstParagraph"/>
      </w:pPr>
      <w:r>
        <w:t xml:space="preserve">UMAP projections of the learned CGM representations showed one main cluster in both datasets (</w:t>
      </w:r>
      <w:hyperlink w:anchor="fig-cosim_umap">
        <w:r>
          <w:rPr>
            <w:rStyle w:val="Hyperlink"/>
          </w:rPr>
          <w:t xml:space="preserve">Figure 4.3</w:t>
        </w:r>
      </w:hyperlink>
      <w:r>
        <w:t xml:space="preserve">). When colored by glycemic metrics, the projections showed smooth gradients for TIR and HbA1c, indicating that the learned representations captured variation in glycemic control. The gradient was less distinct for MAGE, particularly in the T1DX cohort, where all participants except one had MAGE values above 3.9 mmol/L.</w:t>
      </w:r>
    </w:p>
    <w:p>
      <w:pPr>
        <w:pStyle w:val="BodyText"/>
      </w:pPr>
      <w:r>
        <w:t xml:space="preserve">Correlations between the UMAP dimensions and glycemic metrics supported these visual patterns (</w:t>
      </w:r>
      <w:hyperlink w:anchor="tbl-umaps_gv">
        <w:r>
          <w:rPr>
            <w:rStyle w:val="Hyperlink"/>
          </w:rPr>
          <w:t xml:space="preserve">Table 4.7</w:t>
        </w:r>
      </w:hyperlink>
      <w:r>
        <w:t xml:space="preserve">). In the CANCAN dataset, UMAP dimensions were strongly linearly correlated with TIR (</w:t>
      </w:r>
      <m:oMath>
        <m:r>
          <m:t>r</m:t>
        </m:r>
      </m:oMath>
      <w:r>
        <w:t xml:space="preserve">:0.71 and 0.81, p&lt;0.001) and moderately to strongly correlated with HbA1c and MAGE. In the T1DX dataset, UMAP dimensions were moderately correlated with TIR, HbA1c, and MAGE (Absolute range,</w:t>
      </w:r>
      <w:r>
        <w:t xml:space="preserve"> </w:t>
      </w:r>
      <m:oMath>
        <m:r>
          <m:t>r</m:t>
        </m:r>
      </m:oMath>
      <w:r>
        <w:t xml:space="preserve">: 0.30 to 0.59, p&lt;0.001).</w:t>
      </w:r>
    </w:p>
    <w:bookmarkEnd w:id="193"/>
    <w:bookmarkStart w:id="200" w:name="cosine-distances"/>
    <w:p>
      <w:pPr>
        <w:pStyle w:val="Heading3"/>
      </w:pPr>
      <w:r>
        <w:t xml:space="preserve">Cosine Distances</w:t>
      </w:r>
    </w:p>
    <w:p>
      <w:pPr>
        <w:pStyle w:val="FirstParagraph"/>
      </w:pPr>
      <w:r>
        <w:t xml:space="preserve">Within-participant pairs had lower median cosine distances than between-participant pairs in both CANCAN and T1DX, indicating greater similarity between CGM representations from the same participant (</w:t>
      </w:r>
      <w:hyperlink w:anchor="fig-cosim1">
        <w:r>
          <w:rPr>
            <w:rStyle w:val="Hyperlink"/>
          </w:rPr>
          <w:t xml:space="preserve">Figure 4.4</w:t>
        </w:r>
      </w:hyperlink>
      <w:r>
        <w:t xml:space="preserve">). This pattern was observed in CANCAN (0.058 [IQR: 0.040–0.084] vs. 0.117 [IQR: 0.076–0.182]) and T1DX (0.064 [IQR: 0.047–0.090] vs. 0.082 [IQR: 0.057–0.122]) (</w:t>
      </w:r>
      <w:hyperlink w:anchor="tbl-cosim1">
        <w:r>
          <w:rPr>
            <w:rStyle w:val="Hyperlink"/>
          </w:rPr>
          <w:t xml:space="preserve">Table 4.8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98" w:name="fig-cosim1"/>
          <w:p>
            <w:pPr>
              <w:pStyle w:val="Compact"/>
              <w:jc w:val="center"/>
            </w:pPr>
            <w:hyperlink r:id="rId197">
              <w:r>
                <w:drawing>
                  <wp:inline>
                    <wp:extent cx="5334000" cy="2689646"/>
                    <wp:effectExtent b="0" l="0" r="0" t="0"/>
                    <wp:docPr descr="" title="" id="195" name="Picture"/>
                    <a:graphic>
                      <a:graphicData uri="http://schemas.openxmlformats.org/drawingml/2006/picture">
                        <pic:pic>
                          <pic:nvPicPr>
                            <pic:cNvPr descr="figures/4_results_fig/study_2_co_sim1.png" id="196" name="Picture"/>
                            <pic:cNvPicPr>
                              <a:picLocks noChangeArrowheads="1" noChangeAspect="1"/>
                            </pic:cNvPicPr>
                          </pic:nvPicPr>
                          <pic:blipFill>
                            <a:blip r:embed="rId194"/>
                            <a:stretch>
                              <a:fillRect/>
                            </a:stretch>
                          </pic:blipFill>
                          <pic:spPr bwMode="auto">
                            <a:xfrm>
                              <a:off x="0" y="0"/>
                              <a:ext cx="5334000" cy="2689646"/>
                            </a:xfrm>
                            <a:prstGeom prst="rect">
                              <a:avLst/>
                            </a:prstGeom>
                            <a:noFill/>
                            <a:ln w="9525">
                              <a:noFill/>
                              <a:headEnd/>
                              <a:tailEnd/>
                            </a:ln>
                          </pic:spPr>
                        </pic:pic>
                      </a:graphicData>
                    </a:graphic>
                  </wp:inline>
                </w:drawing>
              </w:r>
            </w:hyperlink>
          </w:p>
          <w:p>
            <w:pPr>
              <w:jc w:val="center"/>
            </w:pPr>
            <w:pPr>
              <w:jc w:val="left"/>
              <w:spacing w:before="200"/>
              <w:pStyle w:val="ImageCaption"/>
            </w:pPr>
            <w:r>
              <w:t xml:space="preserve">Figure 4.4: Cosine distance distributions for within- and between-participant pairs in CANCAN (A) and T1DX (B). Dashed lines show medians; shaded bands show interquartile ranges.</w:t>
            </w:r>
          </w:p>
          <w:bookmarkEnd w:id="198"/>
        </w:tc>
      </w:tr>
    </w:tbl>
    <w:p>
      <w:pPr>
        <w:pStyle w:val="BodyText"/>
      </w:pPr>
      <w:r>
        <w:t xml:space="preserve"> </w:t>
      </w:r>
    </w:p>
    <w:bookmarkStart w:id="199" w:name="cosine-distances-and-glycemic-targets"/>
    <w:p>
      <w:pPr>
        <w:pStyle w:val="Heading4"/>
      </w:pPr>
      <w:r>
        <w:t xml:space="preserve">Cosine Distances and Glycemic Targets</w:t>
      </w:r>
    </w:p>
    <w:p>
      <w:pPr>
        <w:pStyle w:val="FirstParagraph"/>
      </w:pPr>
      <w:r>
        <w:t xml:space="preserve">When stratified by clinical thresholds participants who met glycemic targets, defined as HbA1c &lt;53 mmol/mol, TIR</w:t>
      </w:r>
      <w:r>
        <w:t xml:space="preserve"> </w:t>
      </w:r>
      <m:oMath>
        <m:r>
          <m:rPr>
            <m:sty m:val="p"/>
          </m:rPr>
          <m:t>≥</m:t>
        </m:r>
        <m:r>
          <m:t>70</m:t>
        </m:r>
        <m:r>
          <m:rPr>
            <m:sty m:val="p"/>
          </m:rPr>
          <m:t>%</m:t>
        </m:r>
      </m:oMath>
      <w:r>
        <w:t xml:space="preserve"> </w:t>
      </w:r>
      <w:r>
        <w:t xml:space="preserve">or MAGE</w:t>
      </w:r>
      <w:r>
        <w:t xml:space="preserve"> </w:t>
      </w:r>
      <m:oMath>
        <m:r>
          <m:rPr>
            <m:sty m:val="p"/>
          </m:rPr>
          <m:t>≤</m:t>
        </m:r>
        <m:r>
          <m:t>3.9</m:t>
        </m:r>
      </m:oMath>
      <w:r>
        <w:t xml:space="preserve"> </w:t>
      </w:r>
      <w:r>
        <w:t xml:space="preserve">mmol/L, tended to have lower and more narrowly distributed cosine distances (</w:t>
      </w:r>
      <w:hyperlink w:anchor="fig-cosim_cancan">
        <w:r>
          <w:rPr>
            <w:rStyle w:val="Hyperlink"/>
          </w:rPr>
          <w:t xml:space="preserve">Figure 4.5</w:t>
        </w:r>
      </w:hyperlink>
      <w:r>
        <w:t xml:space="preserve"> </w:t>
      </w:r>
      <w:r>
        <w:t xml:space="preserve">and</w:t>
      </w:r>
      <w:r>
        <w:t xml:space="preserve"> </w:t>
      </w:r>
      <w:hyperlink w:anchor="fig-cosim_t1dx">
        <w:r>
          <w:rPr>
            <w:rStyle w:val="Hyperlink"/>
          </w:rPr>
          <w:t xml:space="preserve">Figure 4.6</w:t>
        </w:r>
      </w:hyperlink>
      <w:r>
        <w:t xml:space="preserve">). For between-participant comparisons, distances among individuals within target ranges shifted downward and partly overlapped with the range observed within participants. The largest distances were observed between participants from opposing TIR groups (</w:t>
      </w:r>
      <w:hyperlink w:anchor="tbl-cosim_cancan">
        <w:r>
          <w:rPr>
            <w:rStyle w:val="Hyperlink"/>
          </w:rPr>
          <w:t xml:space="preserve">Table 4.9</w:t>
        </w:r>
      </w:hyperlink>
      <w:r>
        <w:t xml:space="preserve"> </w:t>
      </w:r>
      <w:r>
        <w:t xml:space="preserve">and</w:t>
      </w:r>
      <w:r>
        <w:t xml:space="preserve"> </w:t>
      </w:r>
      <w:hyperlink w:anchor="tbl-cosim_t1dx">
        <w:r>
          <w:rPr>
            <w:rStyle w:val="Hyperlink"/>
          </w:rPr>
          <w:t xml:space="preserve">Table 4.10</w:t>
        </w:r>
      </w:hyperlink>
      <w:r>
        <w:t xml:space="preserve">).</w:t>
      </w:r>
    </w:p>
    <w:p>
      <w:pPr>
        <w:pStyle w:val="BodyText"/>
      </w:pPr>
      <w:r>
        <w:t xml:space="preserve"> </w:t>
      </w:r>
    </w:p>
    <w:p>
      <w:pPr>
        <w:pStyle w:val="BodyText"/>
      </w:pPr>
      <w:r>
        <w:t xml:space="preserve"> </w:t>
      </w:r>
    </w:p>
    <w:p>
      <w:pPr>
        <w:pStyle w:val="BodyText"/>
      </w:pPr>
      <w:r>
        <w:t xml:space="preserve"> </w:t>
      </w:r>
    </w:p>
    <w:bookmarkEnd w:id="199"/>
    <w:bookmarkEnd w:id="200"/>
    <w:bookmarkStart w:id="201" w:name="cosine-distances-nt-probnp-and-race"/>
    <w:p>
      <w:pPr>
        <w:pStyle w:val="Heading3"/>
      </w:pPr>
      <w:r>
        <w:t xml:space="preserve">Cosine Distances, NT-proBNP and Race</w:t>
      </w:r>
    </w:p>
    <w:p>
      <w:pPr>
        <w:pStyle w:val="FirstParagraph"/>
      </w:pPr>
      <w:r>
        <w:t xml:space="preserve">UMAP visualizations and cosine distance analyzes stratified by NT-proBNP &gt; 125 pg/mL or race appeared to show no clear clusterings in the colors upon visual inspection of the UMAPs (</w:t>
      </w:r>
      <w:hyperlink w:anchor="fig-cosim_ntprobnp">
        <w:r>
          <w:rPr>
            <w:rStyle w:val="Hyperlink"/>
          </w:rPr>
          <w:t xml:space="preserve">Figure 4.7</w:t>
        </w:r>
      </w:hyperlink>
      <w:r>
        <w:t xml:space="preserve">).</w:t>
      </w:r>
      <w:r>
        <w:t xml:space="preserve"> </w:t>
      </w:r>
      <w:r>
        <w:t xml:space="preserve">The cosine distance analyzes stratified by these variables showed similar patterns to those observed for glycemic control measurements, with within-participant pairs being more similar than between-participant pairs. The medians and interquartile ranges can be found in</w:t>
      </w:r>
      <w:r>
        <w:t xml:space="preserve"> </w:t>
      </w:r>
      <w:hyperlink w:anchor="sec-suppl-cosim">
        <w:r>
          <w:rPr>
            <w:rStyle w:val="Hyperlink"/>
          </w:rPr>
          <w:t xml:space="preserve">Appendix F</w:t>
        </w:r>
      </w:hyperlink>
      <w:r>
        <w:t xml:space="preserve">.</w:t>
      </w:r>
    </w:p>
    <w:p>
      <w:pPr>
        <w:sectPr/>
      </w:pPr>
    </w:p>
    <w:p>
      <w:pPr>
        <w:sectPr>
          <w:pgSz w:h="11906" w:w="16838" w:orient="landscape"/>
        </w:sectPr>
      </w:pPr>
    </w:p>
    <w:bookmarkEnd w:id="201"/>
    <w:bookmarkEnd w:id="202"/>
    <w:bookmarkStart w:id="203" w:name="study-ii-prediction-of-nt-probnp-results"/>
    <w:p>
      <w:pPr>
        <w:pStyle w:val="Heading2"/>
      </w:pPr>
      <w:r>
        <w:t xml:space="preserve">4.4 Study II: Prediction of NT-proBNP Results</w:t>
      </w:r>
    </w:p>
    <w:p>
      <w:pPr>
        <w:pStyle w:val="FirstParagraph"/>
      </w:pPr>
      <w:r>
        <w:t xml:space="preserve">Results from the prediction analyzis are shown in</w:t>
      </w:r>
      <w:r>
        <w:t xml:space="preserve"> </w:t>
      </w:r>
      <w:hyperlink w:anchor="tbl-model-performance_main">
        <w:r>
          <w:rPr>
            <w:rStyle w:val="Hyperlink"/>
          </w:rPr>
          <w:t xml:space="preserve">Table 4.11</w:t>
        </w:r>
      </w:hyperlink>
      <w:r>
        <w:t xml:space="preserve">.</w:t>
      </w:r>
      <w:r>
        <w:t xml:space="preserve"> </w:t>
      </w:r>
      <w:r>
        <w:t xml:space="preserve">The highest optimism-corrected AUROC was achieved by Model A2 which included all nine clinical variables from the SCORE2-Diabetes input predictors and the CGM-derived metrics TIR and MAGE (AUROC: 0.81 [0.77–0.88]).</w:t>
      </w:r>
      <w:r>
        <w:t xml:space="preserve"> </w:t>
      </w:r>
      <w:r>
        <w:t xml:space="preserve">Optimism-corrected AUROCs for the models with fewer predictors had modest performance (AUROC: 0.72 to 77 ), however the optimism-correction was smaller and the prediction stability was more stable the fewer predictors were included in the models (Models: B1, B2, and B3) (</w:t>
      </w:r>
      <w:hyperlink w:anchor="sec-suppl-pred-stability">
        <w:r>
          <w:rPr>
            <w:rStyle w:val="Hyperlink"/>
          </w:rPr>
          <w:t xml:space="preserve">Appendix G</w:t>
        </w:r>
      </w:hyperlink>
      <w:r>
        <w:t xml:space="preserve">).</w:t>
      </w:r>
      <w:r>
        <w:t xml:space="preserve"> </w:t>
      </w:r>
      <w:r>
        <w:t xml:space="preserve">The models including only CGM-data either as derived metrics (Model C1) or as UMAP dimensions (Model D1a, D1b, D1c) performed the worst (AUROC: 0.53 to 0.69). Age seemed a better predictor for elevated NT-proBNP (AUROC: 0.73 [0.65 - 0.80])</w:t>
      </w:r>
    </w:p>
    <w:p>
      <w:r>
        <w:br w:type="page"/>
      </w:r>
    </w:p>
    <w:bookmarkEnd w:id="203"/>
    <w:bookmarkStart w:id="210" w:name="X1b3ed93012aafea9f0313da5301cebd4ad6bb15"/>
    <w:p>
      <w:pPr>
        <w:pStyle w:val="Heading2"/>
      </w:pPr>
      <w:r>
        <w:t xml:space="preserve">4.5 Study III: Algorithmic Fairness in Prediction Models</w:t>
      </w:r>
    </w:p>
    <w:p>
      <w:pPr>
        <w:pStyle w:val="FirstParagraph"/>
      </w:pPr>
      <w:r>
        <w:t xml:space="preserve">In Study III, bias in CGM trained machine learning models for forecasting in the T1DX cohort was evaluated.</w:t>
      </w:r>
    </w:p>
    <w:bookmarkStart w:id="208" w:name="bias-in-machine-learning-models"/>
    <w:p>
      <w:pPr>
        <w:pStyle w:val="Heading3"/>
      </w:pPr>
      <w:r>
        <w:t xml:space="preserve">Bias in Machine Learning Models</w:t>
      </w:r>
    </w:p>
    <w:p>
      <w:pPr>
        <w:pStyle w:val="FirstParagraph"/>
      </w:pPr>
      <w:r>
        <w:t xml:space="preserve">The RMSE of the models are shown in</w:t>
      </w:r>
      <w:r>
        <w:t xml:space="preserve"> </w:t>
      </w:r>
      <w:hyperlink w:anchor="tbl-study3-main-results1">
        <w:r>
          <w:rPr>
            <w:rStyle w:val="Hyperlink"/>
          </w:rPr>
          <w:t xml:space="preserve">Table 4.12</w:t>
        </w:r>
      </w:hyperlink>
      <w:r>
        <w:t xml:space="preserve"> </w:t>
      </w:r>
      <w:r>
        <w:t xml:space="preserve">and</w:t>
      </w:r>
      <w:r>
        <w:t xml:space="preserve"> </w:t>
      </w:r>
      <w:hyperlink w:anchor="tbl-study3-main-results2">
        <w:r>
          <w:rPr>
            <w:rStyle w:val="Hyperlink"/>
          </w:rPr>
          <w:t xml:space="preserve">Table 4.13</w:t>
        </w:r>
      </w:hyperlink>
      <w:r>
        <w:t xml:space="preserve">.</w:t>
      </w:r>
      <w:r>
        <w:t xml:space="preserve"> </w:t>
      </w:r>
      <w:r>
        <w:t xml:space="preserve">Base-Generalized and Transfer Learned models achieved lower prediction errors (RMSE: 2.00 to 2.06 mmol/L) than the naive last observation carried forward (LOCF)(RMSE: 2.41 and 2.45 mmol/L) and Base-Individual models (RMSE: 2.54 to 2.63 mmol/L) for both White and Black participants (</w:t>
      </w:r>
      <w:hyperlink w:anchor="tbl-study3-main-results1">
        <w:r>
          <w:rPr>
            <w:rStyle w:val="Hyperlink"/>
          </w:rPr>
          <w:t xml:space="preserve">Table 4.12</w:t>
        </w:r>
      </w:hyperlink>
      <w:r>
        <w:t xml:space="preserve"> </w:t>
      </w:r>
      <w:r>
        <w:t xml:space="preserve">and</w:t>
      </w:r>
      <w:r>
        <w:t xml:space="preserve"> </w:t>
      </w:r>
      <w:hyperlink w:anchor="tbl-study3-main-results2">
        <w:r>
          <w:rPr>
            <w:rStyle w:val="Hyperlink"/>
          </w:rPr>
          <w:t xml:space="preserve">Table 4.13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04" w:name="tbl-study3-main-results1"/>
          <w:p>
            <w:pPr>
              <w:jc w:val="center"/>
            </w:pPr>
            <w:pPr>
              <w:jc w:val="left"/>
              <w:spacing w:before="200"/>
              <w:pStyle w:val="ImageCaption"/>
            </w:pPr>
            <w:r>
              <w:t xml:space="preserve">Table 4.12: Root mean squared errors with 95% CIs for the different models evaluated on White participants.</w:t>
            </w:r>
          </w:p>
          <w:tbl>
            <w:tblPr>
              <w:tblStyle w:val="Table"/>
              <w:tblW w:type="pct" w:w="5000"/>
              <w:tblLayout w:type="fixed"/>
              <w:tblLook w:firstRow="1" w:lastRow="0" w:firstColumn="0" w:lastColumn="0" w:noHBand="0" w:noVBand="0" w:val="0020"/>
            </w:tblPr>
            <w:tblGrid>
              <w:gridCol w:w="950"/>
              <w:gridCol w:w="1742"/>
              <w:gridCol w:w="1742"/>
              <w:gridCol w:w="1742"/>
              <w:gridCol w:w="1742"/>
            </w:tblGrid>
            <w:tr>
              <w:trPr>
                <w:tblHeader w:val="on"/>
              </w:trPr>
              <w:tc>
                <w:tcPr/>
                <w:p>
                  <w:pPr>
                    <w:pStyle w:val="Compact"/>
                    <w:jc w:val="center"/>
                    <w:jc w:val="center"/>
                  </w:pPr>
                  <w:r>
                    <w:t xml:space="preserve">Ratio</w:t>
                  </w:r>
                </w:p>
              </w:tc>
              <w:tc>
                <w:tcPr/>
                <w:p>
                  <w:pPr>
                    <w:pStyle w:val="Compact"/>
                    <w:jc w:val="center"/>
                    <w:jc w:val="center"/>
                  </w:pPr>
                  <w:r>
                    <w:t xml:space="preserve">LOCF</w:t>
                  </w:r>
                </w:p>
              </w:tc>
              <w:tc>
                <w:tcPr/>
                <w:p>
                  <w:pPr>
                    <w:pStyle w:val="Compact"/>
                    <w:jc w:val="center"/>
                    <w:jc w:val="center"/>
                  </w:pPr>
                  <w:r>
                    <w:t xml:space="preserve">Base-Individual</w:t>
                  </w:r>
                </w:p>
              </w:tc>
              <w:tc>
                <w:tcPr/>
                <w:p>
                  <w:pPr>
                    <w:pStyle w:val="Compact"/>
                    <w:jc w:val="center"/>
                    <w:jc w:val="center"/>
                  </w:pPr>
                  <w:r>
                    <w:t xml:space="preserve">Base-Generalized</w:t>
                  </w:r>
                </w:p>
              </w:tc>
              <w:tc>
                <w:tcPr/>
                <w:p>
                  <w:pPr>
                    <w:pStyle w:val="Compact"/>
                    <w:jc w:val="center"/>
                    <w:jc w:val="center"/>
                  </w:pPr>
                  <w:r>
                    <w:t xml:space="preserve">Transfer Learned</w:t>
                  </w:r>
                </w:p>
              </w:tc>
            </w:tr>
            <w:tr>
              <w:tc>
                <w:tcPr/>
                <w:p>
                  <w:pPr>
                    <w:pStyle w:val="Compact"/>
                    <w:jc w:val="center"/>
                    <w:jc w:val="center"/>
                  </w:pPr>
                  <w:r>
                    <w:t xml:space="preserve">0</w:t>
                  </w:r>
                </w:p>
              </w:tc>
              <w:tc>
                <w:tcPr/>
                <w:p>
                  <w:pPr>
                    <w:pStyle w:val="Compact"/>
                  </w:pPr>
                </w:p>
              </w:tc>
              <w:tc>
                <w:tcPr/>
                <w:p>
                  <w:pPr>
                    <w:pStyle w:val="Compact"/>
                  </w:pPr>
                </w:p>
              </w:tc>
              <w:tc>
                <w:tcPr/>
                <w:p>
                  <w:pPr>
                    <w:pStyle w:val="Compact"/>
                    <w:jc w:val="center"/>
                    <w:jc w:val="center"/>
                  </w:pPr>
                  <w:r>
                    <w:t xml:space="preserve">2.04 [1.95, 2.13]</w:t>
                  </w:r>
                </w:p>
              </w:tc>
              <w:tc>
                <w:tcPr/>
                <w:p>
                  <w:pPr>
                    <w:pStyle w:val="Compact"/>
                    <w:jc w:val="center"/>
                    <w:jc w:val="center"/>
                  </w:pPr>
                  <w:r>
                    <w:t xml:space="preserve">2.02 [1.94, 2.11]</w:t>
                  </w:r>
                </w:p>
              </w:tc>
            </w:tr>
            <w:tr>
              <w:tc>
                <w:tcPr/>
                <w:p>
                  <w:pPr>
                    <w:pStyle w:val="Compact"/>
                    <w:jc w:val="center"/>
                    <w:jc w:val="center"/>
                  </w:pPr>
                  <w:r>
                    <w:t xml:space="preserve">10</w:t>
                  </w:r>
                </w:p>
              </w:tc>
              <w:tc>
                <w:tcPr/>
                <w:p>
                  <w:pPr>
                    <w:pStyle w:val="Compact"/>
                  </w:pPr>
                </w:p>
              </w:tc>
              <w:tc>
                <w:tcPr/>
                <w:p>
                  <w:pPr>
                    <w:pStyle w:val="Compact"/>
                  </w:pPr>
                </w:p>
              </w:tc>
              <w:tc>
                <w:tcPr/>
                <w:p>
                  <w:pPr>
                    <w:pStyle w:val="Compact"/>
                    <w:jc w:val="center"/>
                    <w:jc w:val="center"/>
                  </w:pPr>
                  <w:r>
                    <w:t xml:space="preserve">2.04 [1.95, 2.13]</w:t>
                  </w:r>
                </w:p>
              </w:tc>
              <w:tc>
                <w:tcPr/>
                <w:p>
                  <w:pPr>
                    <w:pStyle w:val="Compact"/>
                    <w:jc w:val="center"/>
                    <w:jc w:val="center"/>
                  </w:pPr>
                  <w:r>
                    <w:t xml:space="preserve">2.02 [1.94, 2.11]</w:t>
                  </w:r>
                </w:p>
              </w:tc>
            </w:tr>
            <w:tr>
              <w:tc>
                <w:tcPr/>
                <w:p>
                  <w:pPr>
                    <w:pStyle w:val="Compact"/>
                    <w:jc w:val="center"/>
                    <w:jc w:val="center"/>
                  </w:pPr>
                  <w:r>
                    <w:t xml:space="preserve">20</w:t>
                  </w:r>
                </w:p>
              </w:tc>
              <w:tc>
                <w:tcPr/>
                <w:p>
                  <w:pPr>
                    <w:pStyle w:val="Compact"/>
                  </w:pPr>
                </w:p>
              </w:tc>
              <w:tc>
                <w:tcPr/>
                <w:p>
                  <w:pPr>
                    <w:pStyle w:val="Compact"/>
                  </w:pPr>
                </w:p>
              </w:tc>
              <w:tc>
                <w:tcPr/>
                <w:p>
                  <w:pPr>
                    <w:pStyle w:val="Compact"/>
                    <w:jc w:val="center"/>
                    <w:jc w:val="center"/>
                  </w:pPr>
                  <w:r>
                    <w:t xml:space="preserve">2.04 [1.95, 2.12]</w:t>
                  </w:r>
                </w:p>
              </w:tc>
              <w:tc>
                <w:tcPr/>
                <w:p>
                  <w:pPr>
                    <w:pStyle w:val="Compact"/>
                    <w:jc w:val="center"/>
                    <w:jc w:val="center"/>
                  </w:pPr>
                  <w:r>
                    <w:t xml:space="preserve">2.02 [1.94, 2.10]</w:t>
                  </w:r>
                </w:p>
              </w:tc>
            </w:tr>
            <w:tr>
              <w:tc>
                <w:tcPr/>
                <w:p>
                  <w:pPr>
                    <w:pStyle w:val="Compact"/>
                    <w:jc w:val="center"/>
                    <w:jc w:val="center"/>
                  </w:pPr>
                  <w:r>
                    <w:t xml:space="preserve">30</w:t>
                  </w:r>
                </w:p>
              </w:tc>
              <w:tc>
                <w:tcPr/>
                <w:p>
                  <w:pPr>
                    <w:pStyle w:val="Compact"/>
                  </w:pPr>
                </w:p>
              </w:tc>
              <w:tc>
                <w:tcPr/>
                <w:p>
                  <w:pPr>
                    <w:pStyle w:val="Compact"/>
                  </w:pPr>
                </w:p>
              </w:tc>
              <w:tc>
                <w:tcPr/>
                <w:p>
                  <w:pPr>
                    <w:pStyle w:val="Compact"/>
                    <w:jc w:val="center"/>
                    <w:jc w:val="center"/>
                  </w:pPr>
                  <w:r>
                    <w:t xml:space="preserve">2.03 [1.94, 2.12]</w:t>
                  </w:r>
                </w:p>
              </w:tc>
              <w:tc>
                <w:tcPr/>
                <w:p>
                  <w:pPr>
                    <w:pStyle w:val="Compact"/>
                    <w:jc w:val="center"/>
                    <w:jc w:val="center"/>
                  </w:pPr>
                  <w:r>
                    <w:t xml:space="preserve">2.02 [1.94, 2.10]</w:t>
                  </w:r>
                </w:p>
              </w:tc>
            </w:tr>
            <w:tr>
              <w:tc>
                <w:tcPr/>
                <w:p>
                  <w:pPr>
                    <w:pStyle w:val="Compact"/>
                    <w:jc w:val="center"/>
                    <w:jc w:val="center"/>
                  </w:pPr>
                  <w:r>
                    <w:t xml:space="preserve">40</w:t>
                  </w:r>
                </w:p>
              </w:tc>
              <w:tc>
                <w:tcPr/>
                <w:p>
                  <w:pPr>
                    <w:pStyle w:val="Compact"/>
                    <w:jc w:val="center"/>
                    <w:jc w:val="center"/>
                  </w:pPr>
                  <w:r>
                    <w:t xml:space="preserve">2.45 [2.32, 2.57]</w:t>
                  </w:r>
                </w:p>
              </w:tc>
              <w:tc>
                <w:tcPr/>
                <w:p>
                  <w:pPr>
                    <w:pStyle w:val="Compact"/>
                    <w:jc w:val="center"/>
                    <w:jc w:val="center"/>
                  </w:pPr>
                  <w:r>
                    <w:t xml:space="preserve">2.54 [2.38, 2.70]</w:t>
                  </w:r>
                </w:p>
              </w:tc>
              <w:tc>
                <w:tcPr/>
                <w:p>
                  <w:pPr>
                    <w:pStyle w:val="Compact"/>
                    <w:jc w:val="center"/>
                    <w:jc w:val="center"/>
                  </w:pPr>
                  <w:r>
                    <w:t xml:space="preserve">2.03 [1.94, 2.12]</w:t>
                  </w:r>
                </w:p>
              </w:tc>
              <w:tc>
                <w:tcPr/>
                <w:p>
                  <w:pPr>
                    <w:pStyle w:val="Compact"/>
                    <w:jc w:val="center"/>
                    <w:jc w:val="center"/>
                  </w:pPr>
                  <w:r>
                    <w:t xml:space="preserve">2.02 [1.94, 2.10]</w:t>
                  </w:r>
                </w:p>
              </w:tc>
            </w:tr>
            <w:tr>
              <w:tc>
                <w:tcPr/>
                <w:p>
                  <w:pPr>
                    <w:pStyle w:val="Compact"/>
                    <w:jc w:val="center"/>
                    <w:jc w:val="center"/>
                  </w:pPr>
                  <w:r>
                    <w:t xml:space="preserve">50</w:t>
                  </w:r>
                </w:p>
              </w:tc>
              <w:tc>
                <w:tcPr/>
                <w:p>
                  <w:pPr>
                    <w:pStyle w:val="Compact"/>
                    <w:jc w:val="center"/>
                    <w:jc w:val="center"/>
                  </w:pPr>
                  <w:r>
                    <w:t xml:space="preserve">(independent</w:t>
                  </w:r>
                </w:p>
              </w:tc>
              <w:tc>
                <w:tcPr/>
                <w:p>
                  <w:pPr>
                    <w:pStyle w:val="Compact"/>
                    <w:jc w:val="center"/>
                    <w:jc w:val="center"/>
                  </w:pPr>
                  <w:r>
                    <w:t xml:space="preserve">(independent</w:t>
                  </w:r>
                </w:p>
              </w:tc>
              <w:tc>
                <w:tcPr/>
                <w:p>
                  <w:pPr>
                    <w:pStyle w:val="Compact"/>
                    <w:jc w:val="center"/>
                    <w:jc w:val="center"/>
                  </w:pPr>
                  <w:r>
                    <w:t xml:space="preserve">2.03 [1.94, 2.11]</w:t>
                  </w:r>
                </w:p>
              </w:tc>
              <w:tc>
                <w:tcPr/>
                <w:p>
                  <w:pPr>
                    <w:pStyle w:val="Compact"/>
                    <w:jc w:val="center"/>
                    <w:jc w:val="center"/>
                  </w:pPr>
                  <w:r>
                    <w:t xml:space="preserve">2.02 [1.93, 2.10]</w:t>
                  </w:r>
                </w:p>
              </w:tc>
            </w:tr>
            <w:tr>
              <w:tc>
                <w:tcPr/>
                <w:p>
                  <w:pPr>
                    <w:pStyle w:val="Compact"/>
                    <w:jc w:val="center"/>
                    <w:jc w:val="center"/>
                  </w:pPr>
                  <w:r>
                    <w:t xml:space="preserve">60</w:t>
                  </w:r>
                </w:p>
              </w:tc>
              <w:tc>
                <w:tcPr/>
                <w:p>
                  <w:pPr>
                    <w:pStyle w:val="Compact"/>
                    <w:jc w:val="center"/>
                    <w:jc w:val="center"/>
                  </w:pPr>
                  <w:r>
                    <w:t xml:space="preserve">of ratio)</w:t>
                  </w:r>
                </w:p>
              </w:tc>
              <w:tc>
                <w:tcPr/>
                <w:p>
                  <w:pPr>
                    <w:pStyle w:val="Compact"/>
                    <w:jc w:val="center"/>
                    <w:jc w:val="center"/>
                  </w:pPr>
                  <w:r>
                    <w:t xml:space="preserve">of ratio)</w:t>
                  </w:r>
                </w:p>
              </w:tc>
              <w:tc>
                <w:tcPr/>
                <w:p>
                  <w:pPr>
                    <w:pStyle w:val="Compact"/>
                    <w:jc w:val="center"/>
                    <w:jc w:val="center"/>
                  </w:pPr>
                  <w:r>
                    <w:t xml:space="preserve">2.02 [1.94, 2.11]</w:t>
                  </w:r>
                </w:p>
              </w:tc>
              <w:tc>
                <w:tcPr/>
                <w:p>
                  <w:pPr>
                    <w:pStyle w:val="Compact"/>
                    <w:jc w:val="center"/>
                    <w:jc w:val="center"/>
                  </w:pPr>
                  <w:r>
                    <w:t xml:space="preserve">2.02 [1.93, 2.10]</w:t>
                  </w:r>
                </w:p>
              </w:tc>
            </w:tr>
            <w:tr>
              <w:tc>
                <w:tcPr/>
                <w:p>
                  <w:pPr>
                    <w:pStyle w:val="Compact"/>
                    <w:jc w:val="center"/>
                    <w:jc w:val="center"/>
                  </w:pPr>
                  <w:r>
                    <w:t xml:space="preserve">70</w:t>
                  </w:r>
                </w:p>
              </w:tc>
              <w:tc>
                <w:tcPr/>
                <w:p>
                  <w:pPr>
                    <w:pStyle w:val="Compact"/>
                  </w:pPr>
                </w:p>
              </w:tc>
              <w:tc>
                <w:tcPr/>
                <w:p>
                  <w:pPr>
                    <w:pStyle w:val="Compact"/>
                  </w:pPr>
                </w:p>
              </w:tc>
              <w:tc>
                <w:tcPr/>
                <w:p>
                  <w:pPr>
                    <w:pStyle w:val="Compact"/>
                    <w:jc w:val="center"/>
                    <w:jc w:val="center"/>
                  </w:pPr>
                  <w:r>
                    <w:t xml:space="preserve">2.02 [1.93, 2.11]</w:t>
                  </w:r>
                </w:p>
              </w:tc>
              <w:tc>
                <w:tcPr/>
                <w:p>
                  <w:pPr>
                    <w:pStyle w:val="Compact"/>
                    <w:jc w:val="center"/>
                    <w:jc w:val="center"/>
                  </w:pPr>
                  <w:r>
                    <w:t xml:space="preserve">2.01 [1.93, 2.10]</w:t>
                  </w:r>
                </w:p>
              </w:tc>
            </w:tr>
            <w:tr>
              <w:tc>
                <w:tcPr/>
                <w:p>
                  <w:pPr>
                    <w:pStyle w:val="Compact"/>
                    <w:jc w:val="center"/>
                    <w:jc w:val="center"/>
                  </w:pPr>
                  <w:r>
                    <w:t xml:space="preserve">80</w:t>
                  </w:r>
                </w:p>
              </w:tc>
              <w:tc>
                <w:tcPr/>
                <w:p>
                  <w:pPr>
                    <w:pStyle w:val="Compact"/>
                  </w:pPr>
                </w:p>
              </w:tc>
              <w:tc>
                <w:tcPr/>
                <w:p>
                  <w:pPr>
                    <w:pStyle w:val="Compact"/>
                  </w:pPr>
                </w:p>
              </w:tc>
              <w:tc>
                <w:tcPr/>
                <w:p>
                  <w:pPr>
                    <w:pStyle w:val="Compact"/>
                    <w:jc w:val="center"/>
                    <w:jc w:val="center"/>
                  </w:pPr>
                  <w:r>
                    <w:t xml:space="preserve">2.02 [1.93, 2.11]</w:t>
                  </w:r>
                </w:p>
              </w:tc>
              <w:tc>
                <w:tcPr/>
                <w:p>
                  <w:pPr>
                    <w:pStyle w:val="Compact"/>
                    <w:jc w:val="center"/>
                    <w:jc w:val="center"/>
                  </w:pPr>
                  <w:r>
                    <w:t xml:space="preserve">2.01 [1.93, 2.10]</w:t>
                  </w:r>
                </w:p>
              </w:tc>
            </w:tr>
            <w:tr>
              <w:tc>
                <w:tcPr/>
                <w:p>
                  <w:pPr>
                    <w:pStyle w:val="Compact"/>
                    <w:jc w:val="center"/>
                    <w:jc w:val="center"/>
                  </w:pPr>
                  <w:r>
                    <w:t xml:space="preserve">90</w:t>
                  </w:r>
                </w:p>
              </w:tc>
              <w:tc>
                <w:tcPr/>
                <w:p>
                  <w:pPr>
                    <w:pStyle w:val="Compact"/>
                  </w:pPr>
                </w:p>
              </w:tc>
              <w:tc>
                <w:tcPr/>
                <w:p>
                  <w:pPr>
                    <w:pStyle w:val="Compact"/>
                  </w:pPr>
                </w:p>
              </w:tc>
              <w:tc>
                <w:tcPr/>
                <w:p>
                  <w:pPr>
                    <w:pStyle w:val="Compact"/>
                    <w:jc w:val="center"/>
                    <w:jc w:val="center"/>
                  </w:pPr>
                  <w:r>
                    <w:t xml:space="preserve">2.01 [1.92, 2.10]</w:t>
                  </w:r>
                </w:p>
              </w:tc>
              <w:tc>
                <w:tcPr/>
                <w:p>
                  <w:pPr>
                    <w:pStyle w:val="Compact"/>
                    <w:jc w:val="center"/>
                    <w:jc w:val="center"/>
                  </w:pPr>
                  <w:r>
                    <w:t xml:space="preserve">2.01 [1.93, 2.10]</w:t>
                  </w:r>
                </w:p>
              </w:tc>
            </w:tr>
            <w:tr>
              <w:tc>
                <w:tcPr/>
                <w:p>
                  <w:pPr>
                    <w:pStyle w:val="Compact"/>
                    <w:jc w:val="center"/>
                    <w:jc w:val="center"/>
                  </w:pPr>
                  <w:r>
                    <w:t xml:space="preserve">100</w:t>
                  </w:r>
                </w:p>
              </w:tc>
              <w:tc>
                <w:tcPr/>
                <w:p>
                  <w:pPr>
                    <w:pStyle w:val="Compact"/>
                  </w:pPr>
                </w:p>
              </w:tc>
              <w:tc>
                <w:tcPr/>
                <w:p>
                  <w:pPr>
                    <w:pStyle w:val="Compact"/>
                  </w:pPr>
                </w:p>
              </w:tc>
              <w:tc>
                <w:tcPr/>
                <w:p>
                  <w:pPr>
                    <w:pStyle w:val="Compact"/>
                    <w:jc w:val="center"/>
                    <w:jc w:val="center"/>
                  </w:pPr>
                  <w:r>
                    <w:t xml:space="preserve">2.01 [1.92, 2.10]</w:t>
                  </w:r>
                </w:p>
              </w:tc>
              <w:tc>
                <w:tcPr/>
                <w:p>
                  <w:pPr>
                    <w:pStyle w:val="Compact"/>
                    <w:jc w:val="center"/>
                    <w:jc w:val="center"/>
                  </w:pPr>
                  <w:r>
                    <w:t xml:space="preserve">2.01 [1.92, 2.10]</w:t>
                  </w:r>
                </w:p>
              </w:tc>
            </w:tr>
          </w:tbl>
          <w:bookmarkEnd w:id="20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05" w:name="tbl-study3-main-results2"/>
          <w:p>
            <w:pPr>
              <w:jc w:val="center"/>
            </w:pPr>
            <w:pPr>
              <w:jc w:val="left"/>
              <w:spacing w:before="200"/>
              <w:pStyle w:val="ImageCaption"/>
            </w:pPr>
            <w:r>
              <w:t xml:space="preserve">Table 4.13: Root mean squared errors with 95% CIs for the different models evaluated on Black participants.</w:t>
            </w:r>
          </w:p>
          <w:tbl>
            <w:tblPr>
              <w:tblStyle w:val="Table"/>
              <w:tblW w:type="pct" w:w="5000"/>
              <w:tblLayout w:type="fixed"/>
              <w:tblLook w:firstRow="1" w:lastRow="0" w:firstColumn="0" w:lastColumn="0" w:noHBand="0" w:noVBand="0" w:val="0020"/>
            </w:tblPr>
            <w:tblGrid>
              <w:gridCol w:w="950"/>
              <w:gridCol w:w="1742"/>
              <w:gridCol w:w="1742"/>
              <w:gridCol w:w="1742"/>
              <w:gridCol w:w="1742"/>
            </w:tblGrid>
            <w:tr>
              <w:trPr>
                <w:tblHeader w:val="on"/>
              </w:trPr>
              <w:tc>
                <w:tcPr/>
                <w:p>
                  <w:pPr>
                    <w:pStyle w:val="Compact"/>
                    <w:jc w:val="center"/>
                    <w:jc w:val="center"/>
                  </w:pPr>
                  <w:r>
                    <w:t xml:space="preserve">Ratio</w:t>
                  </w:r>
                </w:p>
              </w:tc>
              <w:tc>
                <w:tcPr/>
                <w:p>
                  <w:pPr>
                    <w:pStyle w:val="Compact"/>
                    <w:jc w:val="center"/>
                    <w:jc w:val="center"/>
                  </w:pPr>
                  <w:r>
                    <w:t xml:space="preserve">LOCF</w:t>
                  </w:r>
                </w:p>
              </w:tc>
              <w:tc>
                <w:tcPr/>
                <w:p>
                  <w:pPr>
                    <w:pStyle w:val="Compact"/>
                    <w:jc w:val="center"/>
                    <w:jc w:val="center"/>
                  </w:pPr>
                  <w:r>
                    <w:t xml:space="preserve">Base-Individual</w:t>
                  </w:r>
                </w:p>
              </w:tc>
              <w:tc>
                <w:tcPr/>
                <w:p>
                  <w:pPr>
                    <w:pStyle w:val="Compact"/>
                    <w:jc w:val="center"/>
                    <w:jc w:val="center"/>
                  </w:pPr>
                  <w:r>
                    <w:t xml:space="preserve">Base-Generalized</w:t>
                  </w:r>
                </w:p>
              </w:tc>
              <w:tc>
                <w:tcPr/>
                <w:p>
                  <w:pPr>
                    <w:pStyle w:val="Compact"/>
                    <w:jc w:val="center"/>
                    <w:jc w:val="center"/>
                  </w:pPr>
                  <w:r>
                    <w:t xml:space="preserve">Transfer Learned</w:t>
                  </w:r>
                </w:p>
              </w:tc>
            </w:tr>
            <w:tr>
              <w:tc>
                <w:tcPr/>
                <w:p>
                  <w:pPr>
                    <w:pStyle w:val="Compact"/>
                    <w:jc w:val="center"/>
                    <w:jc w:val="center"/>
                  </w:pPr>
                  <w:r>
                    <w:t xml:space="preserve">0</w:t>
                  </w:r>
                </w:p>
              </w:tc>
              <w:tc>
                <w:tcPr/>
                <w:p>
                  <w:pPr>
                    <w:pStyle w:val="Compact"/>
                  </w:pPr>
                </w:p>
              </w:tc>
              <w:tc>
                <w:tcPr/>
                <w:p>
                  <w:pPr>
                    <w:pStyle w:val="Compact"/>
                  </w:pPr>
                </w:p>
              </w:tc>
              <w:tc>
                <w:tcPr/>
                <w:p>
                  <w:pPr>
                    <w:pStyle w:val="Compact"/>
                    <w:jc w:val="center"/>
                    <w:jc w:val="center"/>
                  </w:pPr>
                  <w:r>
                    <w:t xml:space="preserve">2.05 [1.96, 2.14]</w:t>
                  </w:r>
                </w:p>
              </w:tc>
              <w:tc>
                <w:tcPr/>
                <w:p>
                  <w:pPr>
                    <w:pStyle w:val="Compact"/>
                    <w:jc w:val="center"/>
                    <w:jc w:val="center"/>
                  </w:pPr>
                  <w:r>
                    <w:t xml:space="preserve">2.00 [1.91, 2.08]</w:t>
                  </w:r>
                </w:p>
              </w:tc>
            </w:tr>
            <w:tr>
              <w:tc>
                <w:tcPr/>
                <w:p>
                  <w:pPr>
                    <w:pStyle w:val="Compact"/>
                    <w:jc w:val="center"/>
                    <w:jc w:val="center"/>
                  </w:pPr>
                  <w:r>
                    <w:t xml:space="preserve">10</w:t>
                  </w:r>
                </w:p>
              </w:tc>
              <w:tc>
                <w:tcPr/>
                <w:p>
                  <w:pPr>
                    <w:pStyle w:val="Compact"/>
                  </w:pPr>
                </w:p>
              </w:tc>
              <w:tc>
                <w:tcPr/>
                <w:p>
                  <w:pPr>
                    <w:pStyle w:val="Compact"/>
                  </w:pPr>
                </w:p>
              </w:tc>
              <w:tc>
                <w:tcPr/>
                <w:p>
                  <w:pPr>
                    <w:pStyle w:val="Compact"/>
                    <w:jc w:val="center"/>
                    <w:jc w:val="center"/>
                  </w:pPr>
                  <w:r>
                    <w:t xml:space="preserve">2.05 [1.96, 2.14]</w:t>
                  </w:r>
                </w:p>
              </w:tc>
              <w:tc>
                <w:tcPr/>
                <w:p>
                  <w:pPr>
                    <w:pStyle w:val="Compact"/>
                    <w:jc w:val="center"/>
                    <w:jc w:val="center"/>
                  </w:pPr>
                  <w:r>
                    <w:t xml:space="preserve">2.00 [1.91, 2.08]</w:t>
                  </w:r>
                </w:p>
              </w:tc>
            </w:tr>
            <w:tr>
              <w:tc>
                <w:tcPr/>
                <w:p>
                  <w:pPr>
                    <w:pStyle w:val="Compact"/>
                    <w:jc w:val="center"/>
                    <w:jc w:val="center"/>
                  </w:pPr>
                  <w:r>
                    <w:t xml:space="preserve">20</w:t>
                  </w:r>
                </w:p>
              </w:tc>
              <w:tc>
                <w:tcPr/>
                <w:p>
                  <w:pPr>
                    <w:pStyle w:val="Compact"/>
                  </w:pPr>
                </w:p>
              </w:tc>
              <w:tc>
                <w:tcPr/>
                <w:p>
                  <w:pPr>
                    <w:pStyle w:val="Compact"/>
                  </w:pPr>
                </w:p>
              </w:tc>
              <w:tc>
                <w:tcPr/>
                <w:p>
                  <w:pPr>
                    <w:pStyle w:val="Compact"/>
                    <w:jc w:val="center"/>
                    <w:jc w:val="center"/>
                  </w:pPr>
                  <w:r>
                    <w:t xml:space="preserve">2.05 [1.96, 2.14]</w:t>
                  </w:r>
                </w:p>
              </w:tc>
              <w:tc>
                <w:tcPr/>
                <w:p>
                  <w:pPr>
                    <w:pStyle w:val="Compact"/>
                    <w:jc w:val="center"/>
                    <w:jc w:val="center"/>
                  </w:pPr>
                  <w:r>
                    <w:t xml:space="preserve">2.00 [1.92, 2.08]</w:t>
                  </w:r>
                </w:p>
              </w:tc>
            </w:tr>
            <w:tr>
              <w:tc>
                <w:tcPr/>
                <w:p>
                  <w:pPr>
                    <w:pStyle w:val="Compact"/>
                    <w:jc w:val="center"/>
                    <w:jc w:val="center"/>
                  </w:pPr>
                  <w:r>
                    <w:t xml:space="preserve">30</w:t>
                  </w:r>
                </w:p>
              </w:tc>
              <w:tc>
                <w:tcPr/>
                <w:p>
                  <w:pPr>
                    <w:pStyle w:val="Compact"/>
                  </w:pPr>
                </w:p>
              </w:tc>
              <w:tc>
                <w:tcPr/>
                <w:p>
                  <w:pPr>
                    <w:pStyle w:val="Compact"/>
                  </w:pPr>
                </w:p>
              </w:tc>
              <w:tc>
                <w:tcPr/>
                <w:p>
                  <w:pPr>
                    <w:pStyle w:val="Compact"/>
                    <w:jc w:val="center"/>
                    <w:jc w:val="center"/>
                  </w:pPr>
                  <w:r>
                    <w:t xml:space="preserve">2.05 [1.97, 2.14]</w:t>
                  </w:r>
                </w:p>
              </w:tc>
              <w:tc>
                <w:tcPr/>
                <w:p>
                  <w:pPr>
                    <w:pStyle w:val="Compact"/>
                    <w:jc w:val="center"/>
                    <w:jc w:val="center"/>
                  </w:pPr>
                  <w:r>
                    <w:t xml:space="preserve">2.00 [1.92, 2.08]</w:t>
                  </w:r>
                </w:p>
              </w:tc>
            </w:tr>
            <w:tr>
              <w:tc>
                <w:tcPr/>
                <w:p>
                  <w:pPr>
                    <w:pStyle w:val="Compact"/>
                    <w:jc w:val="center"/>
                    <w:jc w:val="center"/>
                  </w:pPr>
                  <w:r>
                    <w:t xml:space="preserve">40</w:t>
                  </w:r>
                </w:p>
              </w:tc>
              <w:tc>
                <w:tcPr/>
                <w:p>
                  <w:pPr>
                    <w:pStyle w:val="Compact"/>
                    <w:jc w:val="center"/>
                    <w:jc w:val="center"/>
                  </w:pPr>
                  <w:r>
                    <w:t xml:space="preserve">2.41 [2.28, 2.53]</w:t>
                  </w:r>
                </w:p>
              </w:tc>
              <w:tc>
                <w:tcPr/>
                <w:p>
                  <w:pPr>
                    <w:pStyle w:val="Compact"/>
                    <w:jc w:val="center"/>
                    <w:jc w:val="center"/>
                  </w:pPr>
                  <w:r>
                    <w:t xml:space="preserve">2.63 [2.47, 2.79]</w:t>
                  </w:r>
                </w:p>
              </w:tc>
              <w:tc>
                <w:tcPr/>
                <w:p>
                  <w:pPr>
                    <w:pStyle w:val="Compact"/>
                    <w:jc w:val="center"/>
                    <w:jc w:val="center"/>
                  </w:pPr>
                  <w:r>
                    <w:t xml:space="preserve">2.05 [1.97, 2.14]</w:t>
                  </w:r>
                </w:p>
              </w:tc>
              <w:tc>
                <w:tcPr/>
                <w:p>
                  <w:pPr>
                    <w:pStyle w:val="Compact"/>
                    <w:jc w:val="center"/>
                    <w:jc w:val="center"/>
                  </w:pPr>
                  <w:r>
                    <w:t xml:space="preserve">2.00 [1.92, 2.08]</w:t>
                  </w:r>
                </w:p>
              </w:tc>
            </w:tr>
            <w:tr>
              <w:tc>
                <w:tcPr/>
                <w:p>
                  <w:pPr>
                    <w:pStyle w:val="Compact"/>
                    <w:jc w:val="center"/>
                    <w:jc w:val="center"/>
                  </w:pPr>
                  <w:r>
                    <w:t xml:space="preserve">50</w:t>
                  </w:r>
                </w:p>
              </w:tc>
              <w:tc>
                <w:tcPr/>
                <w:p>
                  <w:pPr>
                    <w:pStyle w:val="Compact"/>
                    <w:jc w:val="center"/>
                    <w:jc w:val="center"/>
                  </w:pPr>
                  <w:r>
                    <w:t xml:space="preserve">(independent</w:t>
                  </w:r>
                </w:p>
              </w:tc>
              <w:tc>
                <w:tcPr/>
                <w:p>
                  <w:pPr>
                    <w:pStyle w:val="Compact"/>
                    <w:jc w:val="center"/>
                    <w:jc w:val="center"/>
                  </w:pPr>
                  <w:r>
                    <w:t xml:space="preserve">(independent</w:t>
                  </w:r>
                </w:p>
              </w:tc>
              <w:tc>
                <w:tcPr/>
                <w:p>
                  <w:pPr>
                    <w:pStyle w:val="Compact"/>
                    <w:jc w:val="center"/>
                    <w:jc w:val="center"/>
                  </w:pPr>
                  <w:r>
                    <w:t xml:space="preserve">2.05 [1.97, 2.14]</w:t>
                  </w:r>
                </w:p>
              </w:tc>
              <w:tc>
                <w:tcPr/>
                <w:p>
                  <w:pPr>
                    <w:pStyle w:val="Compact"/>
                    <w:jc w:val="center"/>
                    <w:jc w:val="center"/>
                  </w:pPr>
                  <w:r>
                    <w:t xml:space="preserve">2.00 [1.92, 2.08]</w:t>
                  </w:r>
                </w:p>
              </w:tc>
            </w:tr>
            <w:tr>
              <w:tc>
                <w:tcPr/>
                <w:p>
                  <w:pPr>
                    <w:pStyle w:val="Compact"/>
                    <w:jc w:val="center"/>
                    <w:jc w:val="center"/>
                  </w:pPr>
                  <w:r>
                    <w:t xml:space="preserve">60</w:t>
                  </w:r>
                </w:p>
              </w:tc>
              <w:tc>
                <w:tcPr/>
                <w:p>
                  <w:pPr>
                    <w:pStyle w:val="Compact"/>
                    <w:jc w:val="center"/>
                    <w:jc w:val="center"/>
                  </w:pPr>
                  <w:r>
                    <w:t xml:space="preserve">of ratio)</w:t>
                  </w:r>
                </w:p>
              </w:tc>
              <w:tc>
                <w:tcPr/>
                <w:p>
                  <w:pPr>
                    <w:pStyle w:val="Compact"/>
                    <w:jc w:val="center"/>
                    <w:jc w:val="center"/>
                  </w:pPr>
                  <w:r>
                    <w:t xml:space="preserve">of ratio)</w:t>
                  </w:r>
                </w:p>
              </w:tc>
              <w:tc>
                <w:tcPr/>
                <w:p>
                  <w:pPr>
                    <w:pStyle w:val="Compact"/>
                    <w:jc w:val="center"/>
                    <w:jc w:val="center"/>
                  </w:pPr>
                  <w:r>
                    <w:t xml:space="preserve">2.06 [1.97, 2.14]</w:t>
                  </w:r>
                </w:p>
              </w:tc>
              <w:tc>
                <w:tcPr/>
                <w:p>
                  <w:pPr>
                    <w:pStyle w:val="Compact"/>
                    <w:jc w:val="center"/>
                    <w:jc w:val="center"/>
                  </w:pPr>
                  <w:r>
                    <w:t xml:space="preserve">2.00 [1.92, 2.08]</w:t>
                  </w:r>
                </w:p>
              </w:tc>
            </w:tr>
            <w:tr>
              <w:tc>
                <w:tcPr/>
                <w:p>
                  <w:pPr>
                    <w:pStyle w:val="Compact"/>
                    <w:jc w:val="center"/>
                    <w:jc w:val="center"/>
                  </w:pPr>
                  <w:r>
                    <w:t xml:space="preserve">70</w:t>
                  </w:r>
                </w:p>
              </w:tc>
              <w:tc>
                <w:tcPr/>
                <w:p>
                  <w:pPr>
                    <w:pStyle w:val="Compact"/>
                  </w:pPr>
                </w:p>
              </w:tc>
              <w:tc>
                <w:tcPr/>
                <w:p>
                  <w:pPr>
                    <w:pStyle w:val="Compact"/>
                  </w:pPr>
                </w:p>
              </w:tc>
              <w:tc>
                <w:tcPr/>
                <w:p>
                  <w:pPr>
                    <w:pStyle w:val="Compact"/>
                    <w:jc w:val="center"/>
                    <w:jc w:val="center"/>
                  </w:pPr>
                  <w:r>
                    <w:t xml:space="preserve">2.06 [1.97, 2.14]</w:t>
                  </w:r>
                </w:p>
              </w:tc>
              <w:tc>
                <w:tcPr/>
                <w:p>
                  <w:pPr>
                    <w:pStyle w:val="Compact"/>
                    <w:jc w:val="center"/>
                    <w:jc w:val="center"/>
                  </w:pPr>
                  <w:r>
                    <w:t xml:space="preserve">2.00 [1.92, 2.08]</w:t>
                  </w:r>
                </w:p>
              </w:tc>
            </w:tr>
            <w:tr>
              <w:tc>
                <w:tcPr/>
                <w:p>
                  <w:pPr>
                    <w:pStyle w:val="Compact"/>
                    <w:jc w:val="center"/>
                    <w:jc w:val="center"/>
                  </w:pPr>
                  <w:r>
                    <w:t xml:space="preserve">80</w:t>
                  </w:r>
                </w:p>
              </w:tc>
              <w:tc>
                <w:tcPr/>
                <w:p>
                  <w:pPr>
                    <w:pStyle w:val="Compact"/>
                  </w:pPr>
                </w:p>
              </w:tc>
              <w:tc>
                <w:tcPr/>
                <w:p>
                  <w:pPr>
                    <w:pStyle w:val="Compact"/>
                  </w:pPr>
                </w:p>
              </w:tc>
              <w:tc>
                <w:tcPr/>
                <w:p>
                  <w:pPr>
                    <w:pStyle w:val="Compact"/>
                    <w:jc w:val="center"/>
                    <w:jc w:val="center"/>
                  </w:pPr>
                  <w:r>
                    <w:t xml:space="preserve">2.06 [1.97, 2.14]</w:t>
                  </w:r>
                </w:p>
              </w:tc>
              <w:tc>
                <w:tcPr/>
                <w:p>
                  <w:pPr>
                    <w:pStyle w:val="Compact"/>
                    <w:jc w:val="center"/>
                    <w:jc w:val="center"/>
                  </w:pPr>
                  <w:r>
                    <w:t xml:space="preserve">2.00 [1.92, 2.09]</w:t>
                  </w:r>
                </w:p>
              </w:tc>
            </w:tr>
            <w:tr>
              <w:tc>
                <w:tcPr/>
                <w:p>
                  <w:pPr>
                    <w:pStyle w:val="Compact"/>
                    <w:jc w:val="center"/>
                    <w:jc w:val="center"/>
                  </w:pPr>
                  <w:r>
                    <w:t xml:space="preserve">90</w:t>
                  </w:r>
                </w:p>
              </w:tc>
              <w:tc>
                <w:tcPr/>
                <w:p>
                  <w:pPr>
                    <w:pStyle w:val="Compact"/>
                  </w:pPr>
                </w:p>
              </w:tc>
              <w:tc>
                <w:tcPr/>
                <w:p>
                  <w:pPr>
                    <w:pStyle w:val="Compact"/>
                  </w:pPr>
                </w:p>
              </w:tc>
              <w:tc>
                <w:tcPr/>
                <w:p>
                  <w:pPr>
                    <w:pStyle w:val="Compact"/>
                    <w:jc w:val="center"/>
                    <w:jc w:val="center"/>
                  </w:pPr>
                  <w:r>
                    <w:t xml:space="preserve">2.06 [1.97, 2.15]</w:t>
                  </w:r>
                </w:p>
              </w:tc>
              <w:tc>
                <w:tcPr/>
                <w:p>
                  <w:pPr>
                    <w:pStyle w:val="Compact"/>
                    <w:jc w:val="center"/>
                    <w:jc w:val="center"/>
                  </w:pPr>
                  <w:r>
                    <w:t xml:space="preserve">2.00 [1.92, 2.09]</w:t>
                  </w:r>
                </w:p>
              </w:tc>
            </w:tr>
            <w:tr>
              <w:tc>
                <w:tcPr/>
                <w:p>
                  <w:pPr>
                    <w:pStyle w:val="Compact"/>
                    <w:jc w:val="center"/>
                    <w:jc w:val="center"/>
                  </w:pPr>
                  <w:r>
                    <w:t xml:space="preserve">100</w:t>
                  </w:r>
                </w:p>
              </w:tc>
              <w:tc>
                <w:tcPr/>
                <w:p>
                  <w:pPr>
                    <w:pStyle w:val="Compact"/>
                  </w:pPr>
                </w:p>
              </w:tc>
              <w:tc>
                <w:tcPr/>
                <w:p>
                  <w:pPr>
                    <w:pStyle w:val="Compact"/>
                  </w:pPr>
                </w:p>
              </w:tc>
              <w:tc>
                <w:tcPr/>
                <w:p>
                  <w:pPr>
                    <w:pStyle w:val="Compact"/>
                    <w:jc w:val="center"/>
                    <w:jc w:val="center"/>
                  </w:pPr>
                  <w:r>
                    <w:t xml:space="preserve">2.06 [1.97, 2.15]</w:t>
                  </w:r>
                </w:p>
              </w:tc>
              <w:tc>
                <w:tcPr/>
                <w:p>
                  <w:pPr>
                    <w:pStyle w:val="Compact"/>
                    <w:jc w:val="center"/>
                    <w:jc w:val="center"/>
                  </w:pPr>
                  <w:r>
                    <w:t xml:space="preserve">2.00 [1.92, 2.09]</w:t>
                  </w:r>
                </w:p>
              </w:tc>
            </w:tr>
          </w:tbl>
          <w:bookmarkEnd w:id="205"/>
          <w:p/>
        </w:tc>
      </w:tr>
    </w:tbl>
    <w:p>
      <w:pPr>
        <w:pStyle w:val="BodyText"/>
      </w:pPr>
      <w:r>
        <w:t xml:space="preserve">For the Base-Generalized models, prediction performance gradually diverged between White and Black participants as the proportion of White participants in the training data increased (</w:t>
      </w:r>
      <w:hyperlink w:anchor="fig-lmem-results">
        <w:r>
          <w:rPr>
            <w:rStyle w:val="Hyperlink"/>
          </w:rPr>
          <w:t xml:space="preserve">Figure 4.8</w:t>
        </w:r>
      </w:hyperlink>
      <w:r>
        <w:t xml:space="preserve">). For example, when the training data changed from 0% to 100% White participants, the difference in RMSE between the racial groups increased by 0.04 mmol/L [95% CI: 0.001 to 0.008],</w:t>
      </w:r>
      <w:r>
        <w:t xml:space="preserve"> </w:t>
      </w:r>
      <m:oMath>
        <m:r>
          <m:t>p</m:t>
        </m:r>
      </m:oMath>
      <w:r>
        <w:t xml:space="preserve">=0.02, indicating that training data composition affected the two groups differently (</w:t>
      </w:r>
      <w:hyperlink w:anchor="tbl-general-model-coefficients">
        <w:r>
          <w:rPr>
            <w:rStyle w:val="Hyperlink"/>
          </w:rPr>
          <w:t xml:space="preserve">Table 4.14</w:t>
        </w:r>
      </w:hyperlink>
      <w:r>
        <w:t xml:space="preserve">). This divergence was not observed after transfer learning (0.002 mmol/L[95% CI: -0.001 to 0.005],</w:t>
      </w:r>
      <w:r>
        <w:t xml:space="preserve"> </w:t>
      </w:r>
      <m:oMath>
        <m:r>
          <m:t>p</m:t>
        </m:r>
      </m:oMath>
      <w:r>
        <w:t xml:space="preserve">=0.20) (</w:t>
      </w:r>
      <w:hyperlink w:anchor="tbl-transferlearned-coefficients">
        <w:r>
          <w:rPr>
            <w:rStyle w:val="Hyperlink"/>
          </w:rPr>
          <w:t xml:space="preserve">Table 4.15</w:t>
        </w:r>
      </w:hyperlink>
      <w:r>
        <w:t xml:space="preserve">).</w:t>
      </w:r>
      <w:r>
        <w:t xml:space="preserve"> </w:t>
      </w:r>
      <w:r>
        <w:t xml:space="preserve">A statistically significant differences were however found in both the Base-Generalized and the Transfer Learned models for age groups (</w:t>
      </w:r>
      <w:hyperlink w:anchor="tbl-general-model-coefficients">
        <w:r>
          <w:rPr>
            <w:rStyle w:val="Hyperlink"/>
          </w:rPr>
          <w:t xml:space="preserve">Table 4.14</w:t>
        </w:r>
      </w:hyperlink>
      <w:r>
        <w:t xml:space="preserve">: 0.482 [0.355 to 0.610],</w:t>
      </w:r>
      <w:r>
        <w:t xml:space="preserve"> </w:t>
      </w:r>
      <m:oMath>
        <m:r>
          <m:t>p</m:t>
        </m:r>
      </m:oMath>
      <w:r>
        <w:t xml:space="preserve"> &lt; 0.001 and</w:t>
      </w:r>
      <w:r>
        <w:t xml:space="preserve"> </w:t>
      </w:r>
      <w:hyperlink w:anchor="tbl-transferlearned-coefficients">
        <w:r>
          <w:rPr>
            <w:rStyle w:val="Hyperlink"/>
          </w:rPr>
          <w:t xml:space="preserve">Table 4.15</w:t>
        </w:r>
      </w:hyperlink>
      <w:r>
        <w:t xml:space="preserve">: 0.411 [0.290 to 0.533],</w:t>
      </w:r>
      <w:r>
        <w:t xml:space="preserve"> </w:t>
      </w:r>
      <m:oMath>
        <m:r>
          <m:t>p</m:t>
        </m:r>
      </m:oMath>
      <w:r>
        <w:t xml:space="preserve"> &lt; 0.001). The differences in age groups showed a lower error when forecasting blood glucose values for adults compared to children.</w:t>
      </w:r>
      <w:r>
        <w:t xml:space="preserve"> </w:t>
      </w:r>
      <w:r>
        <w:t xml:space="preserve">Larger sample sizes available for transfer learning were associated with lower prediction error (</w:t>
      </w:r>
      <m:oMath>
        <m:r>
          <m:t>β</m:t>
        </m:r>
      </m:oMath>
      <w:r>
        <w:t xml:space="preserve"> </w:t>
      </w:r>
      <w:r>
        <w:t xml:space="preserve">= -0.111 mmol/L [-0.161 to -0.061] mmol/L,</w:t>
      </w:r>
      <w:r>
        <w:t xml:space="preserve"> </w:t>
      </w:r>
      <m:oMath>
        <m:r>
          <m:t>p</m:t>
        </m:r>
      </m:oMath>
      <w:r>
        <w:t xml:space="preserve"> &lt; 0.001) for every additional 1,000 samples used for fine-tuning (</w:t>
      </w:r>
      <w:hyperlink w:anchor="tbl-transferlearned-coefficients">
        <w:r>
          <w:rPr>
            <w:rStyle w:val="Hyperlink"/>
          </w:rPr>
          <w:t xml:space="preserve">Table 4.15</w:t>
        </w:r>
      </w:hyperlink>
      <w:r>
        <w:t xml:space="preserve">).</w:t>
      </w:r>
      <w:r>
        <w:t xml:space="preserve"> </w:t>
      </w:r>
      <w:r>
        <w:t xml:space="preserve">In contrast, the size of the dataset used to train the Base-Generalized model was not significantly associated with prediction error, suggesting that increasing the amount of training data did not meaningfully change RMSE in this analyzis.</w:t>
      </w:r>
    </w:p>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06" w:name="tbl-general-model-coefficients"/>
          <w:p>
            <w:pPr>
              <w:jc w:val="center"/>
            </w:pPr>
            <w:pPr>
              <w:jc w:val="left"/>
              <w:spacing w:before="200"/>
              <w:pStyle w:val="ImageCaption"/>
            </w:pPr>
            <w:r>
              <w:t xml:space="preserve">Table 4.14: Model coefficients from linear mixed effects models for root mean squared errors of the Base-Generalized models.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Predictor</w:t>
                  </w:r>
                </w:p>
              </w:tc>
              <w:tc>
                <w:tcPr/>
                <w:p>
                  <w:pPr>
                    <w:pStyle w:val="Compact"/>
                    <w:jc w:val="left"/>
                    <w:jc w:val="center"/>
                  </w:pPr>
                  <w:r>
                    <w:t xml:space="preserve">Coefficient</w:t>
                  </w:r>
                </w:p>
              </w:tc>
              <w:tc>
                <w:tcPr/>
                <w:p>
                  <w:pPr>
                    <w:pStyle w:val="Compact"/>
                    <w:jc w:val="left"/>
                    <w:jc w:val="center"/>
                  </w:pPr>
                  <w:r>
                    <w:t xml:space="preserve">95% CI</w:t>
                  </w:r>
                </w:p>
              </w:tc>
              <w:tc>
                <w:tcPr/>
                <w:p>
                  <w:pPr>
                    <w:pStyle w:val="Compact"/>
                    <w:jc w:val="left"/>
                    <w:jc w:val="center"/>
                  </w:pPr>
                  <m:oMath>
                    <m:r>
                      <m:t>p</m:t>
                    </m:r>
                  </m:oMath>
                  <w:r>
                    <w:t xml:space="preserve">-value</w:t>
                  </w:r>
                </w:p>
              </w:tc>
            </w:tr>
            <w:tr>
              <w:tc>
                <w:tcPr/>
                <w:p>
                  <w:pPr>
                    <w:pStyle w:val="Compact"/>
                    <w:jc w:val="left"/>
                    <w:jc w:val="center"/>
                  </w:pPr>
                  <w:r>
                    <w:t xml:space="preserve">Intercept</w:t>
                  </w:r>
                </w:p>
              </w:tc>
              <w:tc>
                <w:tcPr/>
                <w:p>
                  <w:pPr>
                    <w:pStyle w:val="Compact"/>
                    <w:jc w:val="left"/>
                    <w:jc w:val="center"/>
                  </w:pPr>
                  <w:r>
                    <w:t xml:space="preserve">1.893</w:t>
                  </w:r>
                </w:p>
              </w:tc>
              <w:tc>
                <w:tcPr/>
                <w:p>
                  <w:pPr>
                    <w:pStyle w:val="Compact"/>
                    <w:jc w:val="left"/>
                    <w:jc w:val="center"/>
                  </w:pPr>
                  <w:r>
                    <w:t xml:space="preserve">[ 1.762, 2.024]</w:t>
                  </w:r>
                </w:p>
              </w:tc>
              <w:tc>
                <w:tcPr/>
                <w:p>
                  <w:pPr>
                    <w:pStyle w:val="Compact"/>
                    <w:jc w:val="left"/>
                    <w:jc w:val="center"/>
                  </w:pPr>
                  <w:r>
                    <w:t xml:space="preserve">&lt;0.001</w:t>
                  </w:r>
                </w:p>
              </w:tc>
            </w:tr>
            <w:tr>
              <w:tc>
                <w:tcPr/>
                <w:p>
                  <w:pPr>
                    <w:pStyle w:val="Compact"/>
                    <w:jc w:val="left"/>
                    <w:jc w:val="center"/>
                  </w:pPr>
                  <w:r>
                    <w:rPr>
                      <w:b/>
                      <w:bCs/>
                    </w:rPr>
                    <w:t xml:space="preserve">Race</w:t>
                  </w:r>
                </w:p>
              </w:tc>
              <w:tc>
                <w:tcPr/>
                <w:p>
                  <w:pPr>
                    <w:pStyle w:val="Compact"/>
                  </w:pPr>
                </w:p>
              </w:tc>
              <w:tc>
                <w:tcPr/>
                <w:p>
                  <w:pPr>
                    <w:pStyle w:val="Compact"/>
                  </w:pPr>
                </w:p>
              </w:tc>
              <w:tc>
                <w:tcPr/>
                <w:p>
                  <w:pPr>
                    <w:pStyle w:val="Compact"/>
                  </w:pPr>
                </w:p>
              </w:tc>
            </w:tr>
            <w:tr>
              <w:tc>
                <w:tcPr/>
                <w:p>
                  <w:pPr>
                    <w:pStyle w:val="Compact"/>
                    <w:jc w:val="left"/>
                    <w:jc w:val="center"/>
                  </w:pPr>
                  <w:r>
                    <w:t xml:space="preserve">     White</w:t>
                  </w:r>
                </w:p>
              </w:tc>
              <w:tc>
                <w:tcPr/>
                <w:p>
                  <w:pPr>
                    <w:pStyle w:val="Compact"/>
                    <w:jc w:val="left"/>
                    <w:jc w:val="center"/>
                  </w:pPr>
                  <w:r>
                    <w:t xml:space="preserve">Reference</w:t>
                  </w:r>
                </w:p>
              </w:tc>
              <w:tc>
                <w:tcPr/>
                <w:p>
                  <w:pPr>
                    <w:pStyle w:val="Compact"/>
                  </w:pPr>
                </w:p>
              </w:tc>
              <w:tc>
                <w:tcPr/>
                <w:p>
                  <w:pPr>
                    <w:pStyle w:val="Compact"/>
                  </w:pPr>
                </w:p>
              </w:tc>
            </w:tr>
            <w:tr>
              <w:tc>
                <w:tcPr/>
                <w:p>
                  <w:pPr>
                    <w:pStyle w:val="Compact"/>
                    <w:jc w:val="left"/>
                    <w:jc w:val="center"/>
                  </w:pPr>
                  <w:r>
                    <w:t xml:space="preserve">     Black</w:t>
                  </w:r>
                </w:p>
              </w:tc>
              <w:tc>
                <w:tcPr/>
                <w:p>
                  <w:pPr>
                    <w:pStyle w:val="Compact"/>
                    <w:jc w:val="left"/>
                    <w:jc w:val="center"/>
                  </w:pPr>
                  <w:r>
                    <w:t xml:space="preserve">0.007</w:t>
                  </w:r>
                </w:p>
              </w:tc>
              <w:tc>
                <w:tcPr/>
                <w:p>
                  <w:pPr>
                    <w:pStyle w:val="Compact"/>
                    <w:jc w:val="left"/>
                    <w:jc w:val="center"/>
                  </w:pPr>
                  <w:r>
                    <w:t xml:space="preserve">[-0.118, 0.132]</w:t>
                  </w:r>
                </w:p>
              </w:tc>
              <w:tc>
                <w:tcPr/>
                <w:p>
                  <w:pPr>
                    <w:pStyle w:val="Compact"/>
                    <w:jc w:val="left"/>
                    <w:jc w:val="center"/>
                  </w:pPr>
                  <w:r>
                    <w:t xml:space="preserve">0.91</w:t>
                  </w:r>
                </w:p>
              </w:tc>
            </w:tr>
            <w:tr>
              <w:tc>
                <w:tcPr/>
                <w:p>
                  <w:pPr>
                    <w:pStyle w:val="Compact"/>
                    <w:jc w:val="left"/>
                    <w:jc w:val="center"/>
                  </w:pPr>
                  <w:r>
                    <w:rPr>
                      <w:b/>
                      <w:bCs/>
                    </w:rPr>
                    <w:t xml:space="preserve">Age</w:t>
                  </w:r>
                </w:p>
              </w:tc>
              <w:tc>
                <w:tcPr/>
                <w:p>
                  <w:pPr>
                    <w:pStyle w:val="Compact"/>
                  </w:pPr>
                </w:p>
              </w:tc>
              <w:tc>
                <w:tcPr/>
                <w:p>
                  <w:pPr>
                    <w:pStyle w:val="Compact"/>
                  </w:pPr>
                </w:p>
              </w:tc>
              <w:tc>
                <w:tcPr/>
                <w:p>
                  <w:pPr>
                    <w:pStyle w:val="Compact"/>
                  </w:pPr>
                </w:p>
              </w:tc>
            </w:tr>
            <w:tr>
              <w:tc>
                <w:tcPr/>
                <w:p>
                  <w:pPr>
                    <w:pStyle w:val="Compact"/>
                    <w:jc w:val="left"/>
                    <w:jc w:val="center"/>
                  </w:pPr>
                  <w:r>
                    <w:t xml:space="preserve">     Adult</w:t>
                  </w:r>
                </w:p>
              </w:tc>
              <w:tc>
                <w:tcPr/>
                <w:p>
                  <w:pPr>
                    <w:pStyle w:val="Compact"/>
                    <w:jc w:val="left"/>
                    <w:jc w:val="center"/>
                  </w:pPr>
                  <w:r>
                    <w:t xml:space="preserve">Reference</w:t>
                  </w:r>
                </w:p>
              </w:tc>
              <w:tc>
                <w:tcPr/>
                <w:p>
                  <w:pPr>
                    <w:pStyle w:val="Compact"/>
                  </w:pPr>
                </w:p>
              </w:tc>
              <w:tc>
                <w:tcPr/>
                <w:p>
                  <w:pPr>
                    <w:pStyle w:val="Compact"/>
                  </w:pPr>
                </w:p>
              </w:tc>
            </w:tr>
            <w:tr>
              <w:tc>
                <w:tcPr/>
                <w:p>
                  <w:pPr>
                    <w:pStyle w:val="Compact"/>
                    <w:jc w:val="left"/>
                    <w:jc w:val="center"/>
                  </w:pPr>
                  <w:r>
                    <w:t xml:space="preserve">     Child</w:t>
                  </w:r>
                </w:p>
              </w:tc>
              <w:tc>
                <w:tcPr/>
                <w:p>
                  <w:pPr>
                    <w:pStyle w:val="Compact"/>
                    <w:jc w:val="left"/>
                    <w:jc w:val="center"/>
                  </w:pPr>
                  <w:r>
                    <w:t xml:space="preserve">0.482</w:t>
                  </w:r>
                </w:p>
              </w:tc>
              <w:tc>
                <w:tcPr/>
                <w:p>
                  <w:pPr>
                    <w:pStyle w:val="Compact"/>
                    <w:jc w:val="left"/>
                    <w:jc w:val="center"/>
                  </w:pPr>
                  <w:r>
                    <w:t xml:space="preserve">[ 0.355, 0.610]</w:t>
                  </w:r>
                </w:p>
              </w:tc>
              <w:tc>
                <w:tcPr/>
                <w:p>
                  <w:pPr>
                    <w:pStyle w:val="Compact"/>
                    <w:jc w:val="left"/>
                    <w:jc w:val="center"/>
                  </w:pPr>
                  <w:r>
                    <w:t xml:space="preserve">&lt;0.001</w:t>
                  </w:r>
                </w:p>
              </w:tc>
            </w:tr>
            <w:tr>
              <w:tc>
                <w:tcPr/>
                <w:p>
                  <w:pPr>
                    <w:pStyle w:val="Compact"/>
                    <w:jc w:val="left"/>
                    <w:jc w:val="center"/>
                  </w:pPr>
                  <w:r>
                    <w:rPr>
                      <w:b/>
                      <w:bCs/>
                    </w:rPr>
                    <w:t xml:space="preserve">Sex</w:t>
                  </w:r>
                </w:p>
              </w:tc>
              <w:tc>
                <w:tcPr/>
                <w:p>
                  <w:pPr>
                    <w:pStyle w:val="Compact"/>
                  </w:pPr>
                </w:p>
              </w:tc>
              <w:tc>
                <w:tcPr/>
                <w:p>
                  <w:pPr>
                    <w:pStyle w:val="Compact"/>
                  </w:pPr>
                </w:p>
              </w:tc>
              <w:tc>
                <w:tcPr/>
                <w:p>
                  <w:pPr>
                    <w:pStyle w:val="Compact"/>
                  </w:pPr>
                </w:p>
              </w:tc>
            </w:tr>
            <w:tr>
              <w:tc>
                <w:tcPr/>
                <w:p>
                  <w:pPr>
                    <w:pStyle w:val="Compact"/>
                    <w:jc w:val="left"/>
                    <w:jc w:val="center"/>
                  </w:pPr>
                  <w:r>
                    <w:t xml:space="preserve">     Male</w:t>
                  </w:r>
                </w:p>
              </w:tc>
              <w:tc>
                <w:tcPr/>
                <w:p>
                  <w:pPr>
                    <w:pStyle w:val="Compact"/>
                    <w:jc w:val="left"/>
                    <w:jc w:val="center"/>
                  </w:pPr>
                  <w:r>
                    <w:t xml:space="preserve">Reference</w:t>
                  </w:r>
                </w:p>
              </w:tc>
              <w:tc>
                <w:tcPr/>
                <w:p>
                  <w:pPr>
                    <w:pStyle w:val="Compact"/>
                  </w:pPr>
                </w:p>
              </w:tc>
              <w:tc>
                <w:tcPr/>
                <w:p>
                  <w:pPr>
                    <w:pStyle w:val="Compact"/>
                  </w:pPr>
                </w:p>
              </w:tc>
            </w:tr>
            <w:tr>
              <w:tc>
                <w:tcPr/>
                <w:p>
                  <w:pPr>
                    <w:pStyle w:val="Compact"/>
                    <w:jc w:val="left"/>
                    <w:jc w:val="center"/>
                  </w:pPr>
                  <w:r>
                    <w:t xml:space="preserve">     Female</w:t>
                  </w:r>
                </w:p>
              </w:tc>
              <w:tc>
                <w:tcPr/>
                <w:p>
                  <w:pPr>
                    <w:pStyle w:val="Compact"/>
                    <w:jc w:val="left"/>
                    <w:jc w:val="center"/>
                  </w:pPr>
                  <w:r>
                    <w:t xml:space="preserve">-0.076</w:t>
                  </w:r>
                </w:p>
              </w:tc>
              <w:tc>
                <w:tcPr/>
                <w:p>
                  <w:pPr>
                    <w:pStyle w:val="Compact"/>
                    <w:jc w:val="left"/>
                    <w:jc w:val="center"/>
                  </w:pPr>
                  <w:r>
                    <w:t xml:space="preserve">[-0.201, 0.048]</w:t>
                  </w:r>
                </w:p>
              </w:tc>
              <w:tc>
                <w:tcPr/>
                <w:p>
                  <w:pPr>
                    <w:pStyle w:val="Compact"/>
                    <w:jc w:val="left"/>
                    <w:jc w:val="center"/>
                  </w:pPr>
                  <w:r>
                    <w:t xml:space="preserve">0.23</w:t>
                  </w:r>
                </w:p>
              </w:tc>
            </w:tr>
            <w:tr>
              <w:tc>
                <w:tcPr/>
                <w:p>
                  <w:pPr>
                    <w:pStyle w:val="Compact"/>
                    <w:jc w:val="left"/>
                    <w:jc w:val="center"/>
                  </w:pPr>
                  <w:r>
                    <w:t xml:space="preserve">Training size Base-Generalized*</w:t>
                  </w:r>
                </w:p>
              </w:tc>
              <w:tc>
                <w:tcPr/>
                <w:p>
                  <w:pPr>
                    <w:pStyle w:val="Compact"/>
                    <w:jc w:val="left"/>
                    <w:jc w:val="center"/>
                  </w:pPr>
                  <w:r>
                    <w:t xml:space="preserve">0.019</w:t>
                  </w:r>
                </w:p>
              </w:tc>
              <w:tc>
                <w:tcPr/>
                <w:p>
                  <w:pPr>
                    <w:pStyle w:val="Compact"/>
                    <w:jc w:val="left"/>
                    <w:jc w:val="center"/>
                  </w:pPr>
                  <w:r>
                    <w:t xml:space="preserve">[-0.055, 0.093]</w:t>
                  </w:r>
                </w:p>
              </w:tc>
              <w:tc>
                <w:tcPr/>
                <w:p>
                  <w:pPr>
                    <w:pStyle w:val="Compact"/>
                    <w:jc w:val="left"/>
                    <w:jc w:val="center"/>
                  </w:pPr>
                  <w:r>
                    <w:t xml:space="preserve">0.62</w:t>
                  </w:r>
                </w:p>
              </w:tc>
            </w:tr>
            <w:tr>
              <w:tc>
                <w:tcPr/>
                <w:p>
                  <w:pPr>
                    <w:pStyle w:val="Compact"/>
                    <w:jc w:val="left"/>
                    <w:jc w:val="center"/>
                  </w:pPr>
                  <w:r>
                    <w:t xml:space="preserve">Ratio (per 10%)</w:t>
                  </w:r>
                </w:p>
              </w:tc>
              <w:tc>
                <w:tcPr/>
                <w:p>
                  <w:pPr>
                    <w:pStyle w:val="Compact"/>
                    <w:jc w:val="left"/>
                    <w:jc w:val="center"/>
                  </w:pPr>
                  <w:r>
                    <w:t xml:space="preserve">-0.003</w:t>
                  </w:r>
                </w:p>
              </w:tc>
              <w:tc>
                <w:tcPr/>
                <w:p>
                  <w:pPr>
                    <w:pStyle w:val="Compact"/>
                    <w:jc w:val="left"/>
                    <w:jc w:val="center"/>
                  </w:pPr>
                  <w:r>
                    <w:t xml:space="preserve">[-0.007, 0.001]</w:t>
                  </w:r>
                </w:p>
              </w:tc>
              <w:tc>
                <w:tcPr/>
                <w:p>
                  <w:pPr>
                    <w:pStyle w:val="Compact"/>
                    <w:jc w:val="left"/>
                    <w:jc w:val="center"/>
                  </w:pPr>
                  <w:r>
                    <w:t xml:space="preserve">0.12</w:t>
                  </w:r>
                </w:p>
              </w:tc>
            </w:tr>
            <w:tr>
              <w:tc>
                <w:tcPr/>
                <w:p>
                  <w:pPr>
                    <w:pStyle w:val="Compact"/>
                    <w:jc w:val="left"/>
                    <w:jc w:val="center"/>
                  </w:pPr>
                  <w:r>
                    <w:t xml:space="preserve">Ratio · Race</w:t>
                  </w:r>
                </w:p>
              </w:tc>
              <w:tc>
                <w:tcPr/>
                <w:p>
                  <w:pPr>
                    <w:pStyle w:val="Compact"/>
                    <w:jc w:val="left"/>
                    <w:jc w:val="center"/>
                  </w:pPr>
                  <w:r>
                    <w:t xml:space="preserve">0.004</w:t>
                  </w:r>
                </w:p>
              </w:tc>
              <w:tc>
                <w:tcPr/>
                <w:p>
                  <w:pPr>
                    <w:pStyle w:val="Compact"/>
                    <w:jc w:val="left"/>
                    <w:jc w:val="center"/>
                  </w:pPr>
                  <w:r>
                    <w:t xml:space="preserve">[0.001, 0.008]</w:t>
                  </w:r>
                </w:p>
              </w:tc>
              <w:tc>
                <w:tcPr/>
                <w:p>
                  <w:pPr>
                    <w:pStyle w:val="Compact"/>
                    <w:jc w:val="left"/>
                    <w:jc w:val="center"/>
                  </w:pPr>
                  <w:r>
                    <w:t xml:space="preserve">0.02</w:t>
                  </w:r>
                </w:p>
              </w:tc>
            </w:tr>
          </w:tbl>
          <w:bookmarkEnd w:id="20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07" w:name="tbl-transferlearned-coefficients"/>
          <w:p>
            <w:pPr>
              <w:jc w:val="center"/>
            </w:pPr>
            <w:pPr>
              <w:jc w:val="left"/>
              <w:spacing w:before="200"/>
              <w:pStyle w:val="ImageCaption"/>
            </w:pPr>
            <w:r>
              <w:t xml:space="preserve">Table 4.15: Model coefficients from linear mixed effects models for root mean squared errors of the Transfer Learned models.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Predictor</w:t>
                  </w:r>
                </w:p>
              </w:tc>
              <w:tc>
                <w:tcPr/>
                <w:p>
                  <w:pPr>
                    <w:pStyle w:val="Compact"/>
                    <w:jc w:val="left"/>
                    <w:jc w:val="center"/>
                  </w:pPr>
                  <w:r>
                    <w:t xml:space="preserve">Coefficient</w:t>
                  </w:r>
                </w:p>
              </w:tc>
              <w:tc>
                <w:tcPr/>
                <w:p>
                  <w:pPr>
                    <w:pStyle w:val="Compact"/>
                    <w:jc w:val="left"/>
                    <w:jc w:val="center"/>
                  </w:pPr>
                  <w:r>
                    <w:t xml:space="preserve">95% CI</w:t>
                  </w:r>
                </w:p>
              </w:tc>
              <w:tc>
                <w:tcPr/>
                <w:p>
                  <w:pPr>
                    <w:pStyle w:val="Compact"/>
                    <w:jc w:val="left"/>
                    <w:jc w:val="center"/>
                  </w:pPr>
                  <m:oMath>
                    <m:r>
                      <m:t>p</m:t>
                    </m:r>
                  </m:oMath>
                  <w:r>
                    <w:t xml:space="preserve">-value</w:t>
                  </w:r>
                </w:p>
              </w:tc>
            </w:tr>
            <w:tr>
              <w:tc>
                <w:tcPr/>
                <w:p>
                  <w:pPr>
                    <w:pStyle w:val="Compact"/>
                    <w:jc w:val="left"/>
                    <w:jc w:val="center"/>
                  </w:pPr>
                  <w:r>
                    <w:t xml:space="preserve">Intercept</w:t>
                  </w:r>
                </w:p>
              </w:tc>
              <w:tc>
                <w:tcPr/>
                <w:p>
                  <w:pPr>
                    <w:pStyle w:val="Compact"/>
                    <w:jc w:val="left"/>
                    <w:jc w:val="center"/>
                  </w:pPr>
                  <w:r>
                    <w:t xml:space="preserve">1.890</w:t>
                  </w:r>
                </w:p>
              </w:tc>
              <w:tc>
                <w:tcPr/>
                <w:p>
                  <w:pPr>
                    <w:pStyle w:val="Compact"/>
                    <w:jc w:val="left"/>
                    <w:jc w:val="center"/>
                  </w:pPr>
                  <w:r>
                    <w:t xml:space="preserve">[ 1.768, 2.015]</w:t>
                  </w:r>
                </w:p>
              </w:tc>
              <w:tc>
                <w:tcPr/>
                <w:p>
                  <w:pPr>
                    <w:pStyle w:val="Compact"/>
                    <w:jc w:val="left"/>
                    <w:jc w:val="center"/>
                  </w:pPr>
                  <w:r>
                    <w:t xml:space="preserve">&lt;0.001</w:t>
                  </w:r>
                </w:p>
              </w:tc>
            </w:tr>
            <w:tr>
              <w:tc>
                <w:tcPr/>
                <w:p>
                  <w:pPr>
                    <w:pStyle w:val="Compact"/>
                    <w:jc w:val="left"/>
                    <w:jc w:val="center"/>
                  </w:pPr>
                  <w:r>
                    <w:rPr>
                      <w:b/>
                      <w:bCs/>
                    </w:rPr>
                    <w:t xml:space="preserve">Race</w:t>
                  </w:r>
                </w:p>
              </w:tc>
              <w:tc>
                <w:tcPr/>
                <w:p>
                  <w:pPr>
                    <w:pStyle w:val="Compact"/>
                  </w:pPr>
                </w:p>
              </w:tc>
              <w:tc>
                <w:tcPr/>
                <w:p>
                  <w:pPr>
                    <w:pStyle w:val="Compact"/>
                  </w:pPr>
                </w:p>
              </w:tc>
              <w:tc>
                <w:tcPr/>
                <w:p>
                  <w:pPr>
                    <w:pStyle w:val="Compact"/>
                  </w:pPr>
                </w:p>
              </w:tc>
            </w:tr>
            <w:tr>
              <w:tc>
                <w:tcPr/>
                <w:p>
                  <w:pPr>
                    <w:pStyle w:val="Compact"/>
                    <w:jc w:val="left"/>
                    <w:jc w:val="center"/>
                  </w:pPr>
                  <w:r>
                    <w:t xml:space="preserve">     White</w:t>
                  </w:r>
                </w:p>
              </w:tc>
              <w:tc>
                <w:tcPr/>
                <w:p>
                  <w:pPr>
                    <w:pStyle w:val="Compact"/>
                    <w:jc w:val="left"/>
                    <w:jc w:val="center"/>
                  </w:pPr>
                  <w:r>
                    <w:t xml:space="preserve">Reference</w:t>
                  </w:r>
                </w:p>
              </w:tc>
              <w:tc>
                <w:tcPr/>
                <w:p>
                  <w:pPr>
                    <w:pStyle w:val="Compact"/>
                  </w:pPr>
                </w:p>
              </w:tc>
              <w:tc>
                <w:tcPr/>
                <w:p>
                  <w:pPr>
                    <w:pStyle w:val="Compact"/>
                  </w:pPr>
                </w:p>
              </w:tc>
            </w:tr>
            <w:tr>
              <w:tc>
                <w:tcPr/>
                <w:p>
                  <w:pPr>
                    <w:pStyle w:val="Compact"/>
                    <w:jc w:val="left"/>
                    <w:jc w:val="center"/>
                  </w:pPr>
                  <w:r>
                    <w:t xml:space="preserve">     Black</w:t>
                  </w:r>
                </w:p>
              </w:tc>
              <w:tc>
                <w:tcPr/>
                <w:p>
                  <w:pPr>
                    <w:pStyle w:val="Compact"/>
                    <w:jc w:val="left"/>
                    <w:jc w:val="center"/>
                  </w:pPr>
                  <w:r>
                    <w:t xml:space="preserve">-0.028</w:t>
                  </w:r>
                </w:p>
              </w:tc>
              <w:tc>
                <w:tcPr/>
                <w:p>
                  <w:pPr>
                    <w:pStyle w:val="Compact"/>
                    <w:jc w:val="left"/>
                    <w:jc w:val="center"/>
                  </w:pPr>
                  <w:r>
                    <w:t xml:space="preserve">[-0.147, 0.092]</w:t>
                  </w:r>
                </w:p>
              </w:tc>
              <w:tc>
                <w:tcPr/>
                <w:p>
                  <w:pPr>
                    <w:pStyle w:val="Compact"/>
                    <w:jc w:val="left"/>
                    <w:jc w:val="center"/>
                  </w:pPr>
                  <w:r>
                    <w:t xml:space="preserve">0.65</w:t>
                  </w:r>
                </w:p>
              </w:tc>
            </w:tr>
            <w:tr>
              <w:tc>
                <w:tcPr/>
                <w:p>
                  <w:pPr>
                    <w:pStyle w:val="Compact"/>
                    <w:jc w:val="left"/>
                    <w:jc w:val="center"/>
                  </w:pPr>
                  <w:r>
                    <w:rPr>
                      <w:b/>
                      <w:bCs/>
                    </w:rPr>
                    <w:t xml:space="preserve">Age</w:t>
                  </w:r>
                </w:p>
              </w:tc>
              <w:tc>
                <w:tcPr/>
                <w:p>
                  <w:pPr>
                    <w:pStyle w:val="Compact"/>
                  </w:pPr>
                </w:p>
              </w:tc>
              <w:tc>
                <w:tcPr/>
                <w:p>
                  <w:pPr>
                    <w:pStyle w:val="Compact"/>
                  </w:pPr>
                </w:p>
              </w:tc>
              <w:tc>
                <w:tcPr/>
                <w:p>
                  <w:pPr>
                    <w:pStyle w:val="Compact"/>
                  </w:pPr>
                </w:p>
              </w:tc>
            </w:tr>
            <w:tr>
              <w:tc>
                <w:tcPr/>
                <w:p>
                  <w:pPr>
                    <w:pStyle w:val="Compact"/>
                    <w:jc w:val="left"/>
                    <w:jc w:val="center"/>
                  </w:pPr>
                  <w:r>
                    <w:t xml:space="preserve">     Adult</w:t>
                  </w:r>
                </w:p>
              </w:tc>
              <w:tc>
                <w:tcPr/>
                <w:p>
                  <w:pPr>
                    <w:pStyle w:val="Compact"/>
                    <w:jc w:val="left"/>
                    <w:jc w:val="center"/>
                  </w:pPr>
                  <w:r>
                    <w:t xml:space="preserve">Reference</w:t>
                  </w:r>
                </w:p>
              </w:tc>
              <w:tc>
                <w:tcPr/>
                <w:p>
                  <w:pPr>
                    <w:pStyle w:val="Compact"/>
                  </w:pPr>
                </w:p>
              </w:tc>
              <w:tc>
                <w:tcPr/>
                <w:p>
                  <w:pPr>
                    <w:pStyle w:val="Compact"/>
                  </w:pPr>
                </w:p>
              </w:tc>
            </w:tr>
            <w:tr>
              <w:tc>
                <w:tcPr/>
                <w:p>
                  <w:pPr>
                    <w:pStyle w:val="Compact"/>
                    <w:jc w:val="left"/>
                    <w:jc w:val="center"/>
                  </w:pPr>
                  <w:r>
                    <w:t xml:space="preserve">     Child</w:t>
                  </w:r>
                </w:p>
              </w:tc>
              <w:tc>
                <w:tcPr/>
                <w:p>
                  <w:pPr>
                    <w:pStyle w:val="Compact"/>
                    <w:jc w:val="left"/>
                    <w:jc w:val="center"/>
                  </w:pPr>
                  <w:r>
                    <w:t xml:space="preserve">0.411</w:t>
                  </w:r>
                </w:p>
              </w:tc>
              <w:tc>
                <w:tcPr/>
                <w:p>
                  <w:pPr>
                    <w:pStyle w:val="Compact"/>
                    <w:jc w:val="left"/>
                    <w:jc w:val="center"/>
                  </w:pPr>
                  <w:r>
                    <w:t xml:space="preserve">[ 0.290, 0.533]</w:t>
                  </w:r>
                </w:p>
              </w:tc>
              <w:tc>
                <w:tcPr/>
                <w:p>
                  <w:pPr>
                    <w:pStyle w:val="Compact"/>
                    <w:jc w:val="left"/>
                    <w:jc w:val="center"/>
                  </w:pPr>
                  <w:r>
                    <w:t xml:space="preserve">&lt;0.001</w:t>
                  </w:r>
                </w:p>
              </w:tc>
            </w:tr>
            <w:tr>
              <w:tc>
                <w:tcPr/>
                <w:p>
                  <w:pPr>
                    <w:pStyle w:val="Compact"/>
                    <w:jc w:val="left"/>
                    <w:jc w:val="center"/>
                  </w:pPr>
                  <w:r>
                    <w:rPr>
                      <w:b/>
                      <w:bCs/>
                    </w:rPr>
                    <w:t xml:space="preserve">Sex</w:t>
                  </w:r>
                </w:p>
              </w:tc>
              <w:tc>
                <w:tcPr/>
                <w:p>
                  <w:pPr>
                    <w:pStyle w:val="Compact"/>
                  </w:pPr>
                </w:p>
              </w:tc>
              <w:tc>
                <w:tcPr/>
                <w:p>
                  <w:pPr>
                    <w:pStyle w:val="Compact"/>
                  </w:pPr>
                </w:p>
              </w:tc>
              <w:tc>
                <w:tcPr/>
                <w:p>
                  <w:pPr>
                    <w:pStyle w:val="Compact"/>
                  </w:pPr>
                </w:p>
              </w:tc>
            </w:tr>
            <w:tr>
              <w:tc>
                <w:tcPr/>
                <w:p>
                  <w:pPr>
                    <w:pStyle w:val="Compact"/>
                    <w:jc w:val="left"/>
                    <w:jc w:val="center"/>
                  </w:pPr>
                  <w:r>
                    <w:t xml:space="preserve">     Male</w:t>
                  </w:r>
                </w:p>
              </w:tc>
              <w:tc>
                <w:tcPr/>
                <w:p>
                  <w:pPr>
                    <w:pStyle w:val="Compact"/>
                    <w:jc w:val="left"/>
                    <w:jc w:val="center"/>
                  </w:pPr>
                  <w:r>
                    <w:t xml:space="preserve">Reference</w:t>
                  </w:r>
                </w:p>
              </w:tc>
              <w:tc>
                <w:tcPr/>
                <w:p>
                  <w:pPr>
                    <w:pStyle w:val="Compact"/>
                  </w:pPr>
                </w:p>
              </w:tc>
              <w:tc>
                <w:tcPr/>
                <w:p>
                  <w:pPr>
                    <w:pStyle w:val="Compact"/>
                  </w:pPr>
                </w:p>
              </w:tc>
            </w:tr>
            <w:tr>
              <w:tc>
                <w:tcPr/>
                <w:p>
                  <w:pPr>
                    <w:pStyle w:val="Compact"/>
                    <w:jc w:val="left"/>
                    <w:jc w:val="center"/>
                  </w:pPr>
                  <w:r>
                    <w:t xml:space="preserve">     Female</w:t>
                  </w:r>
                </w:p>
              </w:tc>
              <w:tc>
                <w:tcPr/>
                <w:p>
                  <w:pPr>
                    <w:pStyle w:val="Compact"/>
                    <w:jc w:val="left"/>
                    <w:jc w:val="center"/>
                  </w:pPr>
                  <w:r>
                    <w:t xml:space="preserve">-0.057</w:t>
                  </w:r>
                </w:p>
              </w:tc>
              <w:tc>
                <w:tcPr/>
                <w:p>
                  <w:pPr>
                    <w:pStyle w:val="Compact"/>
                    <w:jc w:val="left"/>
                    <w:jc w:val="center"/>
                  </w:pPr>
                  <w:r>
                    <w:t xml:space="preserve">[-0.173, 0.060]</w:t>
                  </w:r>
                </w:p>
              </w:tc>
              <w:tc>
                <w:tcPr/>
                <w:p>
                  <w:pPr>
                    <w:pStyle w:val="Compact"/>
                    <w:jc w:val="left"/>
                    <w:jc w:val="center"/>
                  </w:pPr>
                  <w:r>
                    <w:t xml:space="preserve">0.34</w:t>
                  </w:r>
                </w:p>
              </w:tc>
            </w:tr>
            <w:tr>
              <w:tc>
                <w:tcPr/>
                <w:p>
                  <w:pPr>
                    <w:pStyle w:val="Compact"/>
                    <w:jc w:val="left"/>
                    <w:jc w:val="center"/>
                  </w:pPr>
                  <w:r>
                    <w:t xml:space="preserve">Training size Base-Generalized*</w:t>
                  </w:r>
                </w:p>
              </w:tc>
              <w:tc>
                <w:tcPr/>
                <w:p>
                  <w:pPr>
                    <w:pStyle w:val="Compact"/>
                    <w:jc w:val="left"/>
                    <w:jc w:val="center"/>
                  </w:pPr>
                  <w:r>
                    <w:t xml:space="preserve">0.011</w:t>
                  </w:r>
                </w:p>
              </w:tc>
              <w:tc>
                <w:tcPr/>
                <w:p>
                  <w:pPr>
                    <w:pStyle w:val="Compact"/>
                    <w:jc w:val="left"/>
                    <w:jc w:val="center"/>
                  </w:pPr>
                  <w:r>
                    <w:t xml:space="preserve">[-0.060, 0.081]</w:t>
                  </w:r>
                </w:p>
              </w:tc>
              <w:tc>
                <w:tcPr/>
                <w:p>
                  <w:pPr>
                    <w:pStyle w:val="Compact"/>
                    <w:jc w:val="left"/>
                    <w:jc w:val="center"/>
                  </w:pPr>
                  <w:r>
                    <w:t xml:space="preserve">0.77</w:t>
                  </w:r>
                </w:p>
              </w:tc>
            </w:tr>
            <w:tr>
              <w:tc>
                <w:tcPr/>
                <w:p>
                  <w:pPr>
                    <w:pStyle w:val="Compact"/>
                    <w:jc w:val="left"/>
                    <w:jc w:val="center"/>
                  </w:pPr>
                  <w:r>
                    <w:t xml:space="preserve">Training size transfer learned**</w:t>
                  </w:r>
                </w:p>
              </w:tc>
              <w:tc>
                <w:tcPr/>
                <w:p>
                  <w:pPr>
                    <w:pStyle w:val="Compact"/>
                    <w:jc w:val="left"/>
                    <w:jc w:val="center"/>
                  </w:pPr>
                  <w:r>
                    <w:t xml:space="preserve">-0.111</w:t>
                  </w:r>
                </w:p>
              </w:tc>
              <w:tc>
                <w:tcPr/>
                <w:p>
                  <w:pPr>
                    <w:pStyle w:val="Compact"/>
                    <w:jc w:val="left"/>
                    <w:jc w:val="center"/>
                  </w:pPr>
                  <w:r>
                    <w:t xml:space="preserve">[-0.161, -0.061]</w:t>
                  </w:r>
                </w:p>
              </w:tc>
              <w:tc>
                <w:tcPr/>
                <w:p>
                  <w:pPr>
                    <w:pStyle w:val="Compact"/>
                    <w:jc w:val="left"/>
                    <w:jc w:val="center"/>
                  </w:pPr>
                  <w:r>
                    <w:t xml:space="preserve">&lt;0.001</w:t>
                  </w:r>
                </w:p>
              </w:tc>
            </w:tr>
            <w:tr>
              <w:tc>
                <w:tcPr/>
                <w:p>
                  <w:pPr>
                    <w:pStyle w:val="Compact"/>
                    <w:jc w:val="left"/>
                    <w:jc w:val="center"/>
                  </w:pPr>
                  <w:r>
                    <w:t xml:space="preserve">Ratio (per 10 units)</w:t>
                  </w:r>
                </w:p>
              </w:tc>
              <w:tc>
                <w:tcPr/>
                <w:p>
                  <w:pPr>
                    <w:pStyle w:val="Compact"/>
                    <w:jc w:val="left"/>
                    <w:jc w:val="center"/>
                  </w:pPr>
                  <w:r>
                    <w:t xml:space="preserve">-0.001</w:t>
                  </w:r>
                </w:p>
              </w:tc>
              <w:tc>
                <w:tcPr/>
                <w:p>
                  <w:pPr>
                    <w:pStyle w:val="Compact"/>
                    <w:jc w:val="left"/>
                    <w:jc w:val="center"/>
                  </w:pPr>
                  <w:r>
                    <w:t xml:space="preserve">[-0.003, 0.001]</w:t>
                  </w:r>
                </w:p>
              </w:tc>
              <w:tc>
                <w:tcPr/>
                <w:p>
                  <w:pPr>
                    <w:pStyle w:val="Compact"/>
                    <w:jc w:val="left"/>
                    <w:jc w:val="center"/>
                  </w:pPr>
                  <w:r>
                    <w:t xml:space="preserve">0.46</w:t>
                  </w:r>
                </w:p>
              </w:tc>
            </w:tr>
            <w:tr>
              <w:tc>
                <w:tcPr/>
                <w:p>
                  <w:pPr>
                    <w:pStyle w:val="Compact"/>
                    <w:jc w:val="left"/>
                    <w:jc w:val="center"/>
                  </w:pPr>
                  <w:r>
                    <w:t xml:space="preserve">Ratio · Race</w:t>
                  </w:r>
                </w:p>
              </w:tc>
              <w:tc>
                <w:tcPr/>
                <w:p>
                  <w:pPr>
                    <w:pStyle w:val="Compact"/>
                    <w:jc w:val="left"/>
                    <w:jc w:val="center"/>
                  </w:pPr>
                  <w:r>
                    <w:t xml:space="preserve">0.002</w:t>
                  </w:r>
                </w:p>
              </w:tc>
              <w:tc>
                <w:tcPr/>
                <w:p>
                  <w:pPr>
                    <w:pStyle w:val="Compact"/>
                    <w:jc w:val="left"/>
                    <w:jc w:val="center"/>
                  </w:pPr>
                  <w:r>
                    <w:t xml:space="preserve">[-0.001, 0.005]</w:t>
                  </w:r>
                </w:p>
              </w:tc>
              <w:tc>
                <w:tcPr/>
                <w:p>
                  <w:pPr>
                    <w:pStyle w:val="Compact"/>
                    <w:jc w:val="left"/>
                    <w:jc w:val="center"/>
                  </w:pPr>
                  <w:r>
                    <w:t xml:space="preserve">0.20</w:t>
                  </w:r>
                </w:p>
              </w:tc>
            </w:tr>
          </w:tbl>
          <w:bookmarkEnd w:id="207"/>
          <w:p/>
        </w:tc>
      </w:tr>
    </w:tbl>
    <w:bookmarkEnd w:id="208"/>
    <w:bookmarkStart w:id="209" w:name="the-surveillance-error-grid"/>
    <w:p>
      <w:pPr>
        <w:pStyle w:val="Heading3"/>
      </w:pPr>
      <w:r>
        <w:t xml:space="preserve">The Surveillance Error Grid</w:t>
      </w:r>
    </w:p>
    <w:p>
      <w:pPr>
        <w:pStyle w:val="FirstParagraph"/>
      </w:pPr>
      <w:r>
        <w:t xml:space="preserve">Surveillance Error Grid analyzis showed minimal differences between models and training data compositions. Across all models, racial groups, and training data ratios, almost all predictions fell within the</w:t>
      </w:r>
      <w:r>
        <w:t xml:space="preserve"> </w:t>
      </w:r>
      <w:r>
        <w:t xml:space="preserve">“None”</w:t>
      </w:r>
      <w:r>
        <w:t xml:space="preserve"> </w:t>
      </w:r>
      <w:r>
        <w:t xml:space="preserve">or</w:t>
      </w:r>
      <w:r>
        <w:t xml:space="preserve"> </w:t>
      </w:r>
      <w:r>
        <w:t xml:space="preserve">“Slight”</w:t>
      </w:r>
      <w:r>
        <w:t xml:space="preserve"> </w:t>
      </w:r>
      <w:r>
        <w:t xml:space="preserve">risk zones, while approximately 3–6% were classified as</w:t>
      </w:r>
      <w:r>
        <w:t xml:space="preserve"> </w:t>
      </w:r>
      <w:r>
        <w:t xml:space="preserve">“Moderate”</w:t>
      </w:r>
      <w:r>
        <w:t xml:space="preserve"> </w:t>
      </w:r>
      <w:r>
        <w:t xml:space="preserve">risk and no predictions were classified as</w:t>
      </w:r>
      <w:r>
        <w:t xml:space="preserve"> </w:t>
      </w:r>
      <w:r>
        <w:t xml:space="preserve">“High”</w:t>
      </w:r>
      <w:r>
        <w:t xml:space="preserve"> </w:t>
      </w:r>
      <w:r>
        <w:t xml:space="preserve">or</w:t>
      </w:r>
      <w:r>
        <w:t xml:space="preserve"> </w:t>
      </w:r>
      <w:r>
        <w:t xml:space="preserve">“Extreme”</w:t>
      </w:r>
      <w:r>
        <w:t xml:space="preserve"> </w:t>
      </w:r>
      <w:r>
        <w:t xml:space="preserve">risk (</w:t>
      </w:r>
      <w:hyperlink w:anchor="sec-suppl-seg-results">
        <w:r>
          <w:rPr>
            <w:rStyle w:val="Hyperlink"/>
          </w:rPr>
          <w:t xml:space="preserve">Appendix H</w:t>
        </w:r>
      </w:hyperlink>
      <w:r>
        <w:t xml:space="preserve">). These findings indicate that the small differences in RMSE observed between models were unlikely to be clinically meaningful.</w:t>
      </w:r>
    </w:p>
    <w:bookmarkEnd w:id="209"/>
    <w:bookmarkEnd w:id="210"/>
    <w:bookmarkEnd w:id="211"/>
    <w:bookmarkStart w:id="225" w:name="discussion"/>
    <w:p>
      <w:pPr>
        <w:pStyle w:val="Heading1"/>
      </w:pPr>
      <w:r>
        <w:t xml:space="preserve">5. Discussion</w:t>
      </w:r>
    </w:p>
    <w:p>
      <w:pPr>
        <w:pStyle w:val="FirstParagraph"/>
      </w:pPr>
      <w:r>
        <w:t xml:space="preserve">The overall aim of this dissertation was to investigate the potential of CGM data and machine learning methods for cardiovascular risk assessment. To address this aim, the dissertation combined a systematic evaluation of the existing literature with the assessment of learned representations from a foundation model and an investigation of algorithmic fairness in glucose prediction. The following discussion integrates the findings of these three studies, and considers their methods and results in relation to existing literature.</w:t>
      </w:r>
    </w:p>
    <w:bookmarkStart w:id="214" w:name="Xe97348fc45a422abfdf36043b193a0966252d20"/>
    <w:p>
      <w:pPr>
        <w:pStyle w:val="Heading2"/>
      </w:pPr>
      <w:r>
        <w:t xml:space="preserve">5.1 Study I: Evidence for CGM in Cardiovascular Risk Assessment</w:t>
      </w:r>
    </w:p>
    <w:p>
      <w:pPr>
        <w:pStyle w:val="FirstParagraph"/>
      </w:pPr>
      <w:r>
        <w:t xml:space="preserve">Through the literature 53 studies investigating the link between CGM-data and CVD outcomes were identified.</w:t>
      </w:r>
      <w:r>
        <w:t xml:space="preserve"> </w:t>
      </w:r>
      <w:r>
        <w:t xml:space="preserve">There were very inconsistent findings across the literature.</w:t>
      </w:r>
      <w:r>
        <w:t xml:space="preserve"> </w:t>
      </w:r>
      <w:r>
        <w:t xml:space="preserve">A wide range of CGM-derived metrics were investigated in relation to both clinical and subclinical cardiovascular outcomes, and the statistical adjustment strategies varied considerably between studies.</w:t>
      </w:r>
      <w:r>
        <w:t xml:space="preserve"> </w:t>
      </w:r>
      <w:r>
        <w:t xml:space="preserve">It was observed that studies focusing on people with T2D had bigger study populations and more consistently found evidence for associations compared to studies focusing on people with T1D which may indicate a lack of statistical power in the studies with T1D, which may explain some of the inconsistencies across the studies uncovered in the scoping review. The current evidence base is also limited by its geographical concentration mainly in Asia and Europe and by its almost exclusive focus on association analyzes.</w:t>
      </w:r>
      <w:r>
        <w:t xml:space="preserve"> </w:t>
      </w:r>
      <w:r>
        <w:t xml:space="preserve">Only three studies evaluated the predictive value of MAGE, indicating that its potential for cardiovascular risk prediction remains insufficiently investigated.</w:t>
      </w:r>
    </w:p>
    <w:bookmarkStart w:id="212" w:name="tir-mage-and-cardiovascular-outcomes"/>
    <w:p>
      <w:pPr>
        <w:pStyle w:val="Heading3"/>
      </w:pPr>
      <w:r>
        <w:t xml:space="preserve">TIR, MAGE and Cardiovascular Outcomes</w:t>
      </w:r>
    </w:p>
    <w:p>
      <w:pPr>
        <w:pStyle w:val="FirstParagraph"/>
      </w:pPr>
      <w:r>
        <w:t xml:space="preserve">TIR was the most frequently investigated CGM-derived metric, particularly for clinical CVD outcomes, although associations were inconsistent across studies, as also reported in a previous review.</w:t>
      </w:r>
      <w:r>
        <w:rPr>
          <w:vertAlign w:val="superscript"/>
        </w:rPr>
        <w:t xml:space="preserve">60</w:t>
      </w:r>
      <w:r>
        <w:t xml:space="preserve"> </w:t>
      </w:r>
      <w:r>
        <w:t xml:space="preserve">The second most frequently investigated CGM-derived metric was MAGE. It seemed more consistently associated with coronary artery disease and severity scores, despite the smaller sample size compared to TIR however this is strictly based on a small section of the included studies.</w:t>
      </w:r>
      <w:r>
        <w:t xml:space="preserve"> </w:t>
      </w:r>
      <w:r>
        <w:t xml:space="preserve">Furthermore, MAGE was the only CGM-derived metric evaluated for its predictive performance, and this was limited to coronary artery disease and subclinical peripheral artery disease. Although MAGE outperformed HbA1c as a predictor in these studies,</w:t>
      </w:r>
      <w:r>
        <w:rPr>
          <w:vertAlign w:val="superscript"/>
        </w:rPr>
        <w:t xml:space="preserve">69,92</w:t>
      </w:r>
      <w:r>
        <w:t xml:space="preserve"> </w:t>
      </w:r>
      <w:r>
        <w:t xml:space="preserve">the prediction models demonstrated only modest discriminative ability.</w:t>
      </w:r>
      <w:r>
        <w:t xml:space="preserve"> </w:t>
      </w:r>
      <w:r>
        <w:t xml:space="preserve">This may indicate that within-day glucose variability is a relevant cardiovascular risk factor.</w:t>
      </w:r>
      <w:r>
        <w:t xml:space="preserve"> </w:t>
      </w:r>
      <w:r>
        <w:t xml:space="preserve">However, MAGE is not a complete measure of glucose variability and is biased toward detecting hyperglycemic excursions.</w:t>
      </w:r>
      <w:r>
        <w:rPr>
          <w:vertAlign w:val="superscript"/>
        </w:rPr>
        <w:t xml:space="preserve">17</w:t>
      </w:r>
      <w:r>
        <w:t xml:space="preserve"> </w:t>
      </w:r>
      <w:r>
        <w:t xml:space="preserve">Consequently, MAGE may underestimate the contribution of hypoglycemia to cardiovascular risk.</w:t>
      </w:r>
      <w:r>
        <w:t xml:space="preserve"> </w:t>
      </w:r>
      <w:r>
        <w:t xml:space="preserve">However, the literature remains inconclusive regarding the relative importance of hyperglycemia and hypoglycemia in relation to cardiovascular outcomes.</w:t>
      </w:r>
      <w:r>
        <w:t xml:space="preserve"> </w:t>
      </w:r>
      <w:r>
        <w:t xml:space="preserve">Some studies have reported associations between hyperglycemia-focused CGM-derived metrics and cardiovascular outcomes,</w:t>
      </w:r>
      <w:r>
        <w:rPr>
          <w:vertAlign w:val="superscript"/>
        </w:rPr>
        <w:t xml:space="preserve">67,92</w:t>
      </w:r>
      <w:r>
        <w:t xml:space="preserve"> </w:t>
      </w:r>
      <w:r>
        <w:t xml:space="preserve">others have reported associations between hypoglycemia-related CGM-derived metrics and cardiovascular outcomes,</w:t>
      </w:r>
      <w:r>
        <w:rPr>
          <w:vertAlign w:val="superscript"/>
        </w:rPr>
        <w:t xml:space="preserve">68,94–98</w:t>
      </w:r>
      <w:r>
        <w:t xml:space="preserve"> </w:t>
      </w:r>
      <w:r>
        <w:t xml:space="preserve">with some concluding that hypoglycemic excursions are associated with macrovascular complications, whereas hyperglycemic excursions are associated with microvascular complications.</w:t>
      </w:r>
      <w:r>
        <w:rPr>
          <w:vertAlign w:val="superscript"/>
        </w:rPr>
        <w:t xml:space="preserve">68,97</w:t>
      </w:r>
      <w:r>
        <w:t xml:space="preserve"> </w:t>
      </w:r>
      <w:r>
        <w:t xml:space="preserve">Together, these findings suggest that although within-day glucose variability may be an important cardiovascular risk factor, both hyperglycemia and hypoglycemia may contribute to cardiovascular risk and should be considered when evaluating CGM-derived metrics.</w:t>
      </w:r>
    </w:p>
    <w:bookmarkEnd w:id="212"/>
    <w:bookmarkStart w:id="213" w:name="study-designs"/>
    <w:p>
      <w:pPr>
        <w:pStyle w:val="Heading3"/>
      </w:pPr>
      <w:r>
        <w:t xml:space="preserve">Study Designs</w:t>
      </w:r>
    </w:p>
    <w:p>
      <w:pPr>
        <w:pStyle w:val="FirstParagraph"/>
      </w:pPr>
      <w:r>
        <w:t xml:space="preserve">Another component contributing to the heterogeneity were the difference in how the statistical analyzes were performed across studies. CGM-derived metrics were defined over different time periods or split up into ranges and thresholds were changed for TIR,</w:t>
      </w:r>
      <w:r>
        <w:t xml:space="preserve"> </w:t>
      </w:r>
      <w:hyperlink w:anchor="acronyms_TBR">
        <w:r>
          <w:rPr>
            <w:rStyle w:val="Hyperlink"/>
          </w:rPr>
          <w:t xml:space="preserve">time below range (TBR)</w:t>
        </w:r>
      </w:hyperlink>
      <w:r>
        <w:t xml:space="preserve"> </w:t>
      </w:r>
      <w:r>
        <w:t xml:space="preserve">and</w:t>
      </w:r>
      <w:r>
        <w:t xml:space="preserve"> </w:t>
      </w:r>
      <w:hyperlink w:anchor="acronyms_TAR">
        <w:r>
          <w:rPr>
            <w:rStyle w:val="Hyperlink"/>
          </w:rPr>
          <w:t xml:space="preserve">time above range (TAR)</w:t>
        </w:r>
      </w:hyperlink>
      <w:r>
        <w:t xml:space="preserve"> </w:t>
      </w:r>
      <w:r>
        <w:t xml:space="preserve">across different studies.</w:t>
      </w:r>
      <w:r>
        <w:t xml:space="preserve"> </w:t>
      </w:r>
      <w:r>
        <w:t xml:space="preserve">Adjustment strategies varied substantially between studies, reflecting differences in study objectives and analytical approaches.</w:t>
      </w:r>
      <w:r>
        <w:t xml:space="preserve"> </w:t>
      </w:r>
      <w:r>
        <w:t xml:space="preserve">The covariates varied between studies even though most studies adjusted for established cardiovascular risk factors, particularly demographic characteristics, medical history, biochemical variables, and anthropometric measures, limiting direct comparability of the reported associations.</w:t>
      </w:r>
      <w:r>
        <w:t xml:space="preserve"> </w:t>
      </w:r>
      <w:r>
        <w:t xml:space="preserve">Only a minority of studies adjusted for additional CGM-derived metrics. Whether such adjustment is appropriate depends on the research question, as many CGM-derived metrics capture overlapping aspects of glycemic control. Furthermore, no substantial differences were observed between unadjusted and the most extensively adjusted estimates, suggesting that adjustment for additional covariates generally had only a modest influence on the reported associations.</w:t>
      </w:r>
    </w:p>
    <w:p>
      <w:pPr>
        <w:pStyle w:val="BodyText"/>
      </w:pPr>
      <w:r>
        <w:t xml:space="preserve">The heterogeneity of the literature and the challenges of describing glucose variability through CGM-derived metrics provided part of the rationale for evaluating foundation model-derived representations in the subsequent study, as the complete CGM time-series can be used directly without first reducing it to manually engineered CGM-derived metrics. As a result, information on hypoglycemia, hyperglycemia, mean glucose, glucose variability within and between days, and temporal glucose patterns can all be incorporated simultaneously.</w:t>
      </w:r>
    </w:p>
    <w:bookmarkEnd w:id="213"/>
    <w:bookmarkEnd w:id="214"/>
    <w:bookmarkStart w:id="215" w:name="X2fffee4b1c2a44af410c64bf988bf6c0a925c17"/>
    <w:p>
      <w:pPr>
        <w:pStyle w:val="Heading2"/>
      </w:pPr>
      <w:r>
        <w:t xml:space="preserve">5.2 Study II: Learning Meaningful Representations from CGM data</w:t>
      </w:r>
    </w:p>
    <w:p>
      <w:pPr>
        <w:pStyle w:val="FirstParagraph"/>
      </w:pPr>
      <w:r>
        <w:t xml:space="preserve">Study II showed that CGMformer, the foundation model developed by Lu et al.,</w:t>
      </w:r>
      <w:r>
        <w:rPr>
          <w:vertAlign w:val="superscript"/>
        </w:rPr>
        <w:t xml:space="preserve">41</w:t>
      </w:r>
      <w:r>
        <w:t xml:space="preserve"> </w:t>
      </w:r>
      <w:r>
        <w:t xml:space="preserve">captured both long- and short-term glucose fluctuations, as assessed using traditional CGM-derived metrics, in individuals with T1D and T2D. However, the learned representations (embeddings) did not show clear patterns when stratified by CVD-related variables or race. Nevertheless, these findings suggest that CGMformer can generalize beyond its original training population of Chinese individuals with normal glucose tolerance, impaired glucose regulation, and T2D, because it captured clinically meaningful glycemic patterns in both the Danish CANCAN cohort of people with advanced T2D and the US T1DX cohort of people with T1D.</w:t>
      </w:r>
    </w:p>
    <w:p>
      <w:pPr>
        <w:pStyle w:val="BodyText"/>
      </w:pPr>
      <w:r>
        <w:t xml:space="preserve">In Study II, cosine distances were lower within-participants than between-participants, indicating that the CGM embeddings captured participant-specific patterns. Similar findings have been reported by Lu et al,</w:t>
      </w:r>
      <w:r>
        <w:rPr>
          <w:vertAlign w:val="superscript"/>
        </w:rPr>
        <w:t xml:space="preserve">41</w:t>
      </w:r>
      <w:r>
        <w:t xml:space="preserve"> </w:t>
      </w:r>
      <w:r>
        <w:t xml:space="preserve">who observed higher within-participant cosine similarity (1-cosine distance), and by Lutsker et al.,</w:t>
      </w:r>
      <w:r>
        <w:rPr>
          <w:vertAlign w:val="superscript"/>
        </w:rPr>
        <w:t xml:space="preserve">42</w:t>
      </w:r>
      <w:r>
        <w:t xml:space="preserve"> </w:t>
      </w:r>
      <w:r>
        <w:t xml:space="preserve">who found lower within-participant cosine distances using the GLUFormer foundation model trained on an Israeli cohort from the Human Phenotype Project.</w:t>
      </w:r>
      <w:r>
        <w:rPr>
          <w:vertAlign w:val="superscript"/>
        </w:rPr>
        <w:t xml:space="preserve">99</w:t>
      </w:r>
      <w:r>
        <w:t xml:space="preserve"> </w:t>
      </w:r>
      <w:r>
        <w:t xml:space="preserve">Collectively, these findings support that CGM foundation models learn stable, individualized representations of glucose dynamics while also capturing common glycemic characteristics shared among individuals with similar glucose control as well as generalize across independent populations and diabetes types. By learning directly from the complete CGM time-series, these representations provide an alternative to manually engineered CGM-derived metrics and establish a reusable foundation for downstream clinical applications.</w:t>
      </w:r>
      <w:r>
        <w:t xml:space="preserve"> </w:t>
      </w:r>
      <w:r>
        <w:t xml:space="preserve">Similar transitions from manually extracted metrics to learned representations have driven performance improvements in fields such as computer vision and natural language processing, where pretrained foundation models have become the standard approach for downstream prediction tasks.</w:t>
      </w:r>
      <w:r>
        <w:rPr>
          <w:vertAlign w:val="superscript"/>
        </w:rPr>
        <w:t xml:space="preserve">40</w:t>
      </w:r>
      <w:r>
        <w:t xml:space="preserve"> </w:t>
      </w:r>
      <w:r>
        <w:t xml:space="preserve">Whether these learned representations translate into improved predictive performance was subsequently investigated in Study II.</w:t>
      </w:r>
    </w:p>
    <w:bookmarkEnd w:id="215"/>
    <w:bookmarkStart w:id="218" w:name="X5e98dddbbdd3b70d0f20d17e5899b8719b84268"/>
    <w:p>
      <w:pPr>
        <w:pStyle w:val="Heading2"/>
      </w:pPr>
      <w:r>
        <w:t xml:space="preserve">5.3 Study II: Incremental Value of CGM-derived Information for NT-proBNP Prediction</w:t>
      </w:r>
    </w:p>
    <w:p>
      <w:pPr>
        <w:pStyle w:val="FirstParagraph"/>
      </w:pPr>
      <w:r>
        <w:t xml:space="preserve">Although previous studies</w:t>
      </w:r>
      <w:r>
        <w:rPr>
          <w:vertAlign w:val="superscript"/>
        </w:rPr>
        <w:t xml:space="preserve">41,42</w:t>
      </w:r>
      <w:r>
        <w:t xml:space="preserve"> </w:t>
      </w:r>
      <w:r>
        <w:t xml:space="preserve">have successfully used foundation models to predict CVD-related outcomes, the learned representations in the Study II did not improve prediction of elevated NT-proBNP beyond established clinical predictors and were associated with increased model complexity.</w:t>
      </w:r>
      <w:r>
        <w:t xml:space="preserve"> </w:t>
      </w:r>
      <w:r>
        <w:t xml:space="preserve">The optimism-corrected performance estimates indicate that the more complex models were susceptible to overfitting, reinforcing the conclusion that the learned representations did not provide robust improvements beyond established clinical predictors.</w:t>
      </w:r>
      <w:r>
        <w:t xml:space="preserve"> </w:t>
      </w:r>
      <w:r>
        <w:t xml:space="preserve">This does not necessarily indicate that foundation model-derived representations are unsuitable for cardiovascular prediction.</w:t>
      </w:r>
      <w:r>
        <w:t xml:space="preserve"> </w:t>
      </w:r>
      <w:r>
        <w:t xml:space="preserve">Rather, their performance may depend on the downstream modeling strategy.</w:t>
      </w:r>
      <w:r>
        <w:t xml:space="preserve"> </w:t>
      </w:r>
      <w:r>
        <w:t xml:space="preserve">In Study II, the embeddings were incorporated as fixed predictors in logistic regression models, whereas Lu et al.</w:t>
      </w:r>
      <w:r>
        <w:rPr>
          <w:vertAlign w:val="superscript"/>
        </w:rPr>
        <w:t xml:space="preserve">41</w:t>
      </w:r>
      <w:r>
        <w:t xml:space="preserve"> </w:t>
      </w:r>
      <w:r>
        <w:t xml:space="preserve">fine-tuned (</w:t>
      </w:r>
      <w:hyperlink w:anchor="fig-tl">
        <w:r>
          <w:rPr>
            <w:rStyle w:val="Hyperlink"/>
          </w:rPr>
          <w:t xml:space="preserve">Figure 1.3</w:t>
        </w:r>
      </w:hyperlink>
      <w:r>
        <w:t xml:space="preserve">, Transfer 1) the CGMformer and achieved an AUROC above 0.70 for predicting macrovascular complications.</w:t>
      </w:r>
      <w:r>
        <w:t xml:space="preserve"> </w:t>
      </w:r>
      <w:r>
        <w:t xml:space="preserve">Similarly, Lutsker et al.</w:t>
      </w:r>
      <w:r>
        <w:rPr>
          <w:vertAlign w:val="superscript"/>
        </w:rPr>
        <w:t xml:space="preserve">42</w:t>
      </w:r>
      <w:r>
        <w:t xml:space="preserve"> </w:t>
      </w:r>
      <w:r>
        <w:t xml:space="preserve">demonstrated that a GLUFormer-derived risk score outperformed HbA1c in stratifying individuals according to cardiovascular-related mortality risk.</w:t>
      </w:r>
      <w:r>
        <w:t xml:space="preserve"> </w:t>
      </w:r>
      <w:r>
        <w:t xml:space="preserve">However, the limited sample size and the lack of datasets containing both CGM data and cardiovascular outcomes precluded the use of more complex downstream models and task-specific fine-tuning as performed in Lu et al.</w:t>
      </w:r>
      <w:r>
        <w:rPr>
          <w:vertAlign w:val="superscript"/>
        </w:rPr>
        <w:t xml:space="preserve">41</w:t>
      </w:r>
      <w:r>
        <w:t xml:space="preserve"> </w:t>
      </w:r>
      <w:r>
        <w:t xml:space="preserve">and Lutsker et al.</w:t>
      </w:r>
      <w:r>
        <w:rPr>
          <w:vertAlign w:val="superscript"/>
        </w:rPr>
        <w:t xml:space="preserve">42</w:t>
      </w:r>
      <w:r>
        <w:t xml:space="preserve"> </w:t>
      </w:r>
      <w:r>
        <w:t xml:space="preserve">Furthermore, reducing the embeddings to UMAP dimensions in Study II may have resulted in the loss of predictive information, which could partly explain the limited performance of the prediction models.</w:t>
      </w:r>
      <w:r>
        <w:t xml:space="preserve"> </w:t>
      </w:r>
      <w:r>
        <w:t xml:space="preserve">The different findings may also reflect differences in the predicted outcomes. Whereas previous studies predicted clinical cardiovascular events or mortality, Study II focused on elevated NT-proBNP, a biomarker that is affected by cardiac dysfunction in addition to non-cardiac factors such as age and renal function.</w:t>
      </w:r>
      <w:r>
        <w:rPr>
          <w:vertAlign w:val="superscript"/>
        </w:rPr>
        <w:t xml:space="preserve">23,100</w:t>
      </w:r>
      <w:r>
        <w:t xml:space="preserve"> </w:t>
      </w:r>
      <w:r>
        <w:t xml:space="preserve">Consequently, glucose-derived embeddings may have a weaker relationship with NT-proBNP than with clinical cardiovascular outcomes although this remains speculative.</w:t>
      </w:r>
      <w:r>
        <w:t xml:space="preserve"> </w:t>
      </w:r>
      <w:r>
        <w:t xml:space="preserve">Together, these findings suggest that the successful application of foundation model representations to complex clinical outcomes may depend on the downstream modelling strategy and subsequently having access to substantially larger datasets than what was available in Study II.</w:t>
      </w:r>
    </w:p>
    <w:bookmarkStart w:id="216" w:name="learned-representations-as-predictors"/>
    <w:p>
      <w:pPr>
        <w:pStyle w:val="Heading3"/>
      </w:pPr>
      <w:r>
        <w:t xml:space="preserve">Learned representations as predictors</w:t>
      </w:r>
    </w:p>
    <w:p>
      <w:pPr>
        <w:pStyle w:val="FirstParagraph"/>
      </w:pPr>
      <w:r>
        <w:t xml:space="preserve">While learned representations did not translate into improved prediction of elevated NT-proBNP, TIR and MAGE as standalone predictors did.</w:t>
      </w:r>
      <w:r>
        <w:t xml:space="preserve"> </w:t>
      </w:r>
      <w:r>
        <w:t xml:space="preserve">In Study II, when adding TIR and MAGE to the clinical prediction model resulted in a higher optimism-corrected AUROC compared with the model based on clinical variables alone.</w:t>
      </w:r>
      <w:r>
        <w:t xml:space="preserve"> </w:t>
      </w:r>
      <w:r>
        <w:t xml:space="preserve">However, the performance of these models was also considered relative to a simpler benchmark model based on age alone. The simpler baseline model showed substantial predictive ability, consistent with the well-established association between increasing age and NT-proBNP concentrations in both healthy populations and individuals with T2D.</w:t>
      </w:r>
      <w:r>
        <w:rPr>
          <w:vertAlign w:val="superscript"/>
        </w:rPr>
        <w:t xml:space="preserve">101</w:t>
      </w:r>
      <w:r>
        <w:t xml:space="preserve"> </w:t>
      </w:r>
      <w:r>
        <w:t xml:space="preserve">Together, these findings suggest that although readily available clinical variables capture much of the information relevant for predicting elevated NT-proBNP, CGM-data may still provide information that could contribute to future cardiovascular risk assessment.</w:t>
      </w:r>
    </w:p>
    <w:bookmarkEnd w:id="216"/>
    <w:bookmarkStart w:id="217" w:name="cgm-derived-metrics-and-cvd"/>
    <w:p>
      <w:pPr>
        <w:pStyle w:val="Heading3"/>
      </w:pPr>
      <w:r>
        <w:t xml:space="preserve">CGM-derived metrics and CVD</w:t>
      </w:r>
    </w:p>
    <w:p>
      <w:pPr>
        <w:pStyle w:val="FirstParagraph"/>
      </w:pPr>
      <w:r>
        <w:t xml:space="preserve">Traditional CGM-derived metrics remain highly relevant for clinical prediction. Metrics such as TIR quantify well-established aspects of glycemic control, are readily understood by clinicians, and are already incorporated into routine diabetes management. Their simplicity and established clinical interpretation make them useful reference measures when assessing whether more complex learned representations provide additional predictive information. Previous studies have similarly demonstrated prognostic value for MAGE in individuals with acute coronary syndrome</w:t>
      </w:r>
      <w:r>
        <w:rPr>
          <w:vertAlign w:val="superscript"/>
        </w:rPr>
        <w:t xml:space="preserve">102,103</w:t>
      </w:r>
      <w:r>
        <w:t xml:space="preserve">, and greater glucose variability has been associated with higher NT-proBNP concentrations in this population</w:t>
      </w:r>
      <w:r>
        <w:rPr>
          <w:vertAlign w:val="superscript"/>
        </w:rPr>
        <w:t xml:space="preserve">103</w:t>
      </w:r>
      <w:r>
        <w:t xml:space="preserve">.</w:t>
      </w:r>
      <w:r>
        <w:t xml:space="preserve"> </w:t>
      </w:r>
      <w:r>
        <w:t xml:space="preserve">Participants with elevated NT-proBNP in the CANCAN cohort exhibited characteristics consistent with more advanced disease but also had lower BMI and more favorable glycemic profiles. Although these findings may appear counterintuitive, lower BMI has previously been associated with poorer outcomes in patients with established heart failure, while obesity is associated with lower circulating NT-proBNP concentrations</w:t>
      </w:r>
      <w:r>
        <w:rPr>
          <w:vertAlign w:val="superscript"/>
        </w:rPr>
        <w:t xml:space="preserve">104</w:t>
      </w:r>
      <w:r>
        <w:t xml:space="preserve">.</w:t>
      </w:r>
      <w:r>
        <w:t xml:space="preserve"> </w:t>
      </w:r>
      <w:r>
        <w:t xml:space="preserve">Overall, these findings further illustrates the complex relationship between glycemic control, body composition, and cardiovascular.</w:t>
      </w:r>
    </w:p>
    <w:bookmarkEnd w:id="217"/>
    <w:bookmarkEnd w:id="218"/>
    <w:bookmarkStart w:id="219" w:name="Xb384b128bab58b1206ff01e3feaa8aa358cb7c8"/>
    <w:p>
      <w:pPr>
        <w:pStyle w:val="Heading2"/>
      </w:pPr>
      <w:r>
        <w:t xml:space="preserve">5.4 Study III: Fairness of CGM-based Machine Learning Models</w:t>
      </w:r>
    </w:p>
    <w:p>
      <w:pPr>
        <w:pStyle w:val="FirstParagraph"/>
      </w:pPr>
      <w:r>
        <w:t xml:space="preserve">While Studies I and II focused on whether learned representations and traditional CGM-derived metrics improved cardiovascular risk prediction, the final aim of the dissertation considered another important aspect of clinical prediction models: whether their performance is equitable across population subgroups.</w:t>
      </w:r>
    </w:p>
    <w:p>
      <w:pPr>
        <w:pStyle w:val="BodyText"/>
      </w:pPr>
      <w:r>
        <w:t xml:space="preserve">Study III demonstrated that the racial composition of the training data influenced glucose-forecasting performance across racial groups. Although the observed differences were statistically significant, their magnitude was small and unlikely to be clinically meaningful. These differences were no longer evident after transfer learning, suggesting that adapting models to participant-specific data may reduce performance disparities associated with imbalanced training data.</w:t>
      </w:r>
      <w:r>
        <w:t xml:space="preserve"> </w:t>
      </w:r>
      <w:r>
        <w:t xml:space="preserve">Overall, although training-data composition had only a limited effect on glucose prediction performance in this study, its potential influence should still be assessed when developing and evaluating machine-learning models for clinical use.</w:t>
      </w:r>
    </w:p>
    <w:p>
      <w:pPr>
        <w:pStyle w:val="BodyText"/>
      </w:pPr>
      <w:r>
        <w:t xml:space="preserve">Previous studies have demonstrated the potential of transfer learning to improve model performance across various healthcare applications. In multi-ethnic cancer-omics datasets, transfer learning reduced performance disparities, suggesting that it may help mitigate some consequences of imbalanced training data.</w:t>
      </w:r>
      <w:r>
        <w:rPr>
          <w:vertAlign w:val="superscript"/>
        </w:rPr>
        <w:t xml:space="preserve">16</w:t>
      </w:r>
      <w:r>
        <w:t xml:space="preserve"> </w:t>
      </w:r>
      <w:r>
        <w:t xml:space="preserve">Benefits have also been reported in personalized glucose forecasting, where transfer learning improved performance across several prediction tasks.</w:t>
      </w:r>
      <w:r>
        <w:rPr>
          <w:vertAlign w:val="superscript"/>
        </w:rPr>
        <w:t xml:space="preserve">105,106</w:t>
      </w:r>
      <w:r>
        <w:t xml:space="preserve"> </w:t>
      </w:r>
      <w:r>
        <w:t xml:space="preserve">Overall, the present findings are largely consistent with the existing literature, as the transfer learned models achieved the best overall performance while also reducing the performance differences observed between racial groups.</w:t>
      </w:r>
    </w:p>
    <w:bookmarkEnd w:id="219"/>
    <w:bookmarkStart w:id="224" w:name="methodological-considerations"/>
    <w:p>
      <w:pPr>
        <w:pStyle w:val="Heading2"/>
      </w:pPr>
      <w:r>
        <w:t xml:space="preserve">5.5 Methodological Considerations</w:t>
      </w:r>
    </w:p>
    <w:p>
      <w:pPr>
        <w:pStyle w:val="FirstParagraph"/>
      </w:pPr>
      <w:r>
        <w:t xml:space="preserve">The following section discusses methodological considerations related to the studies included in this dissertation. Particular attention is given to the use of previously collected datasets, the processing and representation of CGM data, model evaluation, dimensionality reduction, and fairness assessment. These considerations provide important context for interpreting the findings and for understanding the strengths and limitations of the methods applied throughout the dissertation.</w:t>
      </w:r>
    </w:p>
    <w:bookmarkStart w:id="220" w:name="study-i-the-scoping-review"/>
    <w:p>
      <w:pPr>
        <w:pStyle w:val="Heading3"/>
      </w:pPr>
      <w:r>
        <w:t xml:space="preserve">Study I: The Scoping Review</w:t>
      </w:r>
    </w:p>
    <w:p>
      <w:pPr>
        <w:pStyle w:val="FirstParagraph"/>
      </w:pPr>
      <w:r>
        <w:t xml:space="preserve">Study I was a comprehensive mapping of the literature and to the best of my knowledge, identified more relevant studies than any previous review on the topic together with differentiation between association and prediction studies.</w:t>
      </w:r>
      <w:r>
        <w:rPr>
          <w:vertAlign w:val="superscript"/>
        </w:rPr>
        <w:t xml:space="preserve">60,107</w:t>
      </w:r>
      <w:r>
        <w:t xml:space="preserve"> </w:t>
      </w:r>
      <w:r>
        <w:t xml:space="preserve">The study found methodological heterogeneity, which limited the feasibility of synthesizing effect estimates consistently across studies.</w:t>
      </w:r>
      <w:r>
        <w:t xml:space="preserve"> </w:t>
      </w:r>
      <w:r>
        <w:t xml:space="preserve">The findings were therefore presented descriptively by mapping the number of studies investigating different CGM-derived metrics and cardiovascular outcomes.</w:t>
      </w:r>
      <w:r>
        <w:t xml:space="preserve"> </w:t>
      </w:r>
      <w:r>
        <w:t xml:space="preserve">Although this approach provides an overview of the scope and distribution of the existing evidence, it does not allow definitive conclusions to be drawn about the strength or consistency of associations between specific CGM-derived metrics and cardiovascular outcomes.</w:t>
      </w:r>
      <w:r>
        <w:t xml:space="preserve"> </w:t>
      </w:r>
      <w:r>
        <w:t xml:space="preserve">Furthermore, the predominance of cross-sectional studies found in the scoping review limited the clinical interpretation of the evidence identified. Without temporal separation between CGM exposure and cardiovascular outcomes, it is unclear whether the observed glucose patterns preceded cardiovascular disease or resulted from the disease itself, associated behavioural changes, or intensified treatment. Reverse causality could therefore either produce apparent associations that emerged only after the development of CVD or reduce measurable pre-existing associations through subsequent treatment and behavioural changes.</w:t>
      </w:r>
      <w:r>
        <w:t xml:space="preserve"> </w:t>
      </w:r>
      <w:r>
        <w:t xml:space="preserve">Lastly, only searching two databases might have led to missing relevant studies in other databases, however MEDLINE and Embase were deemed the most relevant biomedical databases and a broad search strategy was prioritized over searching other databases due to the mixed terminology in both CGM-derived metrics and cardiovascular outcomes.</w:t>
      </w:r>
    </w:p>
    <w:bookmarkEnd w:id="220"/>
    <w:bookmarkStart w:id="221" w:name="X163a4e5f6649a735b019c65e11861e24b201cbd"/>
    <w:p>
      <w:pPr>
        <w:pStyle w:val="Heading3"/>
      </w:pPr>
      <w:r>
        <w:t xml:space="preserve">Study II: The CGMformer and Cosine Distances</w:t>
      </w:r>
    </w:p>
    <w:p>
      <w:pPr>
        <w:pStyle w:val="FirstParagraph"/>
      </w:pPr>
      <w:r>
        <w:t xml:space="preserve">By externally evaluating CGMformer, developed by Lu et al.,</w:t>
      </w:r>
      <w:r>
        <w:rPr>
          <w:vertAlign w:val="superscript"/>
        </w:rPr>
        <w:t xml:space="preserve">41</w:t>
      </w:r>
      <w:r>
        <w:t xml:space="preserve"> </w:t>
      </w:r>
      <w:r>
        <w:t xml:space="preserve">Study II contributes to the validation of existing models, as recommended by Efthimiou et al.</w:t>
      </w:r>
      <w:r>
        <w:rPr>
          <w:vertAlign w:val="superscript"/>
        </w:rPr>
        <w:t xml:space="preserve">108</w:t>
      </w:r>
      <w:r>
        <w:t xml:space="preserve"> </w:t>
      </w:r>
      <w:r>
        <w:t xml:space="preserve">and provides evidence regarding the foundation model’s generalizability.</w:t>
      </w:r>
      <w:r>
        <w:t xml:space="preserve"> </w:t>
      </w:r>
      <w:r>
        <w:t xml:space="preserve">For the evaluation of the foundation model, by combining comparisons with established CGM-derived metrics, cosine-distance analyzes, and visualizations, the study assessed both whether the representations captured clinically interpretable glycemic patterns and participant-specific glycemic characteristics. This provided greater insight into the content and potential utility of the learned representations.</w:t>
      </w:r>
      <w:r>
        <w:t xml:space="preserve"> </w:t>
      </w:r>
      <w:r>
        <w:t xml:space="preserve">A limitation of the cosine-distance analyzes was the complex dependence structure of the observations. Participants contributed multiple days of CGM data and could therefore be represented in multiple distance comparisons. Consequently, the observations were not independent, making a conventional Mann–Whitney U test inappropriate. Statistical significance would also be difficult to interpret because treating all pairwise distances as independent would overstate the effective sample size and could produce misleadingly small</w:t>
      </w:r>
      <w:r>
        <w:t xml:space="preserve"> </w:t>
      </w:r>
      <m:oMath>
        <m:r>
          <m:t>p</m:t>
        </m:r>
      </m:oMath>
      <w:r>
        <w:t xml:space="preserve">-values. In addition, the very large number of participant pairs would make even small differences statistically significant, further limiting the interpretability of conventional</w:t>
      </w:r>
      <w:r>
        <w:t xml:space="preserve"> </w:t>
      </w:r>
      <m:oMath>
        <m:r>
          <m:t>p</m:t>
        </m:r>
      </m:oMath>
      <w:r>
        <w:t xml:space="preserve">-values. The cosine-distance results were therefore evaluated descriptively and visually, enabling exploration of potential group differences but not formal statistical inference.</w:t>
      </w:r>
    </w:p>
    <w:bookmarkEnd w:id="221"/>
    <w:bookmarkStart w:id="222" w:name="study-ii-prediction-of-nt-probnp"/>
    <w:p>
      <w:pPr>
        <w:pStyle w:val="Heading3"/>
      </w:pPr>
      <w:r>
        <w:t xml:space="preserve">Study II: Prediction of NT-proBNP</w:t>
      </w:r>
    </w:p>
    <w:p>
      <w:pPr>
        <w:pStyle w:val="FirstParagraph"/>
      </w:pPr>
      <w:r>
        <w:t xml:space="preserve">The use of bootstrapping with optimism correction allowed for robust internal validation, thereby reducing the risk of overfitting and overestimating the results which are important factors to take into consideration when working with limited real-world data.</w:t>
      </w:r>
      <w:r>
        <w:t xml:space="preserve"> </w:t>
      </w:r>
      <w:r>
        <w:t xml:space="preserve">The relatively small sample size restricted the analyzes because the available data was deemed insufficient for task-specific fine-tuning of CGMformer, and the embeddings were instead incorporated as fixed predictors in comparatively simple downstream models. Reducing the embeddings to UMAP dimensions made the number of predictors manageable relative to the sample size but may have discarded information relevant to NT-proBNP. Consequently, the available data did not permit evaluation of the embeddings under task-specific fine-tuning, and their potential prognostic value therefore remains undetermined.</w:t>
      </w:r>
      <w:r>
        <w:t xml:space="preserve"> </w:t>
      </w:r>
      <w:r>
        <w:t xml:space="preserve">Furthermore, dichotomizing NT-proBNP at 125 pg/mL may be an imperfect replacement for cardiovascular risk and heart failure, limiting the extent to which the analyzis could assess the relationship between CGM-derived representations and clinical cardiovascular outcomes. A more definitive evaluation would require substantially larger longitudinal datasets containing temporally aligned CGM measurements, relevant clinical covariates, and subsequent cardiovascular outcomes. However, such datasets remain rare, therefore limiting opportunities for task-specific fine-tuning or the development of more complex prediction models. Access to these data would enable assessment of whether the embeddings provide prognostic information beyond established cardiovascular risk factors and traditional CGM-derived metrics.</w:t>
      </w:r>
    </w:p>
    <w:bookmarkEnd w:id="222"/>
    <w:bookmarkStart w:id="223" w:name="Xc53118c2d74d68de200dc9f21c22f34576377a9"/>
    <w:p>
      <w:pPr>
        <w:pStyle w:val="Heading3"/>
      </w:pPr>
      <w:r>
        <w:t xml:space="preserve">Study III: Fairness in Clinical Prediction Models</w:t>
      </w:r>
    </w:p>
    <w:p>
      <w:pPr>
        <w:pStyle w:val="FirstParagraph"/>
      </w:pPr>
      <w:r>
        <w:t xml:space="preserve">A key strength of Study III is its systematic evaluation of how the racial composition of training data influences predictive performance across groups. By examining multiple training strategies and varying group representation in the training data, the study provides a framework that could in addition be applied to fairness evaluations involving other populations, outcomes, and data modalities. The use of openly available data, together with publicly shared analytical code, further enhances the transparency and reproducibility of the study and facilitates extension of the approach in future research.</w:t>
      </w:r>
      <w:r>
        <w:t xml:space="preserve"> </w:t>
      </w:r>
      <w:r>
        <w:t xml:space="preserve">However, the study included only non-Hispanic White and Black participants from the United States. Future studies should evaluate potential disparities across additional racial and ethnic groups and in other geographical settings. Fairness evaluations could also consider other demographic characteristics, such as age, given that glycemic control varies across the lifespan.</w:t>
      </w:r>
      <w:r>
        <w:rPr>
          <w:vertAlign w:val="superscript"/>
        </w:rPr>
        <w:t xml:space="preserve">109</w:t>
      </w:r>
      <w:r>
        <w:t xml:space="preserve"> </w:t>
      </w:r>
      <w:r>
        <w:t xml:space="preserve">Although algorithmic fairness is most commonly evaluated for binary classification using evaluation metrics such as demographic parity and equalized odds,</w:t>
      </w:r>
      <w:r>
        <w:rPr>
          <w:vertAlign w:val="superscript"/>
        </w:rPr>
        <w:t xml:space="preserve">110</w:t>
      </w:r>
      <w:r>
        <w:t xml:space="preserve"> </w:t>
      </w:r>
      <w:r>
        <w:t xml:space="preserve">comparable approaches for prediction of continuous outcomes remain less developed. Study III therefore provides a novel framework for evaluating disparities in glucose forecasting.</w:t>
      </w:r>
      <w:r>
        <w:t xml:space="preserve"> </w:t>
      </w:r>
      <w:r>
        <w:t xml:space="preserve">However, the analyzis was computationally intensive even though only a shallow neural network was evaluated, because models were repeatedly trained across multiple racial compositions and training strategies for each participant.</w:t>
      </w:r>
      <w:r>
        <w:t xml:space="preserve"> </w:t>
      </w:r>
      <w:r>
        <w:t xml:space="preserve">The computational requirements may therefore limit the feasibility of applying this framework to more complex models without access to considerable computing resources.</w:t>
      </w:r>
      <w:r>
        <w:t xml:space="preserve"> </w:t>
      </w:r>
      <w:r>
        <w:t xml:space="preserve">The findings may also depend on the selected prediction horizon. Although a 60-minute horizon was chosen to allow time for potential preventive action, shorter forecasting horizons generally yield greater predictive accuracy.</w:t>
      </w:r>
      <w:r>
        <w:t xml:space="preserve"> </w:t>
      </w:r>
      <w:r>
        <w:t xml:space="preserve">Future studies should determine whether the observed effects of racial composition and transfer learning are consistent across prediction horizons.</w:t>
      </w:r>
      <w:r>
        <w:t xml:space="preserve"> </w:t>
      </w:r>
      <w:r>
        <w:t xml:space="preserve">In addition, the framework was evaluated using only a single US dataset and was not replicated in an independent cohort.</w:t>
      </w:r>
      <w:r>
        <w:t xml:space="preserve"> </w:t>
      </w:r>
      <w:r>
        <w:t xml:space="preserve">Because the forecasting models were trained separately for each participant, external validation of the fitted models themselves was not directly applicable.</w:t>
      </w:r>
    </w:p>
    <w:bookmarkEnd w:id="223"/>
    <w:bookmarkEnd w:id="224"/>
    <w:bookmarkEnd w:id="225"/>
    <w:bookmarkStart w:id="226" w:name="conclusion"/>
    <w:p>
      <w:pPr>
        <w:pStyle w:val="Heading1"/>
      </w:pPr>
      <w:r>
        <w:t xml:space="preserve">6. Conclusion</w:t>
      </w:r>
    </w:p>
    <w:p>
      <w:pPr>
        <w:pStyle w:val="FirstParagraph"/>
      </w:pPr>
      <w:r>
        <w:t xml:space="preserve">This dissertation investigated the potential of CGM data and machine learning methods to improve cardiovascular risk assessment. Overall, the findings demonstrate both the opportunities and current limitations of using CGM data for this purpose. Although previous studies have reported associations between CGM-derived metrics and cardiovascular outcomes, the additional predictive value of traditional CGM-derived metrics and learned representations beyond established clinical predictors was limited in the present work. The dissertation further showed that foundation model-derived representations capture meaningful glycemic patterns and highlighted the importance of evaluating machine learning models across demographic groups. Together, these findings suggest that CGM may have a future role in cardiovascular risk prediction, but larger prospective studies are needed to determine whether both traditionally CGM-derived metrics and more complex methods to extract information from CGM data can meaningfully improve cardiovascular risk stratification in clinical practice.</w:t>
      </w:r>
    </w:p>
    <w:p>
      <w:pPr>
        <w:pStyle w:val="BodyText"/>
      </w:pPr>
      <w:r>
        <w:t xml:space="preserve">These conclusions are supported by the findings corresponding to the four specific aims.</w:t>
      </w:r>
    </w:p>
    <w:p>
      <w:pPr>
        <w:pStyle w:val="BodyText"/>
      </w:pPr>
      <w:r>
        <w:t xml:space="preserve">Aim 1: The scoping review identified a heterogeneous evidence base characterized by numerous studies of associations between glycemic control and cardiovascular outcomes but few studies evaluating the predictive value of CGM-derived metrics.</w:t>
      </w:r>
    </w:p>
    <w:p>
      <w:pPr>
        <w:pStyle w:val="BodyText"/>
      </w:pPr>
      <w:r>
        <w:t xml:space="preserve">Aim 2: The external evaluation of CGMformer showed that its representations captured meaningful glycemic and participant-specific patterns in individuals with T1D and T2D, providing evidence of generalizability beyond the population in which the model was developed on.</w:t>
      </w:r>
    </w:p>
    <w:p>
      <w:pPr>
        <w:pStyle w:val="BodyText"/>
      </w:pPr>
      <w:r>
        <w:t xml:space="preserve">Aim 3: Traditional CGM-derived metrics and learned representations from the foundation model provided limited additional value for identifying elevated NT-proBNP beyond established clinical predictors in individuals with T2D.</w:t>
      </w:r>
    </w:p>
    <w:p>
      <w:pPr>
        <w:pStyle w:val="BodyText"/>
      </w:pPr>
      <w:r>
        <w:t xml:space="preserve">Aim 4: Glucose-forecasting performance differed between non-Hispanic Black and non-Hispanic White participants. These disparities were influenced by the racial composition of the training data and the modelling strategy, while transfer learning showed potential as an approach for reducing some performance differences.</w:t>
      </w:r>
    </w:p>
    <w:bookmarkEnd w:id="226"/>
    <w:bookmarkStart w:id="230" w:name="future-perspectives"/>
    <w:p>
      <w:pPr>
        <w:pStyle w:val="Heading1"/>
      </w:pPr>
      <w:r>
        <w:t xml:space="preserve">7. Future perspectives</w:t>
      </w:r>
    </w:p>
    <w:p>
      <w:pPr>
        <w:pStyle w:val="FirstParagraph"/>
      </w:pPr>
      <w:r>
        <w:t xml:space="preserve">The findings of this thesis do not currently support direct changes to clinical practice but identify several directions for future research.</w:t>
      </w:r>
    </w:p>
    <w:bookmarkStart w:id="227" w:name="X18dd95f694965c3f130bd30dcc1799dffcb05f1"/>
    <w:p>
      <w:pPr>
        <w:pStyle w:val="Heading2"/>
      </w:pPr>
      <w:r>
        <w:t xml:space="preserve">7.1 CGM in future Cardiovascular Risk Prediction</w:t>
      </w:r>
    </w:p>
    <w:p>
      <w:pPr>
        <w:pStyle w:val="FirstParagraph"/>
      </w:pPr>
      <w:r>
        <w:t xml:space="preserve">Foundation models trained on CGM data may eventually enable more comprehensive use of glucose dynamics for cardiovascular risk assessment than traditional CGM-derived metrics.</w:t>
      </w:r>
      <w:r>
        <w:t xml:space="preserve"> </w:t>
      </w:r>
      <w:r>
        <w:t xml:space="preserve">As machine learning methods continue to advance, alongside rapid developments in continuous glucose monitoring and automated insulin delivery technologies, the potential clinical value of CGM-derived information is likely to increase. This is particularly relevant given the increasing global prevalence of diabetes and its associated cardiovascular burden.</w:t>
      </w:r>
    </w:p>
    <w:p>
      <w:pPr>
        <w:pStyle w:val="BodyText"/>
      </w:pPr>
      <w:r>
        <w:t xml:space="preserve">Although traditional CGM-derived metrics provided some predictive value for elevated NT-proBNP, age alone performed similarly while being substantially easier, less expensive, and non-invasive to obtain. Consequently, the additional clinical value of CGM-derived information must outweigh the increased burden and cost associated with collecting CGM data. However, for individuals who already use CGM as part of routine diabetes management, glucose-derived information may provide complementary insights into cardiovascular risk without requiring additional data collection. Unlike age, CGM-derived metrics reflect an individual’s temporal glucose variability, which may capture aspects of metabolic health that are potentially modifiable.</w:t>
      </w:r>
    </w:p>
    <w:bookmarkEnd w:id="227"/>
    <w:bookmarkStart w:id="228" w:name="Xc16b193f65c3236c58f7fbd9a1d5aae59d65f32"/>
    <w:p>
      <w:pPr>
        <w:pStyle w:val="Heading2"/>
      </w:pPr>
      <w:r>
        <w:t xml:space="preserve">7.2 Future Research on CGM Data and Prediction of Cardiovascular Outcomes</w:t>
      </w:r>
    </w:p>
    <w:p>
      <w:pPr>
        <w:pStyle w:val="FirstParagraph"/>
      </w:pPr>
      <w:r>
        <w:t xml:space="preserve">The potential relevance of CGM data for cardiovascular risk assessment is increasingly recognized, as reflected by the ongoing longitudinal FACULTY study, which includes approximately 70,000 participants using CGM devices.</w:t>
      </w:r>
      <w:r>
        <w:rPr>
          <w:vertAlign w:val="superscript"/>
        </w:rPr>
        <w:t xml:space="preserve">111</w:t>
      </w:r>
      <w:r>
        <w:t xml:space="preserve"> </w:t>
      </w:r>
      <w:r>
        <w:t xml:space="preserve">This study may provide an important opportunity to determine whether CGM-derived information adds prognostic value beyond established clinical predictors. However, studies of this scale are not always feasible, and progress in the field will also depend on the ability to synthesize evidence across smaller studies.</w:t>
      </w:r>
      <w:r>
        <w:t xml:space="preserve"> </w:t>
      </w:r>
      <w:r>
        <w:t xml:space="preserve">In this regard, the heterogeneity identified in Study I highlights the need for greater methodological consistency. Wider adherence to consensus recommendations,</w:t>
      </w:r>
      <w:r>
        <w:rPr>
          <w:vertAlign w:val="superscript"/>
        </w:rPr>
        <w:t xml:space="preserve">10</w:t>
      </w:r>
      <w:r>
        <w:t xml:space="preserve"> </w:t>
      </w:r>
      <w:r>
        <w:t xml:space="preserve">could promote more consistent calculation and reporting of CGM-derived metrics. This should be accompanied by prespecified approaches to covariate adjustment, harmonized definitions of cardiovascular outcomes, and transparent documentation of analytical decisions. Greater consistency across these areas would facilitate meaningful comparisons between studies and provide a stronger basis for future systematic reviews and meta-analyzes.</w:t>
      </w:r>
    </w:p>
    <w:p>
      <w:pPr>
        <w:pStyle w:val="BodyText"/>
      </w:pPr>
      <w:r>
        <w:t xml:space="preserve">In addition to methodological alignment, greater use of routinely collected CGM data could support larger and more cost-efficient studies that more closely reflect populations currently using CGM devices. Study I demonstrated that such data remain underused in research on cardiovascular complications. This may partly reflect restricted access to proprietary manufacturer platforms and difficulties linking CGM measurements with individual-level clinical records. In other fields, including medical image analyzis, progress has been accelerated by large, publicly available datasets.</w:t>
      </w:r>
      <w:r>
        <w:rPr>
          <w:vertAlign w:val="superscript"/>
        </w:rPr>
        <w:t xml:space="preserve">112–114</w:t>
      </w:r>
      <w:r>
        <w:t xml:space="preserve"> </w:t>
      </w:r>
      <w:r>
        <w:t xml:space="preserve">However, no equivalent resource currently combines CGM time series with information on diabetes-related complications although efforts have been made to gather an overview of publicly available datasets containing CGM data.</w:t>
      </w:r>
      <w:r>
        <w:rPr>
          <w:vertAlign w:val="superscript"/>
        </w:rPr>
        <w:t xml:space="preserve">74,115,116</w:t>
      </w:r>
      <w:r>
        <w:t xml:space="preserve"> </w:t>
      </w:r>
      <w:r>
        <w:t xml:space="preserve">Developing shared research resources or making existing databases more findable, accessible, interoperable, and reusable in accordance with the FAIR principles could support reproducible research and accelerate progress in this field.</w:t>
      </w:r>
      <w:r>
        <w:rPr>
          <w:vertAlign w:val="superscript"/>
        </w:rPr>
        <w:t xml:space="preserve">117</w:t>
      </w:r>
    </w:p>
    <w:p>
      <w:pPr>
        <w:pStyle w:val="BodyText"/>
      </w:pPr>
      <w:r>
        <w:t xml:space="preserve">Greater availability of large, well-characterized datasets would also make it more feasible to train and fine-tune CGM foundation models for cardiovascular applications. In particular, multimodal models could integrate CGM time series with established cardiovascular risk factors, laboratory measurements, treatment information, and data from other wearable devices. This may allow models to capture complementary information across data sources rather than relying solely on predefined CGM-derived metrics. Shared datasets would further enable standardized benchmarking and independent external evaluation of such models. However, future studies should determine whether the additional complexity provides clinically meaningful improvements beyond simpler and more interpretable approaches.</w:t>
      </w:r>
      <w:r>
        <w:t xml:space="preserve"> </w:t>
      </w:r>
      <w:r>
        <w:t xml:space="preserve">Openly available models and reusable glucose representations could further reduce the resources required to investigate these approaches and enable researchers to adapt pretrained models to smaller, task-specific datasets. Nevertheless, open access alone does not ensure generalizability, particularly if the underlying training data do not adequately represent the populations in which the models are intended to be used in.</w:t>
      </w:r>
    </w:p>
    <w:bookmarkEnd w:id="228"/>
    <w:bookmarkStart w:id="229" w:name="X8a2db0a1afcc658ed8be014006a9dd645bd3a29"/>
    <w:p>
      <w:pPr>
        <w:pStyle w:val="Heading2"/>
      </w:pPr>
      <w:r>
        <w:t xml:space="preserve">7.3 Fairness in Future Clinical Risk Prediction</w:t>
      </w:r>
    </w:p>
    <w:p>
      <w:pPr>
        <w:pStyle w:val="FirstParagraph"/>
      </w:pPr>
      <w:r>
        <w:t xml:space="preserve">Future efforts to develop and implement models for cardiovascular risk prediction should consider the diversity of the intended target population from the beginning. Adequate representation of racial, ethnic, and other minority groups is important not only during model development and external validation but also when evaluating clinical impact. A model exhibiting performance disparities across groups may reinforce existing healthcare inequities, particularly when underrepresentation in the training data reflects unequal access to care or health technologies. In such cases, the model may perform least effectively for groups that are already underserved, further limiting their opportunity to benefit from its implementation.</w:t>
      </w:r>
      <w:r>
        <w:t xml:space="preserve"> </w:t>
      </w:r>
      <w:r>
        <w:t xml:space="preserve">Fairness assessments should therefore consider not only whether predictive performance differs across groups but also whether all groups can access and benefit from the intervention and whether its implementation reduces or reinforces existing healthcare inequities.</w:t>
      </w:r>
      <w:r>
        <w:t xml:space="preserve"> </w:t>
      </w:r>
      <w:r>
        <w:t xml:space="preserve">These considerations should be guided by the characteristics and healthcare context of the intended population and revisited throughout model development, external evaluation, implementation, and post-deployment monitoring.</w:t>
      </w:r>
    </w:p>
    <w:bookmarkEnd w:id="229"/>
    <w:bookmarkEnd w:id="230"/>
    <w:bookmarkStart w:id="427" w:name="sec-refs"/>
    <w:p>
      <w:pPr>
        <w:pStyle w:val="Heading1"/>
      </w:pPr>
      <w:r>
        <w:t xml:space="preserve">References</w:t>
      </w:r>
    </w:p>
    <w:bookmarkStart w:id="426" w:name="refs"/>
    <w:bookmarkStart w:id="231" w:name="ref-Sacks2023"/>
    <w:p>
      <w:pPr>
        <w:pStyle w:val="Bibliography"/>
      </w:pPr>
      <w:r>
        <w:t xml:space="preserve">1.</w:t>
      </w:r>
      <w:r>
        <w:t xml:space="preserve"> </w:t>
      </w:r>
      <w:r>
        <w:t xml:space="preserve">	</w:t>
      </w:r>
      <w:r>
        <w:t xml:space="preserve">Sacks DB, Arnold M, Bakris GL, et al. Guidelines and recommendations for laboratory analysis in the diagnosis and management of diabetes mellitus. Diabetes care 2023;46(10):e151–99.</w:t>
      </w:r>
      <w:r>
        <w:t xml:space="preserve"> </w:t>
      </w:r>
    </w:p>
    <w:bookmarkEnd w:id="231"/>
    <w:bookmarkStart w:id="232" w:name="ref-Deshpande2008"/>
    <w:p>
      <w:pPr>
        <w:pStyle w:val="Bibliography"/>
      </w:pPr>
      <w:r>
        <w:t xml:space="preserve">2.</w:t>
      </w:r>
      <w:r>
        <w:t xml:space="preserve"> </w:t>
      </w:r>
      <w:r>
        <w:t xml:space="preserve">	</w:t>
      </w:r>
      <w:r>
        <w:t xml:space="preserve">Deshpande AD, Harris-Hayes M, Schootman M. Epidemiology of diabetes and diabetes-related complications. Physical therapy 2008;88(11):1254–64.</w:t>
      </w:r>
      <w:r>
        <w:t xml:space="preserve"> </w:t>
      </w:r>
    </w:p>
    <w:bookmarkEnd w:id="232"/>
    <w:bookmarkStart w:id="234" w:name="ref-ADA2026_ch2"/>
    <w:p>
      <w:pPr>
        <w:pStyle w:val="Bibliography"/>
      </w:pPr>
      <w:r>
        <w:t xml:space="preserve">3.</w:t>
      </w:r>
      <w:r>
        <w:t xml:space="preserve"> </w:t>
      </w:r>
      <w:r>
        <w:t xml:space="preserve">	</w:t>
      </w:r>
      <w:r>
        <w:t xml:space="preserve">American Diabetes Association Professional Practice Committee for Diabetes*. 2.</w:t>
      </w:r>
      <w:r>
        <w:t xml:space="preserve"> </w:t>
      </w:r>
      <w:r>
        <w:t xml:space="preserve">Diagnosis</w:t>
      </w:r>
      <w:r>
        <w:t xml:space="preserve"> </w:t>
      </w:r>
      <w:r>
        <w:t xml:space="preserve">and</w:t>
      </w:r>
      <w:r>
        <w:t xml:space="preserve"> </w:t>
      </w:r>
      <w:r>
        <w:t xml:space="preserve">Classification</w:t>
      </w:r>
      <w:r>
        <w:t xml:space="preserve"> </w:t>
      </w:r>
      <w:r>
        <w:t xml:space="preserve">of</w:t>
      </w:r>
      <w:r>
        <w:t xml:space="preserve"> </w:t>
      </w:r>
      <w:r>
        <w:t xml:space="preserve">Diabetes</w:t>
      </w:r>
      <w:r>
        <w:t xml:space="preserve">:</w:t>
      </w:r>
      <w:r>
        <w:t xml:space="preserve"> </w:t>
      </w:r>
      <w:r>
        <w:t xml:space="preserve">Standards</w:t>
      </w:r>
      <w:r>
        <w:t xml:space="preserve"> </w:t>
      </w:r>
      <w:r>
        <w:t xml:space="preserve">of</w:t>
      </w:r>
      <w:r>
        <w:t xml:space="preserve"> </w:t>
      </w:r>
      <w:r>
        <w:t xml:space="preserve">Care</w:t>
      </w:r>
      <w:r>
        <w:t xml:space="preserve"> </w:t>
      </w:r>
      <w:r>
        <w:t xml:space="preserve">in</w:t>
      </w:r>
      <w:r>
        <w:t xml:space="preserve"> </w:t>
      </w:r>
      <w:r>
        <w:t xml:space="preserve">Diabetes</w:t>
      </w:r>
      <w:r>
        <w:t xml:space="preserve">—2026. Diabetes Care [Internet] 2025 [cited 2026 July 8];49(Supplement_1):S27–49. Available from:</w:t>
      </w:r>
      <w:r>
        <w:t xml:space="preserve"> </w:t>
      </w:r>
      <w:hyperlink r:id="rId233">
        <w:r>
          <w:rPr>
            <w:rStyle w:val="Hyperlink"/>
          </w:rPr>
          <w:t xml:space="preserve">https://doi.org/10.2337/dc26-S002</w:t>
        </w:r>
      </w:hyperlink>
    </w:p>
    <w:bookmarkEnd w:id="234"/>
    <w:bookmarkStart w:id="235" w:name="ref-Hall2020"/>
    <w:p>
      <w:pPr>
        <w:pStyle w:val="Bibliography"/>
      </w:pPr>
      <w:r>
        <w:t xml:space="preserve">4.</w:t>
      </w:r>
      <w:r>
        <w:t xml:space="preserve"> </w:t>
      </w:r>
      <w:r>
        <w:t xml:space="preserve">	</w:t>
      </w:r>
      <w:r>
        <w:t xml:space="preserve">Hall ME, Hall JE. Guyton and hall textbook of medical physiology. Elsevier; 2020.</w:t>
      </w:r>
      <w:r>
        <w:t xml:space="preserve"> </w:t>
      </w:r>
    </w:p>
    <w:bookmarkEnd w:id="235"/>
    <w:bookmarkStart w:id="237" w:name="ref-ijms2021"/>
    <w:p>
      <w:pPr>
        <w:pStyle w:val="Bibliography"/>
      </w:pPr>
      <w:r>
        <w:t xml:space="preserve">5.</w:t>
      </w:r>
      <w:r>
        <w:t xml:space="preserve"> </w:t>
      </w:r>
      <w:r>
        <w:t xml:space="preserve">	</w:t>
      </w:r>
      <w:r>
        <w:t xml:space="preserve">Rahman MS, Hossain KS, Das S, et al. Role of insulin in health and disease: An update. International Journal of Molecular Sciences [Internet] 2021;22(12). Available from:</w:t>
      </w:r>
      <w:r>
        <w:t xml:space="preserve"> </w:t>
      </w:r>
      <w:hyperlink r:id="rId236">
        <w:r>
          <w:rPr>
            <w:rStyle w:val="Hyperlink"/>
          </w:rPr>
          <w:t xml:space="preserve">https://www.mdpi.com/1422-0067/22/12/6403</w:t>
        </w:r>
      </w:hyperlink>
    </w:p>
    <w:bookmarkEnd w:id="237"/>
    <w:bookmarkStart w:id="239" w:name="ref-ADA2023_ch6"/>
    <w:p>
      <w:pPr>
        <w:pStyle w:val="Bibliography"/>
      </w:pPr>
      <w:r>
        <w:t xml:space="preserve">6.</w:t>
      </w:r>
      <w:r>
        <w:t xml:space="preserve"> </w:t>
      </w:r>
      <w:r>
        <w:t xml:space="preserve">	</w:t>
      </w:r>
      <w:r>
        <w:t xml:space="preserve">American Diabetes Association Professional Practice Committee. 6.</w:t>
      </w:r>
      <w:r>
        <w:t xml:space="preserve"> </w:t>
      </w:r>
      <w:r>
        <w:t xml:space="preserve">Glycemic</w:t>
      </w:r>
      <w:r>
        <w:t xml:space="preserve"> </w:t>
      </w:r>
      <w:r>
        <w:t xml:space="preserve">Goals</w:t>
      </w:r>
      <w:r>
        <w:t xml:space="preserve"> </w:t>
      </w:r>
      <w:r>
        <w:t xml:space="preserve">and</w:t>
      </w:r>
      <w:r>
        <w:t xml:space="preserve"> </w:t>
      </w:r>
      <w:r>
        <w:t xml:space="preserve">Hypoglycemia</w:t>
      </w:r>
      <w:r>
        <w:t xml:space="preserve">:</w:t>
      </w:r>
      <w:r>
        <w:t xml:space="preserve"> </w:t>
      </w:r>
      <w:r>
        <w:t xml:space="preserve">Standards</w:t>
      </w:r>
      <w:r>
        <w:t xml:space="preserve"> </w:t>
      </w:r>
      <w:r>
        <w:t xml:space="preserve">of</w:t>
      </w:r>
      <w:r>
        <w:t xml:space="preserve"> </w:t>
      </w:r>
      <w:r>
        <w:t xml:space="preserve">Care</w:t>
      </w:r>
      <w:r>
        <w:t xml:space="preserve"> </w:t>
      </w:r>
      <w:r>
        <w:t xml:space="preserve">in</w:t>
      </w:r>
      <w:r>
        <w:t xml:space="preserve"> </w:t>
      </w:r>
      <w:r>
        <w:t xml:space="preserve">Diabetes</w:t>
      </w:r>
      <w:r>
        <w:t xml:space="preserve">—2024. Diabetes Care [Internet] 2023 [cited 2024 May 17];47(Supplement_1):Suppl 1:S111–S125. Available from:</w:t>
      </w:r>
      <w:r>
        <w:t xml:space="preserve"> </w:t>
      </w:r>
      <w:hyperlink r:id="rId238">
        <w:r>
          <w:rPr>
            <w:rStyle w:val="Hyperlink"/>
          </w:rPr>
          <w:t xml:space="preserve">https://doi.org/10.2337/dc24-S006</w:t>
        </w:r>
      </w:hyperlink>
    </w:p>
    <w:bookmarkEnd w:id="239"/>
    <w:bookmarkStart w:id="241" w:name="ref-ADA2026_ch6"/>
    <w:p>
      <w:pPr>
        <w:pStyle w:val="Bibliography"/>
      </w:pPr>
      <w:r>
        <w:t xml:space="preserve">7.</w:t>
      </w:r>
      <w:r>
        <w:t xml:space="preserve"> </w:t>
      </w:r>
      <w:r>
        <w:t xml:space="preserve">	</w:t>
      </w:r>
      <w:r>
        <w:t xml:space="preserve">American Diabetes Association Professional Practice Committee for Diabetes*. 6.</w:t>
      </w:r>
      <w:r>
        <w:t xml:space="preserve"> </w:t>
      </w:r>
      <w:r>
        <w:t xml:space="preserve">Glycemic</w:t>
      </w:r>
      <w:r>
        <w:t xml:space="preserve"> </w:t>
      </w:r>
      <w:r>
        <w:t xml:space="preserve">Goals</w:t>
      </w:r>
      <w:r>
        <w:t xml:space="preserve">,</w:t>
      </w:r>
      <w:r>
        <w:t xml:space="preserve"> </w:t>
      </w:r>
      <w:r>
        <w:t xml:space="preserve">Hypoglycemia</w:t>
      </w:r>
      <w:r>
        <w:t xml:space="preserve">, and</w:t>
      </w:r>
      <w:r>
        <w:t xml:space="preserve"> </w:t>
      </w:r>
      <w:r>
        <w:t xml:space="preserve">Hyperglycemic</w:t>
      </w:r>
      <w:r>
        <w:t xml:space="preserve"> </w:t>
      </w:r>
      <w:r>
        <w:t xml:space="preserve">Crises</w:t>
      </w:r>
      <w:r>
        <w:t xml:space="preserve">:</w:t>
      </w:r>
      <w:r>
        <w:t xml:space="preserve"> </w:t>
      </w:r>
      <w:r>
        <w:t xml:space="preserve">Standards</w:t>
      </w:r>
      <w:r>
        <w:t xml:space="preserve"> </w:t>
      </w:r>
      <w:r>
        <w:t xml:space="preserve">of</w:t>
      </w:r>
      <w:r>
        <w:t xml:space="preserve"> </w:t>
      </w:r>
      <w:r>
        <w:t xml:space="preserve">Care</w:t>
      </w:r>
      <w:r>
        <w:t xml:space="preserve"> </w:t>
      </w:r>
      <w:r>
        <w:t xml:space="preserve">in</w:t>
      </w:r>
      <w:r>
        <w:t xml:space="preserve"> </w:t>
      </w:r>
      <w:r>
        <w:t xml:space="preserve">Diabetes</w:t>
      </w:r>
      <w:r>
        <w:t xml:space="preserve">—2026. Diabetes Care [Internet] 2025 [cited 2026 July 9];49(Supplement_1):S132–49. Available from:</w:t>
      </w:r>
      <w:r>
        <w:t xml:space="preserve"> </w:t>
      </w:r>
      <w:hyperlink r:id="rId240">
        <w:r>
          <w:rPr>
            <w:rStyle w:val="Hyperlink"/>
          </w:rPr>
          <w:t xml:space="preserve">https://doi.org/10.2337/dc26-S006</w:t>
        </w:r>
      </w:hyperlink>
    </w:p>
    <w:bookmarkEnd w:id="241"/>
    <w:bookmarkStart w:id="243" w:name="ref-IDF_2025_guidelines"/>
    <w:p>
      <w:pPr>
        <w:pStyle w:val="Bibliography"/>
      </w:pPr>
      <w:r>
        <w:t xml:space="preserve">8.</w:t>
      </w:r>
      <w:r>
        <w:t xml:space="preserve"> </w:t>
      </w:r>
      <w:r>
        <w:t xml:space="preserve">	</w:t>
      </w:r>
      <w:r>
        <w:t xml:space="preserve">International Diabetes Federation. IDF global clinical practice recommendations for managing type 2 diabetes [Internet]. Brussels, Belgium: International Diabetes Federation; 2025. Available from:</w:t>
      </w:r>
      <w:r>
        <w:t xml:space="preserve"> </w:t>
      </w:r>
      <w:hyperlink r:id="rId242">
        <w:r>
          <w:rPr>
            <w:rStyle w:val="Hyperlink"/>
          </w:rPr>
          <w:t xml:space="preserve">https://idf.org/download-global-clinical-practice-recommendations/</w:t>
        </w:r>
      </w:hyperlink>
    </w:p>
    <w:bookmarkEnd w:id="243"/>
    <w:bookmarkStart w:id="245" w:name="ref-Buscemi2010"/>
    <w:p>
      <w:pPr>
        <w:pStyle w:val="Bibliography"/>
      </w:pPr>
      <w:r>
        <w:t xml:space="preserve">9.</w:t>
      </w:r>
      <w:r>
        <w:t xml:space="preserve"> </w:t>
      </w:r>
      <w:r>
        <w:t xml:space="preserve">	</w:t>
      </w:r>
      <w:r>
        <w:t xml:space="preserve">Buscemi S, Re A, Batsis J A, et al. Glycaemic variability using continuous glucose monitoring and endothelial function in the metabolic syndrome and in</w:t>
      </w:r>
      <w:r>
        <w:t xml:space="preserve"> </w:t>
      </w:r>
      <w:r>
        <w:t xml:space="preserve">Type</w:t>
      </w:r>
      <w:r>
        <w:t xml:space="preserve"> </w:t>
      </w:r>
      <w:r>
        <w:t xml:space="preserve">2 diabetes. Comment in: Diabet Med 2011 Jan;28(1):125-6; author reply 127-8 PMID: 21166857 [https://wwwncbinlmnihgov/pubmed/21166857] Comment in: Diabet Med 2011 Jan;28(1):126; author reply 127-8 PMID: 21166858 [https://wwwncbinlmnihgov/pubmed/21166858] [Internet] 2010;27(8):872–8. Available from:</w:t>
      </w:r>
      <w:r>
        <w:t xml:space="preserve"> </w:t>
      </w:r>
      <w:hyperlink r:id="rId244">
        <w:r>
          <w:rPr>
            <w:rStyle w:val="Hyperlink"/>
          </w:rPr>
          <w:t xml:space="preserve">http://ovidsp.ovid.com/ovidweb.cgi?T=JS&amp;PAGE=reference&amp;D=med8&amp;NEWS=N&amp;AN=20653743</w:t>
        </w:r>
      </w:hyperlink>
    </w:p>
    <w:bookmarkEnd w:id="245"/>
    <w:bookmarkStart w:id="246" w:name="ref-Danne2017"/>
    <w:p>
      <w:pPr>
        <w:pStyle w:val="Bibliography"/>
      </w:pPr>
      <w:r>
        <w:t xml:space="preserve">10.</w:t>
      </w:r>
      <w:r>
        <w:t xml:space="preserve"> </w:t>
      </w:r>
      <w:r>
        <w:t xml:space="preserve">	</w:t>
      </w:r>
      <w:r>
        <w:t xml:space="preserve">Danne T, Nimri R, Battelino T, et al. International consensus on use of continuous glucose monitoring. Diabetes care 2017;40(12):1631–40.</w:t>
      </w:r>
      <w:r>
        <w:t xml:space="preserve"> </w:t>
      </w:r>
    </w:p>
    <w:bookmarkEnd w:id="246"/>
    <w:bookmarkStart w:id="248" w:name="ref-Freckmann2024"/>
    <w:p>
      <w:pPr>
        <w:pStyle w:val="Bibliography"/>
      </w:pPr>
      <w:r>
        <w:t xml:space="preserve">11.</w:t>
      </w:r>
      <w:r>
        <w:t xml:space="preserve"> </w:t>
      </w:r>
      <w:r>
        <w:t xml:space="preserve">	</w:t>
      </w:r>
      <w:r>
        <w:t xml:space="preserve">Freckmann G, Schauer S, Beltzer A, et al.</w:t>
      </w:r>
      <w:r>
        <w:t xml:space="preserve"> </w:t>
      </w:r>
      <w:hyperlink r:id="rId247">
        <w:r>
          <w:rPr>
            <w:rStyle w:val="Hyperlink"/>
          </w:rPr>
          <w:t xml:space="preserve">Continuous</w:t>
        </w:r>
        <w:r>
          <w:rPr>
            <w:rStyle w:val="Hyperlink"/>
          </w:rPr>
          <w:t xml:space="preserve"> </w:t>
        </w:r>
        <w:r>
          <w:rPr>
            <w:rStyle w:val="Hyperlink"/>
          </w:rPr>
          <w:t xml:space="preserve">Glucose</w:t>
        </w:r>
        <w:r>
          <w:rPr>
            <w:rStyle w:val="Hyperlink"/>
          </w:rPr>
          <w:t xml:space="preserve"> </w:t>
        </w:r>
        <w:r>
          <w:rPr>
            <w:rStyle w:val="Hyperlink"/>
          </w:rPr>
          <w:t xml:space="preserve">Profiles</w:t>
        </w:r>
        <w:r>
          <w:rPr>
            <w:rStyle w:val="Hyperlink"/>
          </w:rPr>
          <w:t xml:space="preserve"> </w:t>
        </w:r>
        <w:r>
          <w:rPr>
            <w:rStyle w:val="Hyperlink"/>
          </w:rPr>
          <w:t xml:space="preserve">in</w:t>
        </w:r>
        <w:r>
          <w:rPr>
            <w:rStyle w:val="Hyperlink"/>
          </w:rPr>
          <w:t xml:space="preserve"> </w:t>
        </w:r>
        <w:r>
          <w:rPr>
            <w:rStyle w:val="Hyperlink"/>
          </w:rPr>
          <w:t xml:space="preserve">Healthy</w:t>
        </w:r>
        <w:r>
          <w:rPr>
            <w:rStyle w:val="Hyperlink"/>
          </w:rPr>
          <w:t xml:space="preserve"> </w:t>
        </w:r>
        <w:r>
          <w:rPr>
            <w:rStyle w:val="Hyperlink"/>
          </w:rPr>
          <w:t xml:space="preserve">People</w:t>
        </w:r>
        <w:r>
          <w:rPr>
            <w:rStyle w:val="Hyperlink"/>
          </w:rPr>
          <w:t xml:space="preserve"> </w:t>
        </w:r>
        <w:r>
          <w:rPr>
            <w:rStyle w:val="Hyperlink"/>
          </w:rPr>
          <w:t xml:space="preserve">With</w:t>
        </w:r>
        <w:r>
          <w:rPr>
            <w:rStyle w:val="Hyperlink"/>
          </w:rPr>
          <w:t xml:space="preserve"> </w:t>
        </w:r>
        <w:r>
          <w:rPr>
            <w:rStyle w:val="Hyperlink"/>
          </w:rPr>
          <w:t xml:space="preserve">Fixed</w:t>
        </w:r>
        <w:r>
          <w:rPr>
            <w:rStyle w:val="Hyperlink"/>
          </w:rPr>
          <w:t xml:space="preserve"> </w:t>
        </w:r>
        <w:r>
          <w:rPr>
            <w:rStyle w:val="Hyperlink"/>
          </w:rPr>
          <w:t xml:space="preserve">Meal</w:t>
        </w:r>
        <w:r>
          <w:rPr>
            <w:rStyle w:val="Hyperlink"/>
          </w:rPr>
          <w:t xml:space="preserve"> </w:t>
        </w:r>
        <w:r>
          <w:rPr>
            <w:rStyle w:val="Hyperlink"/>
          </w:rPr>
          <w:t xml:space="preserve">Times</w:t>
        </w:r>
        <w:r>
          <w:rPr>
            <w:rStyle w:val="Hyperlink"/>
          </w:rPr>
          <w:t xml:space="preserve"> </w:t>
        </w:r>
        <w:r>
          <w:rPr>
            <w:rStyle w:val="Hyperlink"/>
          </w:rPr>
          <w:t xml:space="preserve">and</w:t>
        </w:r>
        <w:r>
          <w:rPr>
            <w:rStyle w:val="Hyperlink"/>
          </w:rPr>
          <w:t xml:space="preserve"> </w:t>
        </w:r>
        <w:r>
          <w:rPr>
            <w:rStyle w:val="Hyperlink"/>
          </w:rPr>
          <w:t xml:space="preserve">Under</w:t>
        </w:r>
        <w:r>
          <w:rPr>
            <w:rStyle w:val="Hyperlink"/>
          </w:rPr>
          <w:t xml:space="preserve"> </w:t>
        </w:r>
        <w:r>
          <w:rPr>
            <w:rStyle w:val="Hyperlink"/>
          </w:rPr>
          <w:t xml:space="preserve">Everyday</w:t>
        </w:r>
        <w:r>
          <w:rPr>
            <w:rStyle w:val="Hyperlink"/>
          </w:rPr>
          <w:t xml:space="preserve"> </w:t>
        </w:r>
        <w:r>
          <w:rPr>
            <w:rStyle w:val="Hyperlink"/>
          </w:rPr>
          <w:t xml:space="preserve">Life</w:t>
        </w:r>
        <w:r>
          <w:rPr>
            <w:rStyle w:val="Hyperlink"/>
          </w:rPr>
          <w:t xml:space="preserve"> </w:t>
        </w:r>
        <w:r>
          <w:rPr>
            <w:rStyle w:val="Hyperlink"/>
          </w:rPr>
          <w:t xml:space="preserve">Conditions</w:t>
        </w:r>
      </w:hyperlink>
      <w:r>
        <w:t xml:space="preserve">. Journal of Diabetes Science and Technology 2024;18(2):407–13.</w:t>
      </w:r>
      <w:r>
        <w:t xml:space="preserve"> </w:t>
      </w:r>
    </w:p>
    <w:bookmarkEnd w:id="248"/>
    <w:bookmarkStart w:id="250" w:name="ref-ADA2026_ch7"/>
    <w:p>
      <w:pPr>
        <w:pStyle w:val="Bibliography"/>
      </w:pPr>
      <w:r>
        <w:t xml:space="preserve">12.</w:t>
      </w:r>
      <w:r>
        <w:t xml:space="preserve"> </w:t>
      </w:r>
      <w:r>
        <w:t xml:space="preserve">	</w:t>
      </w:r>
      <w:r>
        <w:t xml:space="preserve">American Diabetes Association Professional Practice Committee for Diabetes*. 7.</w:t>
      </w:r>
      <w:r>
        <w:t xml:space="preserve"> </w:t>
      </w:r>
      <w:r>
        <w:t xml:space="preserve">Diabetes</w:t>
      </w:r>
      <w:r>
        <w:t xml:space="preserve"> </w:t>
      </w:r>
      <w:r>
        <w:t xml:space="preserve">Technology</w:t>
      </w:r>
      <w:r>
        <w:t xml:space="preserve">:</w:t>
      </w:r>
      <w:r>
        <w:t xml:space="preserve"> </w:t>
      </w:r>
      <w:r>
        <w:t xml:space="preserve">Standards</w:t>
      </w:r>
      <w:r>
        <w:t xml:space="preserve"> </w:t>
      </w:r>
      <w:r>
        <w:t xml:space="preserve">of</w:t>
      </w:r>
      <w:r>
        <w:t xml:space="preserve"> </w:t>
      </w:r>
      <w:r>
        <w:t xml:space="preserve">Care</w:t>
      </w:r>
      <w:r>
        <w:t xml:space="preserve"> </w:t>
      </w:r>
      <w:r>
        <w:t xml:space="preserve">in</w:t>
      </w:r>
      <w:r>
        <w:t xml:space="preserve"> </w:t>
      </w:r>
      <w:r>
        <w:t xml:space="preserve">Diabetes</w:t>
      </w:r>
      <w:r>
        <w:t xml:space="preserve">—2026. Diabetes Care [Internet] 2026 [cited 2026 July 13];49(Supplement_1):S150–65. Available from:</w:t>
      </w:r>
      <w:r>
        <w:t xml:space="preserve"> </w:t>
      </w:r>
      <w:hyperlink r:id="rId249">
        <w:r>
          <w:rPr>
            <w:rStyle w:val="Hyperlink"/>
          </w:rPr>
          <w:t xml:space="preserve">https://doi.org/10.2337/dc26-S007</w:t>
        </w:r>
      </w:hyperlink>
    </w:p>
    <w:bookmarkEnd w:id="250"/>
    <w:bookmarkStart w:id="252" w:name="ref-Templer2022"/>
    <w:p>
      <w:pPr>
        <w:pStyle w:val="Bibliography"/>
      </w:pPr>
      <w:r>
        <w:t xml:space="preserve">13.</w:t>
      </w:r>
      <w:r>
        <w:t xml:space="preserve"> </w:t>
      </w:r>
      <w:r>
        <w:t xml:space="preserve">	</w:t>
      </w:r>
      <w:r>
        <w:t xml:space="preserve">Templer S. Closed-</w:t>
      </w:r>
      <w:r>
        <w:t xml:space="preserve">Loop</w:t>
      </w:r>
      <w:r>
        <w:t xml:space="preserve"> </w:t>
      </w:r>
      <w:r>
        <w:t xml:space="preserve">Insulin</w:t>
      </w:r>
      <w:r>
        <w:t xml:space="preserve"> </w:t>
      </w:r>
      <w:r>
        <w:t xml:space="preserve">Delivery</w:t>
      </w:r>
      <w:r>
        <w:t xml:space="preserve"> </w:t>
      </w:r>
      <w:r>
        <w:t xml:space="preserve">Systems</w:t>
      </w:r>
      <w:r>
        <w:t xml:space="preserve">:</w:t>
      </w:r>
      <w:r>
        <w:t xml:space="preserve"> </w:t>
      </w:r>
      <w:r>
        <w:t xml:space="preserve">Past</w:t>
      </w:r>
      <w:r>
        <w:t xml:space="preserve">,</w:t>
      </w:r>
      <w:r>
        <w:t xml:space="preserve"> </w:t>
      </w:r>
      <w:r>
        <w:t xml:space="preserve">Present</w:t>
      </w:r>
      <w:r>
        <w:t xml:space="preserve">, and</w:t>
      </w:r>
      <w:r>
        <w:t xml:space="preserve"> </w:t>
      </w:r>
      <w:r>
        <w:t xml:space="preserve">Future</w:t>
      </w:r>
      <w:r>
        <w:t xml:space="preserve"> </w:t>
      </w:r>
      <w:r>
        <w:t xml:space="preserve">Directions</w:t>
      </w:r>
      <w:r>
        <w:t xml:space="preserve">. Frontiers in Endocrinology [Internet] 2022 [cited 2024 Oct 31];13:1–9. Available from:</w:t>
      </w:r>
      <w:r>
        <w:t xml:space="preserve"> </w:t>
      </w:r>
      <w:hyperlink r:id="rId251">
        <w:r>
          <w:rPr>
            <w:rStyle w:val="Hyperlink"/>
          </w:rPr>
          <w:t xml:space="preserve">https://www.frontiersin.org/articles/10.3389/fendo.2022.919942/full</w:t>
        </w:r>
      </w:hyperlink>
    </w:p>
    <w:bookmarkEnd w:id="252"/>
    <w:bookmarkStart w:id="254" w:name="ref-Rimon2024"/>
    <w:p>
      <w:pPr>
        <w:pStyle w:val="Bibliography"/>
      </w:pPr>
      <w:r>
        <w:t xml:space="preserve">14.</w:t>
      </w:r>
      <w:r>
        <w:t xml:space="preserve"> </w:t>
      </w:r>
      <w:r>
        <w:t xml:space="preserve">	</w:t>
      </w:r>
      <w:r>
        <w:t xml:space="preserve">Rimon MTI, Hasan MW, Hassan MF, Cesmeci S. Advancements in insulin pumps: A comprehensive exploration of insulin pump systems, technologies, and future directions. Pharmaceutics [Internet] 2024;16(7). Available from:</w:t>
      </w:r>
      <w:r>
        <w:t xml:space="preserve"> </w:t>
      </w:r>
      <w:hyperlink r:id="rId253">
        <w:r>
          <w:rPr>
            <w:rStyle w:val="Hyperlink"/>
          </w:rPr>
          <w:t xml:space="preserve">https://www.mdpi.com/1999-4923/16/7/944</w:t>
        </w:r>
      </w:hyperlink>
    </w:p>
    <w:bookmarkEnd w:id="254"/>
    <w:bookmarkStart w:id="256" w:name="ref-Jaloli2023"/>
    <w:p>
      <w:pPr>
        <w:pStyle w:val="Bibliography"/>
      </w:pPr>
      <w:r>
        <w:t xml:space="preserve">15.</w:t>
      </w:r>
      <w:r>
        <w:t xml:space="preserve"> </w:t>
      </w:r>
      <w:r>
        <w:t xml:space="preserve">	</w:t>
      </w:r>
      <w:r>
        <w:t xml:space="preserve">Jaloli M, Cescon M. Long-</w:t>
      </w:r>
      <w:r>
        <w:t xml:space="preserve">Term</w:t>
      </w:r>
      <w:r>
        <w:t xml:space="preserve"> </w:t>
      </w:r>
      <w:r>
        <w:t xml:space="preserve">Prediction</w:t>
      </w:r>
      <w:r>
        <w:t xml:space="preserve"> </w:t>
      </w:r>
      <w:r>
        <w:t xml:space="preserve">of</w:t>
      </w:r>
      <w:r>
        <w:t xml:space="preserve"> </w:t>
      </w:r>
      <w:r>
        <w:t xml:space="preserve">Blood</w:t>
      </w:r>
      <w:r>
        <w:t xml:space="preserve"> </w:t>
      </w:r>
      <w:r>
        <w:t xml:space="preserve">Glucose</w:t>
      </w:r>
      <w:r>
        <w:t xml:space="preserve"> </w:t>
      </w:r>
      <w:r>
        <w:t xml:space="preserve">Levels</w:t>
      </w:r>
      <w:r>
        <w:t xml:space="preserve"> </w:t>
      </w:r>
      <w:r>
        <w:t xml:space="preserve">in</w:t>
      </w:r>
      <w:r>
        <w:t xml:space="preserve"> </w:t>
      </w:r>
      <w:r>
        <w:t xml:space="preserve">Type</w:t>
      </w:r>
      <w:r>
        <w:t xml:space="preserve"> </w:t>
      </w:r>
      <w:r>
        <w:t xml:space="preserve">1</w:t>
      </w:r>
      <w:r>
        <w:t xml:space="preserve"> </w:t>
      </w:r>
      <w:r>
        <w:t xml:space="preserve">Diabetes</w:t>
      </w:r>
      <w:r>
        <w:t xml:space="preserve"> </w:t>
      </w:r>
      <w:r>
        <w:t xml:space="preserve">Using</w:t>
      </w:r>
      <w:r>
        <w:t xml:space="preserve"> </w:t>
      </w:r>
      <w:r>
        <w:t xml:space="preserve">a</w:t>
      </w:r>
      <w:r>
        <w:t xml:space="preserve"> </w:t>
      </w:r>
      <w:r>
        <w:t xml:space="preserve">CNN</w:t>
      </w:r>
      <w:r>
        <w:t xml:space="preserve">-</w:t>
      </w:r>
      <w:r>
        <w:t xml:space="preserve">LSTM</w:t>
      </w:r>
      <w:r>
        <w:t xml:space="preserve">-</w:t>
      </w:r>
      <w:r>
        <w:t xml:space="preserve">Based</w:t>
      </w:r>
      <w:r>
        <w:t xml:space="preserve"> </w:t>
      </w:r>
      <w:r>
        <w:t xml:space="preserve">Deep</w:t>
      </w:r>
      <w:r>
        <w:t xml:space="preserve"> </w:t>
      </w:r>
      <w:r>
        <w:t xml:space="preserve">Neural</w:t>
      </w:r>
      <w:r>
        <w:t xml:space="preserve"> </w:t>
      </w:r>
      <w:r>
        <w:t xml:space="preserve">Network</w:t>
      </w:r>
      <w:r>
        <w:t xml:space="preserve">. Journal of Diabetes Science and Technology [Internet] 2023 [cited 2025 Jan 28];17(6):1590–601. Available from:</w:t>
      </w:r>
      <w:r>
        <w:t xml:space="preserve"> </w:t>
      </w:r>
      <w:hyperlink r:id="rId255">
        <w:r>
          <w:rPr>
            <w:rStyle w:val="Hyperlink"/>
          </w:rPr>
          <w:t xml:space="preserve">http://journals.sagepub.com/doi/10.1177/19322968221092785</w:t>
        </w:r>
      </w:hyperlink>
    </w:p>
    <w:bookmarkEnd w:id="256"/>
    <w:bookmarkStart w:id="258" w:name="ref-Gao2020"/>
    <w:p>
      <w:pPr>
        <w:pStyle w:val="Bibliography"/>
      </w:pPr>
      <w:r>
        <w:t xml:space="preserve">16.</w:t>
      </w:r>
      <w:r>
        <w:t xml:space="preserve"> </w:t>
      </w:r>
      <w:r>
        <w:t xml:space="preserve">	</w:t>
      </w:r>
      <w:r>
        <w:t xml:space="preserve">Gao Y, Cui Y. Deep transfer learning for reducing health care disparities arising from biomedical data inequality. Nature Communications [Internet] 2020;11(1):1–8. Available from:</w:t>
      </w:r>
      <w:r>
        <w:t xml:space="preserve"> </w:t>
      </w:r>
      <w:hyperlink r:id="rId257">
        <w:r>
          <w:rPr>
            <w:rStyle w:val="Hyperlink"/>
          </w:rPr>
          <w:t xml:space="preserve">https://doi.org/10.1038/s41467-020-18918-3 https://www.nature.com/articles/s41467-020-18918-3.pdf</w:t>
        </w:r>
      </w:hyperlink>
    </w:p>
    <w:bookmarkEnd w:id="258"/>
    <w:bookmarkStart w:id="260" w:name="ref-Kovatchev2016"/>
    <w:p>
      <w:pPr>
        <w:pStyle w:val="Bibliography"/>
      </w:pPr>
      <w:r>
        <w:t xml:space="preserve">17.</w:t>
      </w:r>
      <w:r>
        <w:t xml:space="preserve"> </w:t>
      </w:r>
      <w:r>
        <w:t xml:space="preserve">	</w:t>
      </w:r>
      <w:r>
        <w:t xml:space="preserve">Kovatchev B, Cobelli C. Glucose</w:t>
      </w:r>
      <w:r>
        <w:t xml:space="preserve"> </w:t>
      </w:r>
      <w:r>
        <w:t xml:space="preserve">Variability</w:t>
      </w:r>
      <w:r>
        <w:t xml:space="preserve">:</w:t>
      </w:r>
      <w:r>
        <w:t xml:space="preserve"> </w:t>
      </w:r>
      <w:r>
        <w:t xml:space="preserve">Timing</w:t>
      </w:r>
      <w:r>
        <w:t xml:space="preserve">,</w:t>
      </w:r>
      <w:r>
        <w:t xml:space="preserve"> </w:t>
      </w:r>
      <w:r>
        <w:t xml:space="preserve">Risk</w:t>
      </w:r>
      <w:r>
        <w:t xml:space="preserve"> </w:t>
      </w:r>
      <w:r>
        <w:t xml:space="preserve">Analysis</w:t>
      </w:r>
      <w:r>
        <w:t xml:space="preserve">, and</w:t>
      </w:r>
      <w:r>
        <w:t xml:space="preserve"> </w:t>
      </w:r>
      <w:r>
        <w:t xml:space="preserve">Relationship</w:t>
      </w:r>
      <w:r>
        <w:t xml:space="preserve"> </w:t>
      </w:r>
      <w:r>
        <w:t xml:space="preserve">to</w:t>
      </w:r>
      <w:r>
        <w:t xml:space="preserve"> </w:t>
      </w:r>
      <w:r>
        <w:t xml:space="preserve">Hypoglycemia</w:t>
      </w:r>
      <w:r>
        <w:t xml:space="preserve"> </w:t>
      </w:r>
      <w:r>
        <w:t xml:space="preserve">in</w:t>
      </w:r>
      <w:r>
        <w:t xml:space="preserve"> </w:t>
      </w:r>
      <w:r>
        <w:t xml:space="preserve">Diabetes</w:t>
      </w:r>
      <w:r>
        <w:t xml:space="preserve">. Diabetes Care [Internet] 2016 [cited 2024 Dec 20];39(4):502–10. Available from:</w:t>
      </w:r>
      <w:r>
        <w:t xml:space="preserve"> </w:t>
      </w:r>
      <w:hyperlink r:id="rId259">
        <w:r>
          <w:rPr>
            <w:rStyle w:val="Hyperlink"/>
          </w:rPr>
          <w:t xml:space="preserve">https://doi.org/10.2337/dc15-2035</w:t>
        </w:r>
      </w:hyperlink>
    </w:p>
    <w:bookmarkEnd w:id="260"/>
    <w:bookmarkStart w:id="262" w:name="ref-Mo2024"/>
    <w:p>
      <w:pPr>
        <w:pStyle w:val="Bibliography"/>
      </w:pPr>
      <w:r>
        <w:t xml:space="preserve">18.</w:t>
      </w:r>
      <w:r>
        <w:t xml:space="preserve"> </w:t>
      </w:r>
      <w:r>
        <w:t xml:space="preserve">	</w:t>
      </w:r>
      <w:r>
        <w:t xml:space="preserve">Mo Y, Lu J, Zhou J. Glycemic variability:</w:t>
      </w:r>
      <w:r>
        <w:t xml:space="preserve"> </w:t>
      </w:r>
      <w:r>
        <w:t xml:space="preserve">Measurement</w:t>
      </w:r>
      <w:r>
        <w:t xml:space="preserve">, target, impact on complications of diabetes and does it really matter? Journal of Diabetes Investigation [Internet] 2024 [cited 2026 July 13];15(1):5–14. Available from:</w:t>
      </w:r>
      <w:r>
        <w:t xml:space="preserve"> </w:t>
      </w:r>
      <w:hyperlink r:id="rId261">
        <w:r>
          <w:rPr>
            <w:rStyle w:val="Hyperlink"/>
          </w:rPr>
          <w:t xml:space="preserve">https://onlinelibrary.wiley.com/doi/10.1111/jdi.14112</w:t>
        </w:r>
      </w:hyperlink>
    </w:p>
    <w:bookmarkEnd w:id="262"/>
    <w:bookmarkStart w:id="264" w:name="ref-rawshani2017"/>
    <w:p>
      <w:pPr>
        <w:pStyle w:val="Bibliography"/>
      </w:pPr>
      <w:r>
        <w:t xml:space="preserve">19.</w:t>
      </w:r>
      <w:r>
        <w:t xml:space="preserve"> </w:t>
      </w:r>
      <w:r>
        <w:t xml:space="preserve">	</w:t>
      </w:r>
      <w:r>
        <w:t xml:space="preserve">Rawshani A, Rawshani A, Franz én S, et al.</w:t>
      </w:r>
      <w:r>
        <w:t xml:space="preserve"> Mortality and</w:t>
      </w:r>
      <w:r>
        <w:t xml:space="preserve"> </w:t>
      </w:r>
      <w:r>
        <w:t xml:space="preserve">Cardiovascular</w:t>
      </w:r>
      <w:r>
        <w:t xml:space="preserve"> </w:t>
      </w:r>
      <w:r>
        <w:t xml:space="preserve">Disease</w:t>
      </w:r>
      <w:r>
        <w:t xml:space="preserve"> </w:t>
      </w:r>
      <w:r>
        <w:t xml:space="preserve">in</w:t>
      </w:r>
      <w:r>
        <w:t xml:space="preserve"> </w:t>
      </w:r>
      <w:r>
        <w:t xml:space="preserve">Type</w:t>
      </w:r>
      <w:r>
        <w:t xml:space="preserve"> </w:t>
      </w:r>
      <w:r>
        <w:t xml:space="preserve">1 and</w:t>
      </w:r>
      <w:r>
        <w:t xml:space="preserve"> </w:t>
      </w:r>
      <w:r>
        <w:t xml:space="preserve">Type</w:t>
      </w:r>
      <w:r>
        <w:t xml:space="preserve"> </w:t>
      </w:r>
      <w:r>
        <w:t xml:space="preserve">2</w:t>
      </w:r>
      <w:r>
        <w:t xml:space="preserve"> </w:t>
      </w:r>
      <w:r>
        <w:t xml:space="preserve">Diabetes</w:t>
      </w:r>
      <w:r>
        <w:t xml:space="preserve">. New England Journal of Medicine [Internet] 2017 [cited 2026 July 13];376(15):1407–18. Available from:</w:t>
      </w:r>
      <w:r>
        <w:t xml:space="preserve"> </w:t>
      </w:r>
      <w:hyperlink r:id="rId263">
        <w:r>
          <w:rPr>
            <w:rStyle w:val="Hyperlink"/>
          </w:rPr>
          <w:t xml:space="preserve">https://www.nejm.org/doi/full/10.1056/NEJMoa1608664</w:t>
        </w:r>
      </w:hyperlink>
    </w:p>
    <w:bookmarkEnd w:id="264"/>
    <w:bookmarkStart w:id="265" w:name="ref-ADA2026_ch10"/>
    <w:p>
      <w:pPr>
        <w:pStyle w:val="Bibliography"/>
      </w:pPr>
      <w:r>
        <w:t xml:space="preserve">20.</w:t>
      </w:r>
      <w:r>
        <w:t xml:space="preserve"> </w:t>
      </w:r>
      <w:r>
        <w:t xml:space="preserve">	</w:t>
      </w:r>
      <w:r>
        <w:t xml:space="preserve">Bajaj M, McCoy RG, Balapattabi K, et al. 10. Cardiovascular disease and risk management: Standards of care in diabetes-2026. Diabetes care 2026;49(Supplement_1):S216–45.</w:t>
      </w:r>
      <w:r>
        <w:t xml:space="preserve"> </w:t>
      </w:r>
    </w:p>
    <w:bookmarkEnd w:id="265"/>
    <w:bookmarkStart w:id="266" w:name="ref-Pennells2023_score2dm"/>
    <w:p>
      <w:pPr>
        <w:pStyle w:val="Bibliography"/>
      </w:pPr>
      <w:r>
        <w:t xml:space="preserve">21.</w:t>
      </w:r>
      <w:r>
        <w:t xml:space="preserve"> </w:t>
      </w:r>
      <w:r>
        <w:t xml:space="preserve">	</w:t>
      </w:r>
      <w:r>
        <w:t xml:space="preserve">Pennells L, Kaptoge S, Østergaard HB, et al. SCORE2-diabetes: 10-year cardiovascular risk estimation in type 2 diabetes in europe. European heart journal 2023;44(28):2544–56.</w:t>
      </w:r>
      <w:r>
        <w:t xml:space="preserve"> </w:t>
      </w:r>
    </w:p>
    <w:bookmarkEnd w:id="266"/>
    <w:bookmarkStart w:id="268" w:name="ref-Hoek2024"/>
    <w:p>
      <w:pPr>
        <w:pStyle w:val="Bibliography"/>
      </w:pPr>
      <w:r>
        <w:t xml:space="preserve">22.</w:t>
      </w:r>
      <w:r>
        <w:t xml:space="preserve"> </w:t>
      </w:r>
      <w:r>
        <w:t xml:space="preserve">	</w:t>
      </w:r>
      <w:r>
        <w:t xml:space="preserve">Hoek AG, Dal Canto E, Wenker E, et al. Epidemiology of heart failure in diabetes: A disease in disguise. Diabetologia [Internet] 2024 [cited 2026 July 13];67(4):574–601. Available from:</w:t>
      </w:r>
      <w:r>
        <w:t xml:space="preserve"> </w:t>
      </w:r>
      <w:hyperlink r:id="rId267">
        <w:r>
          <w:rPr>
            <w:rStyle w:val="Hyperlink"/>
          </w:rPr>
          <w:t xml:space="preserve">https://doi.org/10.1007/s00125-023-06068-2</w:t>
        </w:r>
      </w:hyperlink>
    </w:p>
    <w:bookmarkEnd w:id="268"/>
    <w:bookmarkStart w:id="270" w:name="ref-mcdonagh2021"/>
    <w:p>
      <w:pPr>
        <w:pStyle w:val="Bibliography"/>
      </w:pPr>
      <w:r>
        <w:t xml:space="preserve">23.</w:t>
      </w:r>
      <w:r>
        <w:t xml:space="preserve"> </w:t>
      </w:r>
      <w:r>
        <w:t xml:space="preserve">	</w:t>
      </w:r>
      <w:r>
        <w:t xml:space="preserve">McDonagh TA, Metra M, Adamo M, et al. 2021</w:t>
      </w:r>
      <w:r>
        <w:t xml:space="preserve"> </w:t>
      </w:r>
      <w:r>
        <w:t xml:space="preserve">ESC</w:t>
      </w:r>
      <w:r>
        <w:t xml:space="preserve"> </w:t>
      </w:r>
      <w:r>
        <w:t xml:space="preserve">Guidelines</w:t>
      </w:r>
      <w:r>
        <w:t xml:space="preserve"> </w:t>
      </w:r>
      <w:r>
        <w:t xml:space="preserve">for the diagnosis and treatment of acute and chronic heart failure:</w:t>
      </w:r>
      <w:r>
        <w:t xml:space="preserve"> </w:t>
      </w:r>
      <w:r>
        <w:t xml:space="preserve">Developed</w:t>
      </w:r>
      <w:r>
        <w:t xml:space="preserve"> </w:t>
      </w:r>
      <w:r>
        <w:t xml:space="preserve">by the</w:t>
      </w:r>
      <w:r>
        <w:t xml:space="preserve"> </w:t>
      </w:r>
      <w:r>
        <w:t xml:space="preserve">Task</w:t>
      </w:r>
      <w:r>
        <w:t xml:space="preserve"> </w:t>
      </w:r>
      <w:r>
        <w:t xml:space="preserve">Force</w:t>
      </w:r>
      <w:r>
        <w:t xml:space="preserve"> </w:t>
      </w:r>
      <w:r>
        <w:t xml:space="preserve">for the diagnosis and treatment of acute and chronic heart failure of the</w:t>
      </w:r>
      <w:r>
        <w:t xml:space="preserve"> </w:t>
      </w:r>
      <w:r>
        <w:t xml:space="preserve">European</w:t>
      </w:r>
      <w:r>
        <w:t xml:space="preserve"> </w:t>
      </w:r>
      <w:r>
        <w:t xml:space="preserve">Society</w:t>
      </w:r>
      <w:r>
        <w:t xml:space="preserve"> </w:t>
      </w:r>
      <w:r>
        <w:t xml:space="preserve">of</w:t>
      </w:r>
      <w:r>
        <w:t xml:space="preserve"> </w:t>
      </w:r>
      <w:r>
        <w:t xml:space="preserve">Cardiology</w:t>
      </w:r>
      <w:r>
        <w:t xml:space="preserve"> </w:t>
      </w:r>
      <w:r>
        <w:t xml:space="preserve">(</w:t>
      </w:r>
      <w:r>
        <w:t xml:space="preserve">ESC</w:t>
      </w:r>
      <w:r>
        <w:t xml:space="preserve">)</w:t>
      </w:r>
      <w:r>
        <w:t xml:space="preserve"> </w:t>
      </w:r>
      <w:r>
        <w:t xml:space="preserve">With</w:t>
      </w:r>
      <w:r>
        <w:t xml:space="preserve"> </w:t>
      </w:r>
      <w:r>
        <w:t xml:space="preserve">the special contribution of the</w:t>
      </w:r>
      <w:r>
        <w:t xml:space="preserve"> </w:t>
      </w:r>
      <w:r>
        <w:t xml:space="preserve">Heart</w:t>
      </w:r>
      <w:r>
        <w:t xml:space="preserve"> </w:t>
      </w:r>
      <w:r>
        <w:t xml:space="preserve">Failure</w:t>
      </w:r>
      <w:r>
        <w:t xml:space="preserve"> </w:t>
      </w:r>
      <w:r>
        <w:t xml:space="preserve">Association</w:t>
      </w:r>
      <w:r>
        <w:t xml:space="preserve"> </w:t>
      </w:r>
      <w:r>
        <w:t xml:space="preserve">(</w:t>
      </w:r>
      <w:r>
        <w:t xml:space="preserve">HFA</w:t>
      </w:r>
      <w:r>
        <w:t xml:space="preserve">) of the</w:t>
      </w:r>
      <w:r>
        <w:t xml:space="preserve"> </w:t>
      </w:r>
      <w:r>
        <w:t xml:space="preserve">ESC</w:t>
      </w:r>
      <w:r>
        <w:t xml:space="preserve">. European Heart Journal [Internet] 2021 [cited 2026 July 13];42(36):3599–726. Available from:</w:t>
      </w:r>
      <w:r>
        <w:t xml:space="preserve"> </w:t>
      </w:r>
      <w:hyperlink r:id="rId269">
        <w:r>
          <w:rPr>
            <w:rStyle w:val="Hyperlink"/>
          </w:rPr>
          <w:t xml:space="preserve">https://doi.org/10.1093/eurheartj/ehab368</w:t>
        </w:r>
      </w:hyperlink>
    </w:p>
    <w:bookmarkEnd w:id="270"/>
    <w:bookmarkStart w:id="272" w:name="ref-Framingham2007"/>
    <w:p>
      <w:pPr>
        <w:pStyle w:val="Bibliography"/>
      </w:pPr>
      <w:r>
        <w:t xml:space="preserve">24.</w:t>
      </w:r>
      <w:r>
        <w:t xml:space="preserve"> </w:t>
      </w:r>
      <w:r>
        <w:t xml:space="preserve">	</w:t>
      </w:r>
      <w:r>
        <w:t xml:space="preserve">Hemann BA, Bimson WF, Taylor AJ. The framingham risk score: An appraisal of its benefits and limitations. American Heart Hospital Journal [Internet] 2007;5(2):91–6. Available from:</w:t>
      </w:r>
      <w:r>
        <w:t xml:space="preserve"> </w:t>
      </w:r>
      <w:hyperlink r:id="rId271">
        <w:r>
          <w:rPr>
            <w:rStyle w:val="Hyperlink"/>
          </w:rPr>
          <w:t xml:space="preserve">https://onlinelibrary.wiley.com/doi/abs/10.1111/j.1541-9215.2007.06350.x</w:t>
        </w:r>
      </w:hyperlink>
    </w:p>
    <w:bookmarkEnd w:id="272"/>
    <w:bookmarkStart w:id="274" w:name="ref-QRISK_2007"/>
    <w:p>
      <w:pPr>
        <w:pStyle w:val="Bibliography"/>
      </w:pPr>
      <w:r>
        <w:t xml:space="preserve">25.</w:t>
      </w:r>
      <w:r>
        <w:t xml:space="preserve"> </w:t>
      </w:r>
      <w:r>
        <w:t xml:space="preserve">	</w:t>
      </w:r>
      <w:r>
        <w:t xml:space="preserve">Hippisley-Cox J, Coupland C, Vinogradova Y, Robson J, May M, Brindle P. Derivation and validation of</w:t>
      </w:r>
      <w:r>
        <w:t xml:space="preserve"> </w:t>
      </w:r>
      <w:r>
        <w:t xml:space="preserve">QRISK</w:t>
      </w:r>
      <w:r>
        <w:t xml:space="preserve">, a new cardiovascular disease risk score for the</w:t>
      </w:r>
      <w:r>
        <w:t xml:space="preserve"> </w:t>
      </w:r>
      <w:r>
        <w:t xml:space="preserve">United</w:t>
      </w:r>
      <w:r>
        <w:t xml:space="preserve"> </w:t>
      </w:r>
      <w:r>
        <w:t xml:space="preserve">Kingdom</w:t>
      </w:r>
      <w:r>
        <w:t xml:space="preserve">: Prospective open cohort study. BMJ : British Medical Journal [Internet] 2007 [cited 2026 July 13];335(7611):136. Available from:</w:t>
      </w:r>
      <w:r>
        <w:t xml:space="preserve"> </w:t>
      </w:r>
      <w:hyperlink r:id="rId273">
        <w:r>
          <w:rPr>
            <w:rStyle w:val="Hyperlink"/>
          </w:rPr>
          <w:t xml:space="preserve">https://pmc.ncbi.nlm.nih.gov/articles/PMC1925200/</w:t>
        </w:r>
      </w:hyperlink>
    </w:p>
    <w:bookmarkEnd w:id="274"/>
    <w:bookmarkStart w:id="276" w:name="ref-Segar2019"/>
    <w:p>
      <w:pPr>
        <w:pStyle w:val="Bibliography"/>
      </w:pPr>
      <w:r>
        <w:t xml:space="preserve">26.</w:t>
      </w:r>
      <w:r>
        <w:t xml:space="preserve"> </w:t>
      </w:r>
      <w:r>
        <w:t xml:space="preserve">	</w:t>
      </w:r>
      <w:r>
        <w:t xml:space="preserve">Segar MW, Vaduganathan M, Patel KV, et al. Machine</w:t>
      </w:r>
      <w:r>
        <w:t xml:space="preserve"> </w:t>
      </w:r>
      <w:r>
        <w:t xml:space="preserve">Learning</w:t>
      </w:r>
      <w:r>
        <w:t xml:space="preserve"> </w:t>
      </w:r>
      <w:r>
        <w:t xml:space="preserve">to</w:t>
      </w:r>
      <w:r>
        <w:t xml:space="preserve"> </w:t>
      </w:r>
      <w:r>
        <w:t xml:space="preserve">Predict</w:t>
      </w:r>
      <w:r>
        <w:t xml:space="preserve"> </w:t>
      </w:r>
      <w:r>
        <w:t xml:space="preserve">the</w:t>
      </w:r>
      <w:r>
        <w:t xml:space="preserve"> </w:t>
      </w:r>
      <w:r>
        <w:t xml:space="preserve">Risk</w:t>
      </w:r>
      <w:r>
        <w:t xml:space="preserve"> </w:t>
      </w:r>
      <w:r>
        <w:t xml:space="preserve">of</w:t>
      </w:r>
      <w:r>
        <w:t xml:space="preserve"> </w:t>
      </w:r>
      <w:r>
        <w:t xml:space="preserve">Incident</w:t>
      </w:r>
      <w:r>
        <w:t xml:space="preserve"> </w:t>
      </w:r>
      <w:r>
        <w:t xml:space="preserve">Heart</w:t>
      </w:r>
      <w:r>
        <w:t xml:space="preserve"> </w:t>
      </w:r>
      <w:r>
        <w:t xml:space="preserve">Failure</w:t>
      </w:r>
      <w:r>
        <w:t xml:space="preserve"> </w:t>
      </w:r>
      <w:r>
        <w:t xml:space="preserve">Hospitalization</w:t>
      </w:r>
      <w:r>
        <w:t xml:space="preserve"> </w:t>
      </w:r>
      <w:r>
        <w:t xml:space="preserve">Among</w:t>
      </w:r>
      <w:r>
        <w:t xml:space="preserve"> </w:t>
      </w:r>
      <w:r>
        <w:t xml:space="preserve">Patients</w:t>
      </w:r>
      <w:r>
        <w:t xml:space="preserve"> </w:t>
      </w:r>
      <w:r>
        <w:t xml:space="preserve">With</w:t>
      </w:r>
      <w:r>
        <w:t xml:space="preserve"> </w:t>
      </w:r>
      <w:r>
        <w:t xml:space="preserve">Diabetes</w:t>
      </w:r>
      <w:r>
        <w:t xml:space="preserve">:</w:t>
      </w:r>
      <w:r>
        <w:t xml:space="preserve"> </w:t>
      </w:r>
      <w:r>
        <w:t xml:space="preserve">The</w:t>
      </w:r>
      <w:r>
        <w:t xml:space="preserve"> </w:t>
      </w:r>
      <w:r>
        <w:t xml:space="preserve">WATCH</w:t>
      </w:r>
      <w:r>
        <w:t xml:space="preserve">-</w:t>
      </w:r>
      <w:r>
        <w:t xml:space="preserve">DM</w:t>
      </w:r>
      <w:r>
        <w:t xml:space="preserve"> </w:t>
      </w:r>
      <w:r>
        <w:t xml:space="preserve">Risk</w:t>
      </w:r>
      <w:r>
        <w:t xml:space="preserve"> </w:t>
      </w:r>
      <w:r>
        <w:t xml:space="preserve">Score</w:t>
      </w:r>
      <w:r>
        <w:t xml:space="preserve">. Diabetes Care [Internet] 2019 [cited 2026 July 13];42(12):2298–306. Available from:</w:t>
      </w:r>
      <w:r>
        <w:t xml:space="preserve"> </w:t>
      </w:r>
      <w:hyperlink r:id="rId275">
        <w:r>
          <w:rPr>
            <w:rStyle w:val="Hyperlink"/>
          </w:rPr>
          <w:t xml:space="preserve">https://doi.org/10.2337/dc19-0587</w:t>
        </w:r>
      </w:hyperlink>
    </w:p>
    <w:bookmarkEnd w:id="276"/>
    <w:bookmarkStart w:id="278" w:name="ref-Donald2010"/>
    <w:p>
      <w:pPr>
        <w:pStyle w:val="Bibliography"/>
      </w:pPr>
      <w:r>
        <w:t xml:space="preserve">27.</w:t>
      </w:r>
      <w:r>
        <w:t xml:space="preserve"> </w:t>
      </w:r>
      <w:r>
        <w:t xml:space="preserve">	</w:t>
      </w:r>
      <w:r>
        <w:t xml:space="preserve">Lloyd-Jones DM. Cardiovascular risk prediction. Circulation [Internet] 2010;121(15):1768–77. Available from:</w:t>
      </w:r>
      <w:r>
        <w:t xml:space="preserve"> </w:t>
      </w:r>
      <w:hyperlink r:id="rId277">
        <w:r>
          <w:rPr>
            <w:rStyle w:val="Hyperlink"/>
          </w:rPr>
          <w:t xml:space="preserve">https://www.ahajournals.org/doi/abs/10.1161/CIRCULATIONAHA.109.849166</w:t>
        </w:r>
      </w:hyperlink>
    </w:p>
    <w:bookmarkEnd w:id="278"/>
    <w:bookmarkStart w:id="279" w:name="ref-Hsiao2025"/>
    <w:p>
      <w:pPr>
        <w:pStyle w:val="Bibliography"/>
      </w:pPr>
      <w:r>
        <w:t xml:space="preserve">28.</w:t>
      </w:r>
      <w:r>
        <w:t xml:space="preserve"> </w:t>
      </w:r>
      <w:r>
        <w:t xml:space="preserve">	</w:t>
      </w:r>
      <w:r>
        <w:t xml:space="preserve">Hsiao F-C, Lin C-P, Hsu T-J, et al. Glycohemoglobin variations and long-term risk of incident heart failure in patients with type 2 diabetes. Mayo Clinic proceedings 2025;100(8):1332–44.</w:t>
      </w:r>
      <w:r>
        <w:t xml:space="preserve"> </w:t>
      </w:r>
    </w:p>
    <w:bookmarkEnd w:id="279"/>
    <w:bookmarkStart w:id="280" w:name="ref-Belli2023"/>
    <w:p>
      <w:pPr>
        <w:pStyle w:val="Bibliography"/>
      </w:pPr>
      <w:r>
        <w:t xml:space="preserve">29.</w:t>
      </w:r>
      <w:r>
        <w:t xml:space="preserve"> </w:t>
      </w:r>
      <w:r>
        <w:t xml:space="preserve">	</w:t>
      </w:r>
      <w:r>
        <w:t xml:space="preserve">Belli M, Bellia A, Sergi D, Barone L, Lauro D, Barillà F. Glucose variability: A new risk factor for cardiovascular disease. Acta diabetologica 2023;60(10):1291–9.</w:t>
      </w:r>
      <w:r>
        <w:t xml:space="preserve"> </w:t>
      </w:r>
    </w:p>
    <w:bookmarkEnd w:id="280"/>
    <w:bookmarkStart w:id="282" w:name="ref-TiborVarga2020"/>
    <w:p>
      <w:pPr>
        <w:pStyle w:val="Bibliography"/>
      </w:pPr>
      <w:r>
        <w:t xml:space="preserve">30.</w:t>
      </w:r>
      <w:r>
        <w:t xml:space="preserve"> </w:t>
      </w:r>
      <w:r>
        <w:t xml:space="preserve">	</w:t>
      </w:r>
      <w:r>
        <w:t xml:space="preserve">Varga TV, Niss K, Estampador AC, Collin CB, Moseley PL. Association is not prediction:</w:t>
      </w:r>
      <w:r>
        <w:t xml:space="preserve"> </w:t>
      </w:r>
      <w:r>
        <w:t xml:space="preserve">A</w:t>
      </w:r>
      <w:r>
        <w:t xml:space="preserve"> </w:t>
      </w:r>
      <w:r>
        <w:t xml:space="preserve">landscape of confused reporting in diabetes –</w:t>
      </w:r>
      <w:r>
        <w:t xml:space="preserve"> </w:t>
      </w:r>
      <w:r>
        <w:t xml:space="preserve">A</w:t>
      </w:r>
      <w:r>
        <w:t xml:space="preserve"> </w:t>
      </w:r>
      <w:r>
        <w:t xml:space="preserve">systematic review. Diabetes Research and Clinical Practice [Internet] 2020 [cited 2025 Aug 6];170:108497. Available from:</w:t>
      </w:r>
      <w:r>
        <w:t xml:space="preserve"> </w:t>
      </w:r>
      <w:hyperlink r:id="rId281">
        <w:r>
          <w:rPr>
            <w:rStyle w:val="Hyperlink"/>
          </w:rPr>
          <w:t xml:space="preserve">https://www.sciencedirect.com/science/article/pii/S0168822720307518</w:t>
        </w:r>
      </w:hyperlink>
    </w:p>
    <w:bookmarkEnd w:id="282"/>
    <w:bookmarkStart w:id="284" w:name="ref-Shmueli2010"/>
    <w:p>
      <w:pPr>
        <w:pStyle w:val="Bibliography"/>
      </w:pPr>
      <w:r>
        <w:t xml:space="preserve">31.</w:t>
      </w:r>
      <w:r>
        <w:t xml:space="preserve"> </w:t>
      </w:r>
      <w:r>
        <w:t xml:space="preserve">	</w:t>
      </w:r>
      <w:r>
        <w:t xml:space="preserve">Shmueli G. To</w:t>
      </w:r>
      <w:r>
        <w:t xml:space="preserve"> </w:t>
      </w:r>
      <w:r>
        <w:t xml:space="preserve">Explain</w:t>
      </w:r>
      <w:r>
        <w:t xml:space="preserve"> </w:t>
      </w:r>
      <w:r>
        <w:t xml:space="preserve">or to</w:t>
      </w:r>
      <w:r>
        <w:t xml:space="preserve"> </w:t>
      </w:r>
      <w:r>
        <w:t xml:space="preserve">Predict</w:t>
      </w:r>
      <w:r>
        <w:t xml:space="preserve">? Statistical Science [Internet] 2010 [cited 2026 July 14];25(3):289–310. Available from:</w:t>
      </w:r>
      <w:r>
        <w:t xml:space="preserve"> </w:t>
      </w:r>
      <w:hyperlink r:id="rId283">
        <w:r>
          <w:rPr>
            <w:rStyle w:val="Hyperlink"/>
          </w:rPr>
          <w:t xml:space="preserve">https://www.jstor.org/stable/41058949</w:t>
        </w:r>
      </w:hyperlink>
    </w:p>
    <w:bookmarkEnd w:id="284"/>
    <w:bookmarkStart w:id="286" w:name="ref-Breiman2001"/>
    <w:p>
      <w:pPr>
        <w:pStyle w:val="Bibliography"/>
      </w:pPr>
      <w:r>
        <w:t xml:space="preserve">32.</w:t>
      </w:r>
      <w:r>
        <w:t xml:space="preserve"> </w:t>
      </w:r>
      <w:r>
        <w:t xml:space="preserve">	</w:t>
      </w:r>
      <w:r>
        <w:t xml:space="preserve">Breiman L. Statistical</w:t>
      </w:r>
      <w:r>
        <w:t xml:space="preserve"> </w:t>
      </w:r>
      <w:r>
        <w:t xml:space="preserve">Modeling</w:t>
      </w:r>
      <w:r>
        <w:t xml:space="preserve">:</w:t>
      </w:r>
      <w:r>
        <w:t xml:space="preserve"> </w:t>
      </w:r>
      <w:r>
        <w:t xml:space="preserve">The</w:t>
      </w:r>
      <w:r>
        <w:t xml:space="preserve"> </w:t>
      </w:r>
      <w:r>
        <w:t xml:space="preserve">Two</w:t>
      </w:r>
      <w:r>
        <w:t xml:space="preserve"> </w:t>
      </w:r>
      <w:r>
        <w:t xml:space="preserve">Cultures</w:t>
      </w:r>
      <w:r>
        <w:t xml:space="preserve"> </w:t>
      </w:r>
      <w:r>
        <w:t xml:space="preserve">(with comments and a rejoinder by the author). Statistical Science [Internet] 2001 [cited 2026 July 14];16(3):199–231. Available from:</w:t>
      </w:r>
      <w:r>
        <w:t xml:space="preserve"> </w:t>
      </w:r>
      <w:hyperlink r:id="rId285">
        <w:r>
          <w:rPr>
            <w:rStyle w:val="Hyperlink"/>
          </w:rPr>
          <w:t xml:space="preserve">https://projecteuclid.org/journals/statistical-science/volume-16/issue-3/Statistical-Modeling--The-Two-Cultures-with-comments-and-a/10.1214/ss/1009213726.full</w:t>
        </w:r>
      </w:hyperlink>
    </w:p>
    <w:bookmarkEnd w:id="286"/>
    <w:bookmarkStart w:id="288" w:name="ref-VanCalster2025"/>
    <w:p>
      <w:pPr>
        <w:pStyle w:val="Bibliography"/>
      </w:pPr>
      <w:r>
        <w:t xml:space="preserve">33.</w:t>
      </w:r>
      <w:r>
        <w:t xml:space="preserve"> </w:t>
      </w:r>
      <w:r>
        <w:t xml:space="preserve">	</w:t>
      </w:r>
      <w:r>
        <w:t xml:space="preserve">Van Calster B, Collins GS, Vickers AJ, et al.</w:t>
      </w:r>
      <w:r>
        <w:t xml:space="preserve"> Evaluation of performance measures in predictive artificial intelligence models to support medical decisions: Overview and guidance. The Lancet Digital Health [Internet] 2025;7(12):100916. Available from:</w:t>
      </w:r>
      <w:r>
        <w:t xml:space="preserve"> </w:t>
      </w:r>
      <w:hyperlink r:id="rId287">
        <w:r>
          <w:rPr>
            <w:rStyle w:val="Hyperlink"/>
          </w:rPr>
          <w:t xml:space="preserve">https://www.sciencedirect.com/science/article/pii/S2589750025000986</w:t>
        </w:r>
      </w:hyperlink>
    </w:p>
    <w:bookmarkEnd w:id="288"/>
    <w:bookmarkStart w:id="289" w:name="ref-vanDoorn2021"/>
    <w:p>
      <w:pPr>
        <w:pStyle w:val="Bibliography"/>
      </w:pPr>
      <w:r>
        <w:t xml:space="preserve">34.</w:t>
      </w:r>
      <w:r>
        <w:t xml:space="preserve"> </w:t>
      </w:r>
      <w:r>
        <w:t xml:space="preserve">	</w:t>
      </w:r>
      <w:r>
        <w:t xml:space="preserve">Doorn WPTM van, Foreman YD, Schaper NC, et al. Machine learning-based glucose prediction with use of continuous glucose and physical activity monitoring data: The maastricht study. PloS one 2021;16(6):e0253125–.</w:t>
      </w:r>
      <w:r>
        <w:t xml:space="preserve"> </w:t>
      </w:r>
    </w:p>
    <w:bookmarkEnd w:id="289"/>
    <w:bookmarkStart w:id="291" w:name="ref-Ellahham2020"/>
    <w:p>
      <w:pPr>
        <w:pStyle w:val="Bibliography"/>
      </w:pPr>
      <w:r>
        <w:t xml:space="preserve">35.</w:t>
      </w:r>
      <w:r>
        <w:t xml:space="preserve"> </w:t>
      </w:r>
      <w:r>
        <w:t xml:space="preserve">	</w:t>
      </w:r>
      <w:r>
        <w:t xml:space="preserve">Ellahham S. Artificial</w:t>
      </w:r>
      <w:r>
        <w:t xml:space="preserve"> </w:t>
      </w:r>
      <w:r>
        <w:t xml:space="preserve">Intelligence</w:t>
      </w:r>
      <w:r>
        <w:t xml:space="preserve">:</w:t>
      </w:r>
      <w:r>
        <w:t xml:space="preserve"> </w:t>
      </w:r>
      <w:r>
        <w:t xml:space="preserve">The</w:t>
      </w:r>
      <w:r>
        <w:t xml:space="preserve"> </w:t>
      </w:r>
      <w:r>
        <w:t xml:space="preserve">Future</w:t>
      </w:r>
      <w:r>
        <w:t xml:space="preserve"> </w:t>
      </w:r>
      <w:r>
        <w:t xml:space="preserve">for</w:t>
      </w:r>
      <w:r>
        <w:t xml:space="preserve"> </w:t>
      </w:r>
      <w:r>
        <w:t xml:space="preserve">Diabetes</w:t>
      </w:r>
      <w:r>
        <w:t xml:space="preserve"> </w:t>
      </w:r>
      <w:r>
        <w:t xml:space="preserve">Care</w:t>
      </w:r>
      <w:r>
        <w:t xml:space="preserve">. The American Journal of Medicine [Internet] 2020 [cited 2026 July 14];133(8):895–900. Available from:</w:t>
      </w:r>
      <w:r>
        <w:t xml:space="preserve"> </w:t>
      </w:r>
      <w:hyperlink r:id="rId290">
        <w:r>
          <w:rPr>
            <w:rStyle w:val="Hyperlink"/>
          </w:rPr>
          <w:t xml:space="preserve">https://linkinghub.elsevier.com/retrieve/pii/S0002934320303399</w:t>
        </w:r>
      </w:hyperlink>
    </w:p>
    <w:bookmarkEnd w:id="291"/>
    <w:bookmarkStart w:id="293" w:name="ref-Badillo2020"/>
    <w:p>
      <w:pPr>
        <w:pStyle w:val="Bibliography"/>
      </w:pPr>
      <w:r>
        <w:t xml:space="preserve">36.</w:t>
      </w:r>
      <w:r>
        <w:t xml:space="preserve"> </w:t>
      </w:r>
      <w:r>
        <w:t xml:space="preserve">	</w:t>
      </w:r>
      <w:r>
        <w:t xml:space="preserve">Badillo S, Banfai B, Birzele F, et al. An</w:t>
      </w:r>
      <w:r>
        <w:t xml:space="preserve"> </w:t>
      </w:r>
      <w:r>
        <w:t xml:space="preserve">Introduction</w:t>
      </w:r>
      <w:r>
        <w:t xml:space="preserve"> </w:t>
      </w:r>
      <w:r>
        <w:t xml:space="preserve">to</w:t>
      </w:r>
      <w:r>
        <w:t xml:space="preserve"> </w:t>
      </w:r>
      <w:r>
        <w:t xml:space="preserve">Machine</w:t>
      </w:r>
      <w:r>
        <w:t xml:space="preserve"> </w:t>
      </w:r>
      <w:r>
        <w:t xml:space="preserve">Learning</w:t>
      </w:r>
      <w:r>
        <w:t xml:space="preserve">. Clinical Pharmacology &amp; Therapeutics [Internet] 2020 [cited 2026 July 14];107(4):871–85. Available from:</w:t>
      </w:r>
      <w:r>
        <w:t xml:space="preserve"> </w:t>
      </w:r>
      <w:hyperlink r:id="rId292">
        <w:r>
          <w:rPr>
            <w:rStyle w:val="Hyperlink"/>
          </w:rPr>
          <w:t xml:space="preserve">https://ascpt.onlinelibrary.wiley.com/doi/10.1002/cpt.1796</w:t>
        </w:r>
      </w:hyperlink>
    </w:p>
    <w:bookmarkEnd w:id="293"/>
    <w:bookmarkStart w:id="295" w:name="ref-Bengio2013"/>
    <w:p>
      <w:pPr>
        <w:pStyle w:val="Bibliography"/>
      </w:pPr>
      <w:r>
        <w:t xml:space="preserve">37.</w:t>
      </w:r>
      <w:r>
        <w:t xml:space="preserve"> </w:t>
      </w:r>
      <w:r>
        <w:t xml:space="preserve">	</w:t>
      </w:r>
      <w:r>
        <w:t xml:space="preserve">Bengio Y, Courville A, Vincent P. Representation</w:t>
      </w:r>
      <w:r>
        <w:t xml:space="preserve"> </w:t>
      </w:r>
      <w:r>
        <w:t xml:space="preserve">Learning</w:t>
      </w:r>
      <w:r>
        <w:t xml:space="preserve">:</w:t>
      </w:r>
      <w:r>
        <w:t xml:space="preserve"> </w:t>
      </w:r>
      <w:r>
        <w:t xml:space="preserve">A</w:t>
      </w:r>
      <w:r>
        <w:t xml:space="preserve"> </w:t>
      </w:r>
      <w:r>
        <w:t xml:space="preserve">Review</w:t>
      </w:r>
      <w:r>
        <w:t xml:space="preserve"> </w:t>
      </w:r>
      <w:r>
        <w:t xml:space="preserve">and</w:t>
      </w:r>
      <w:r>
        <w:t xml:space="preserve"> </w:t>
      </w:r>
      <w:r>
        <w:t xml:space="preserve">New</w:t>
      </w:r>
      <w:r>
        <w:t xml:space="preserve"> </w:t>
      </w:r>
      <w:r>
        <w:t xml:space="preserve">Perspectives</w:t>
      </w:r>
      <w:r>
        <w:t xml:space="preserve">. IEEE Transactions on Pattern Analysis and Machine Intelligence [Internet] 2013 [cited 2026 July 14];35(8):1798–828. Available from:</w:t>
      </w:r>
      <w:r>
        <w:t xml:space="preserve"> </w:t>
      </w:r>
      <w:hyperlink r:id="rId294">
        <w:r>
          <w:rPr>
            <w:rStyle w:val="Hyperlink"/>
          </w:rPr>
          <w:t xml:space="preserve">https://ieeexplore.ieee.org/abstract/document/6472238</w:t>
        </w:r>
      </w:hyperlink>
    </w:p>
    <w:bookmarkEnd w:id="295"/>
    <w:bookmarkStart w:id="296" w:name="ref-Foreman2021"/>
    <w:p>
      <w:pPr>
        <w:pStyle w:val="Bibliography"/>
      </w:pPr>
      <w:r>
        <w:t xml:space="preserve">38.</w:t>
      </w:r>
      <w:r>
        <w:t xml:space="preserve"> </w:t>
      </w:r>
      <w:r>
        <w:t xml:space="preserve">	</w:t>
      </w:r>
      <w:r>
        <w:t xml:space="preserve">Foreman YD, Doorn WPTM van, Schaper NC, et al. Greater daily glucose variability and lower time in range assessed with continuous glucose monitoring are associated with greater aortic stiffness: The maastricht study. Diabetologia 2021;64(8):1880–92.</w:t>
      </w:r>
      <w:r>
        <w:t xml:space="preserve"> </w:t>
      </w:r>
    </w:p>
    <w:bookmarkEnd w:id="296"/>
    <w:bookmarkStart w:id="297" w:name="ref-StatQuest"/>
    <w:p>
      <w:pPr>
        <w:pStyle w:val="Bibliography"/>
      </w:pPr>
      <w:r>
        <w:t xml:space="preserve">39.</w:t>
      </w:r>
      <w:r>
        <w:t xml:space="preserve"> </w:t>
      </w:r>
      <w:r>
        <w:t xml:space="preserve">	</w:t>
      </w:r>
      <w:r>
        <w:t xml:space="preserve">StatQuest with Josh Starmer.</w:t>
      </w:r>
      <w:r>
        <w:t xml:space="preserve"> </w:t>
      </w:r>
      <w:r>
        <w:t xml:space="preserve">StatQuest with Josh Starmer</w:t>
      </w:r>
      <w:r>
        <w:t xml:space="preserve">.</w:t>
      </w:r>
      <w:r>
        <w:t xml:space="preserve"> </w:t>
      </w:r>
    </w:p>
    <w:bookmarkEnd w:id="297"/>
    <w:bookmarkStart w:id="299" w:name="ref-Bommasani2022"/>
    <w:p>
      <w:pPr>
        <w:pStyle w:val="Bibliography"/>
      </w:pPr>
      <w:r>
        <w:t xml:space="preserve">40.</w:t>
      </w:r>
      <w:r>
        <w:t xml:space="preserve"> </w:t>
      </w:r>
      <w:r>
        <w:t xml:space="preserve">	</w:t>
      </w:r>
      <w:r>
        <w:t xml:space="preserve">Bommasani R, Hudson DA, Adeli E, et al. On the opportunities and risks of foundation models [Internet]. 2022;Available from:</w:t>
      </w:r>
      <w:r>
        <w:t xml:space="preserve"> </w:t>
      </w:r>
      <w:hyperlink r:id="rId298">
        <w:r>
          <w:rPr>
            <w:rStyle w:val="Hyperlink"/>
          </w:rPr>
          <w:t xml:space="preserve">https://arxiv.org/abs/2108.07258</w:t>
        </w:r>
      </w:hyperlink>
    </w:p>
    <w:bookmarkEnd w:id="299"/>
    <w:bookmarkStart w:id="300" w:name="ref-YurunLu2025"/>
    <w:p>
      <w:pPr>
        <w:pStyle w:val="Bibliography"/>
      </w:pPr>
      <w:r>
        <w:t xml:space="preserve">41.</w:t>
      </w:r>
      <w:r>
        <w:t xml:space="preserve"> </w:t>
      </w:r>
      <w:r>
        <w:t xml:space="preserve">	</w:t>
      </w:r>
      <w:r>
        <w:t xml:space="preserve">Lu Y, Liu D, Liang Z, et al. A pretrained transformer model for decoding individual glucose dynamics from continuous glucose monitoring data. National science review 2025;12(5):nwaf039–.</w:t>
      </w:r>
      <w:r>
        <w:t xml:space="preserve"> </w:t>
      </w:r>
    </w:p>
    <w:bookmarkEnd w:id="300"/>
    <w:bookmarkStart w:id="301" w:name="ref-Lutsker2026"/>
    <w:p>
      <w:pPr>
        <w:pStyle w:val="Bibliography"/>
      </w:pPr>
      <w:r>
        <w:t xml:space="preserve">42.</w:t>
      </w:r>
      <w:r>
        <w:t xml:space="preserve"> </w:t>
      </w:r>
      <w:r>
        <w:t xml:space="preserve">	</w:t>
      </w:r>
      <w:r>
        <w:t xml:space="preserve">Lutsker G, Sapir G, Shilo S, et al. A foundation model for continuous glucose monitoring data. Nature (London) 2026;650(8103):978–86.</w:t>
      </w:r>
      <w:r>
        <w:t xml:space="preserve"> </w:t>
      </w:r>
    </w:p>
    <w:bookmarkEnd w:id="301"/>
    <w:bookmarkStart w:id="302" w:name="ref-Deng2021"/>
    <w:p>
      <w:pPr>
        <w:pStyle w:val="Bibliography"/>
      </w:pPr>
      <w:r>
        <w:t xml:space="preserve">43.</w:t>
      </w:r>
      <w:r>
        <w:t xml:space="preserve"> </w:t>
      </w:r>
      <w:r>
        <w:t xml:space="preserve">	</w:t>
      </w:r>
      <w:r>
        <w:t xml:space="preserve">Deng Y, Lu L, Aponte L, et al. Deep transfer learning and data augmentation improve glucose levels prediction in type 2 diabetes patients. NPJ digital medicine 2021;4(1):109–13.</w:t>
      </w:r>
      <w:r>
        <w:t xml:space="preserve"> </w:t>
      </w:r>
    </w:p>
    <w:bookmarkEnd w:id="302"/>
    <w:bookmarkStart w:id="304" w:name="ref-Peters2019"/>
    <w:p>
      <w:pPr>
        <w:pStyle w:val="Bibliography"/>
      </w:pPr>
      <w:r>
        <w:t xml:space="preserve">44.</w:t>
      </w:r>
      <w:r>
        <w:t xml:space="preserve"> </w:t>
      </w:r>
      <w:r>
        <w:t xml:space="preserve">	</w:t>
      </w:r>
      <w:r>
        <w:t xml:space="preserve">Peters ME, Ruder S, Smith NA. To tune or not to tune? Adapting pretrained representations to diverse tasks [Internet]. In: Augenstein I, Gella S, Ruder S, et al., editors. Proceedings of the 4th workshop on representation learning for NLP (RepL4NLP-2019). Florence, Italy: Association for Computational Linguistics; 2019. p. 7–14.Available from:</w:t>
      </w:r>
      <w:r>
        <w:t xml:space="preserve"> </w:t>
      </w:r>
      <w:hyperlink r:id="rId303">
        <w:r>
          <w:rPr>
            <w:rStyle w:val="Hyperlink"/>
          </w:rPr>
          <w:t xml:space="preserve">https://aclanthology.org/W19-4302/</w:t>
        </w:r>
      </w:hyperlink>
    </w:p>
    <w:bookmarkEnd w:id="304"/>
    <w:bookmarkStart w:id="306" w:name="ref-Haw2021"/>
    <w:p>
      <w:pPr>
        <w:pStyle w:val="Bibliography"/>
      </w:pPr>
      <w:r>
        <w:t xml:space="preserve">45.</w:t>
      </w:r>
      <w:r>
        <w:t xml:space="preserve"> </w:t>
      </w:r>
      <w:r>
        <w:t xml:space="preserve">	</w:t>
      </w:r>
      <w:r>
        <w:t xml:space="preserve">Haw JS, Shah M, Turbow S, Egeolu M, Umpierrez G. Diabetes</w:t>
      </w:r>
      <w:r>
        <w:t xml:space="preserve"> </w:t>
      </w:r>
      <w:r>
        <w:t xml:space="preserve">Complications</w:t>
      </w:r>
      <w:r>
        <w:t xml:space="preserve"> </w:t>
      </w:r>
      <w:r>
        <w:t xml:space="preserve">in</w:t>
      </w:r>
      <w:r>
        <w:t xml:space="preserve"> </w:t>
      </w:r>
      <w:r>
        <w:t xml:space="preserve">Racial</w:t>
      </w:r>
      <w:r>
        <w:t xml:space="preserve"> </w:t>
      </w:r>
      <w:r>
        <w:t xml:space="preserve">and</w:t>
      </w:r>
      <w:r>
        <w:t xml:space="preserve"> </w:t>
      </w:r>
      <w:r>
        <w:t xml:space="preserve">Ethnic</w:t>
      </w:r>
      <w:r>
        <w:t xml:space="preserve"> </w:t>
      </w:r>
      <w:r>
        <w:t xml:space="preserve">Minority</w:t>
      </w:r>
      <w:r>
        <w:t xml:space="preserve"> </w:t>
      </w:r>
      <w:r>
        <w:t xml:space="preserve">Populations</w:t>
      </w:r>
      <w:r>
        <w:t xml:space="preserve"> </w:t>
      </w:r>
      <w:r>
        <w:t xml:space="preserve">in the</w:t>
      </w:r>
      <w:r>
        <w:t xml:space="preserve"> </w:t>
      </w:r>
      <w:r>
        <w:t xml:space="preserve">USA</w:t>
      </w:r>
      <w:r>
        <w:t xml:space="preserve">. Current Diabetes Reports [Internet] 2021 [cited 2024 Oct 31];21(1):1–8. Available from:</w:t>
      </w:r>
      <w:r>
        <w:t xml:space="preserve"> </w:t>
      </w:r>
      <w:hyperlink r:id="rId305">
        <w:r>
          <w:rPr>
            <w:rStyle w:val="Hyperlink"/>
          </w:rPr>
          <w:t xml:space="preserve">https://link.springer.com/10.1007/s11892-020-01369-x</w:t>
        </w:r>
      </w:hyperlink>
    </w:p>
    <w:bookmarkEnd w:id="306"/>
    <w:bookmarkStart w:id="308" w:name="ref-Muralidharan2024"/>
    <w:p>
      <w:pPr>
        <w:pStyle w:val="Bibliography"/>
      </w:pPr>
      <w:r>
        <w:t xml:space="preserve">46.</w:t>
      </w:r>
      <w:r>
        <w:t xml:space="preserve"> </w:t>
      </w:r>
      <w:r>
        <w:t xml:space="preserve">	</w:t>
      </w:r>
      <w:r>
        <w:t xml:space="preserve">Muralidharan V, Adewale BA, Huang CJ, et al. A scoping review of reporting gaps in</w:t>
      </w:r>
      <w:r>
        <w:t xml:space="preserve"> </w:t>
      </w:r>
      <w:r>
        <w:t xml:space="preserve">FDA</w:t>
      </w:r>
      <w:r>
        <w:t xml:space="preserve">-approved</w:t>
      </w:r>
      <w:r>
        <w:t xml:space="preserve"> </w:t>
      </w:r>
      <w:r>
        <w:t xml:space="preserve">AI</w:t>
      </w:r>
      <w:r>
        <w:t xml:space="preserve"> </w:t>
      </w:r>
      <w:r>
        <w:t xml:space="preserve">medical devices. NPJ Digital Medicine [Internet] 2024 [cited 2024 Dec 16];7:1–9. Available from:</w:t>
      </w:r>
      <w:r>
        <w:t xml:space="preserve"> </w:t>
      </w:r>
      <w:hyperlink r:id="rId307">
        <w:r>
          <w:rPr>
            <w:rStyle w:val="Hyperlink"/>
          </w:rPr>
          <w:t xml:space="preserve">https://www.ncbi.nlm.nih.gov/pmc/articles/PMC11450195/</w:t>
        </w:r>
      </w:hyperlink>
    </w:p>
    <w:bookmarkEnd w:id="308"/>
    <w:bookmarkStart w:id="310" w:name="ref-Chakradeo2025"/>
    <w:p>
      <w:pPr>
        <w:pStyle w:val="Bibliography"/>
      </w:pPr>
      <w:r>
        <w:t xml:space="preserve">47.</w:t>
      </w:r>
      <w:r>
        <w:t xml:space="preserve"> </w:t>
      </w:r>
      <w:r>
        <w:t xml:space="preserve">	</w:t>
      </w:r>
      <w:r>
        <w:t xml:space="preserve">Chakradeo K, Huynh I, Balaganeshan SB, et al. Navigating fairness aspects of clinical prediction models. BMC Medicine [Internet] 2025 [cited 2025 Nov 7];23(1):567. Available from:</w:t>
      </w:r>
      <w:r>
        <w:t xml:space="preserve"> </w:t>
      </w:r>
      <w:hyperlink r:id="rId309">
        <w:r>
          <w:rPr>
            <w:rStyle w:val="Hyperlink"/>
          </w:rPr>
          <w:t xml:space="preserve">https://bmcmedicine.biomedcentral.com/articles/10.1186/s12916-025-04340-3</w:t>
        </w:r>
      </w:hyperlink>
    </w:p>
    <w:bookmarkEnd w:id="310"/>
    <w:bookmarkStart w:id="312" w:name="ref-Collins2024"/>
    <w:p>
      <w:pPr>
        <w:pStyle w:val="Bibliography"/>
      </w:pPr>
      <w:r>
        <w:t xml:space="preserve">48.</w:t>
      </w:r>
      <w:r>
        <w:t xml:space="preserve"> </w:t>
      </w:r>
      <w:r>
        <w:t xml:space="preserve">	</w:t>
      </w:r>
      <w:r>
        <w:t xml:space="preserve">Collins GS, Moons KGM, Dhiman P, et al. TRIPOD+AI statement: Updated guidance for reporting clinical prediction models that use regression or machine learning methods. BMJ [Internet] 2024;385. Available from:</w:t>
      </w:r>
      <w:r>
        <w:t xml:space="preserve"> </w:t>
      </w:r>
      <w:hyperlink r:id="rId311">
        <w:r>
          <w:rPr>
            <w:rStyle w:val="Hyperlink"/>
          </w:rPr>
          <w:t xml:space="preserve">https://www.bmj.com/content/385/bmj-2023-078378</w:t>
        </w:r>
      </w:hyperlink>
    </w:p>
    <w:bookmarkEnd w:id="312"/>
    <w:bookmarkStart w:id="314" w:name="ref-Turner2022"/>
    <w:p>
      <w:pPr>
        <w:pStyle w:val="Bibliography"/>
      </w:pPr>
      <w:r>
        <w:t xml:space="preserve">49.</w:t>
      </w:r>
      <w:r>
        <w:t xml:space="preserve"> </w:t>
      </w:r>
      <w:r>
        <w:t xml:space="preserve">	</w:t>
      </w:r>
      <w:r>
        <w:t xml:space="preserve">Turner BE, Steinberg JR, Weeks BT, Rodriguez F, Cullen MR. Race/ethnicity reporting and representation in</w:t>
      </w:r>
      <w:r>
        <w:t xml:space="preserve"> </w:t>
      </w:r>
      <w:r>
        <w:t xml:space="preserve">US</w:t>
      </w:r>
      <w:r>
        <w:t xml:space="preserve"> </w:t>
      </w:r>
      <w:r>
        <w:t xml:space="preserve">clinical trials:</w:t>
      </w:r>
      <w:r>
        <w:t xml:space="preserve"> </w:t>
      </w:r>
      <w:r>
        <w:t xml:space="preserve">A</w:t>
      </w:r>
      <w:r>
        <w:t xml:space="preserve"> </w:t>
      </w:r>
      <w:r>
        <w:t xml:space="preserve">cohort study. The Lancet Regional Health – Americas [Internet] 2022 [cited 2024 Apr 4];11:1–12. Available from:</w:t>
      </w:r>
      <w:r>
        <w:t xml:space="preserve"> </w:t>
      </w:r>
      <w:hyperlink r:id="rId313">
        <w:r>
          <w:rPr>
            <w:rStyle w:val="Hyperlink"/>
          </w:rPr>
          <w:t xml:space="preserve">https://doi.org/10.1016/j.lana.2022.100252 https://www.sciencedirect.com/science/article/pii/S2667193X22000692?via%3Dihub</w:t>
        </w:r>
      </w:hyperlink>
    </w:p>
    <w:bookmarkEnd w:id="314"/>
    <w:bookmarkStart w:id="316" w:name="ref-Danielson2010"/>
    <w:p>
      <w:pPr>
        <w:pStyle w:val="Bibliography"/>
      </w:pPr>
      <w:r>
        <w:t xml:space="preserve">50.</w:t>
      </w:r>
      <w:r>
        <w:t xml:space="preserve"> </w:t>
      </w:r>
      <w:r>
        <w:t xml:space="preserve">	</w:t>
      </w:r>
      <w:r>
        <w:t xml:space="preserve">Danielson KK, Drum ML, Estrada CL, Lipton RB. Racial and</w:t>
      </w:r>
      <w:r>
        <w:t xml:space="preserve"> </w:t>
      </w:r>
      <w:r>
        <w:t xml:space="preserve">Ethnic</w:t>
      </w:r>
      <w:r>
        <w:t xml:space="preserve"> </w:t>
      </w:r>
      <w:r>
        <w:t xml:space="preserve">Differences</w:t>
      </w:r>
      <w:r>
        <w:t xml:space="preserve"> </w:t>
      </w:r>
      <w:r>
        <w:t xml:space="preserve">in an</w:t>
      </w:r>
      <w:r>
        <w:t xml:space="preserve"> </w:t>
      </w:r>
      <w:r>
        <w:t xml:space="preserve">Estimated</w:t>
      </w:r>
      <w:r>
        <w:t xml:space="preserve"> </w:t>
      </w:r>
      <w:r>
        <w:t xml:space="preserve">Measure</w:t>
      </w:r>
      <w:r>
        <w:t xml:space="preserve"> </w:t>
      </w:r>
      <w:r>
        <w:t xml:space="preserve">of</w:t>
      </w:r>
      <w:r>
        <w:t xml:space="preserve"> </w:t>
      </w:r>
      <w:r>
        <w:t xml:space="preserve">Insulin</w:t>
      </w:r>
      <w:r>
        <w:t xml:space="preserve"> </w:t>
      </w:r>
      <w:r>
        <w:t xml:space="preserve">Resistance</w:t>
      </w:r>
      <w:r>
        <w:t xml:space="preserve"> </w:t>
      </w:r>
      <w:r>
        <w:t xml:space="preserve">Among</w:t>
      </w:r>
      <w:r>
        <w:t xml:space="preserve"> </w:t>
      </w:r>
      <w:r>
        <w:t xml:space="preserve">Individuals</w:t>
      </w:r>
      <w:r>
        <w:t xml:space="preserve"> </w:t>
      </w:r>
      <w:r>
        <w:t xml:space="preserve">With</w:t>
      </w:r>
      <w:r>
        <w:t xml:space="preserve"> </w:t>
      </w:r>
      <w:r>
        <w:t xml:space="preserve">Type</w:t>
      </w:r>
      <w:r>
        <w:t xml:space="preserve"> </w:t>
      </w:r>
      <w:r>
        <w:t xml:space="preserve">1</w:t>
      </w:r>
      <w:r>
        <w:t xml:space="preserve"> </w:t>
      </w:r>
      <w:r>
        <w:t xml:space="preserve">Diabetes</w:t>
      </w:r>
      <w:r>
        <w:t xml:space="preserve">. Diabetes Care [Internet] 2010 [cited 2024 Oct 31];33(3):614–9. Available from:</w:t>
      </w:r>
      <w:r>
        <w:t xml:space="preserve"> </w:t>
      </w:r>
      <w:hyperlink r:id="rId315">
        <w:r>
          <w:rPr>
            <w:rStyle w:val="Hyperlink"/>
          </w:rPr>
          <w:t xml:space="preserve">https://diabetesjournals.org/care/article/33/3/614/39028/Racial-and-Ethnic-Differences-in-an-Estimated</w:t>
        </w:r>
      </w:hyperlink>
    </w:p>
    <w:bookmarkEnd w:id="316"/>
    <w:bookmarkStart w:id="318" w:name="ref-doVale2021"/>
    <w:p>
      <w:pPr>
        <w:pStyle w:val="Bibliography"/>
      </w:pPr>
      <w:r>
        <w:t xml:space="preserve">51.</w:t>
      </w:r>
      <w:r>
        <w:t xml:space="preserve"> </w:t>
      </w:r>
      <w:r>
        <w:t xml:space="preserve">	</w:t>
      </w:r>
      <w:r>
        <w:t xml:space="preserve">Do Vale Moreira NC, Ceriello A, Basit A, et al. Race/ethnicity and challenges for optimal insulin therapy. Diabetes Research and Clinical Practice [Internet] 2021 [cited 2024 Oct 31];175:1–11. Available from:</w:t>
      </w:r>
      <w:r>
        <w:t xml:space="preserve"> </w:t>
      </w:r>
      <w:hyperlink r:id="rId317">
        <w:r>
          <w:rPr>
            <w:rStyle w:val="Hyperlink"/>
          </w:rPr>
          <w:t xml:space="preserve">https://linkinghub.elsevier.com/retrieve/pii/S0168822721001820</w:t>
        </w:r>
      </w:hyperlink>
    </w:p>
    <w:bookmarkEnd w:id="318"/>
    <w:bookmarkStart w:id="319" w:name="ref-Bergenstal2017"/>
    <w:p>
      <w:pPr>
        <w:pStyle w:val="Bibliography"/>
      </w:pPr>
      <w:r>
        <w:t xml:space="preserve">52.</w:t>
      </w:r>
      <w:r>
        <w:t xml:space="preserve"> </w:t>
      </w:r>
      <w:r>
        <w:t xml:space="preserve">	</w:t>
      </w:r>
      <w:r>
        <w:t xml:space="preserve">Bergenstal RM, Gal RL, Connor CG, et al. Racial differences in the relationship of glucose concentrations and hemoglobin A1c levels. Annals of Internal Medicine 2017;167(2):95–102.</w:t>
      </w:r>
      <w:r>
        <w:t xml:space="preserve"> </w:t>
      </w:r>
    </w:p>
    <w:bookmarkEnd w:id="319"/>
    <w:bookmarkStart w:id="321" w:name="ref-kirk2006"/>
    <w:p>
      <w:pPr>
        <w:pStyle w:val="Bibliography"/>
      </w:pPr>
      <w:r>
        <w:t xml:space="preserve">53.</w:t>
      </w:r>
      <w:r>
        <w:t xml:space="preserve"> </w:t>
      </w:r>
      <w:r>
        <w:t xml:space="preserve">	</w:t>
      </w:r>
      <w:r>
        <w:t xml:space="preserve">Kirk JK, D’Agostino RB, Bell RA, et al. Disparities in</w:t>
      </w:r>
      <w:r>
        <w:t xml:space="preserve"> </w:t>
      </w:r>
      <w:r>
        <w:t xml:space="preserve">HbA1c</w:t>
      </w:r>
      <w:r>
        <w:t xml:space="preserve"> </w:t>
      </w:r>
      <w:r>
        <w:t xml:space="preserve">Levels</w:t>
      </w:r>
      <w:r>
        <w:t xml:space="preserve"> </w:t>
      </w:r>
      <w:r>
        <w:t xml:space="preserve">Between</w:t>
      </w:r>
      <w:r>
        <w:t xml:space="preserve"> </w:t>
      </w:r>
      <w:r>
        <w:t xml:space="preserve">African</w:t>
      </w:r>
      <w:r>
        <w:t xml:space="preserve">-</w:t>
      </w:r>
      <w:r>
        <w:t xml:space="preserve">American</w:t>
      </w:r>
      <w:r>
        <w:t xml:space="preserve"> </w:t>
      </w:r>
      <w:r>
        <w:t xml:space="preserve">and</w:t>
      </w:r>
      <w:r>
        <w:t xml:space="preserve"> </w:t>
      </w:r>
      <w:r>
        <w:t xml:space="preserve">Non</w:t>
      </w:r>
      <w:r>
        <w:t xml:space="preserve">-</w:t>
      </w:r>
      <w:r>
        <w:t xml:space="preserve">Hispanic</w:t>
      </w:r>
      <w:r>
        <w:t xml:space="preserve"> </w:t>
      </w:r>
      <w:r>
        <w:t xml:space="preserve">White</w:t>
      </w:r>
      <w:r>
        <w:t xml:space="preserve"> </w:t>
      </w:r>
      <w:r>
        <w:t xml:space="preserve">Adults</w:t>
      </w:r>
      <w:r>
        <w:t xml:space="preserve"> </w:t>
      </w:r>
      <w:r>
        <w:t xml:space="preserve">With</w:t>
      </w:r>
      <w:r>
        <w:t xml:space="preserve"> </w:t>
      </w:r>
      <w:r>
        <w:t xml:space="preserve">Diabetes</w:t>
      </w:r>
      <w:r>
        <w:t xml:space="preserve">. Diabetes care [Internet] 2006 [cited 2026 July 9];29(9):2130–6. Available from:</w:t>
      </w:r>
      <w:r>
        <w:t xml:space="preserve"> </w:t>
      </w:r>
      <w:hyperlink r:id="rId320">
        <w:r>
          <w:rPr>
            <w:rStyle w:val="Hyperlink"/>
          </w:rPr>
          <w:t xml:space="preserve">https://pmc.ncbi.nlm.nih.gov/articles/PMC3557948/</w:t>
        </w:r>
      </w:hyperlink>
    </w:p>
    <w:bookmarkEnd w:id="321"/>
    <w:bookmarkStart w:id="323" w:name="ref-Selvin2013"/>
    <w:p>
      <w:pPr>
        <w:pStyle w:val="Bibliography"/>
      </w:pPr>
      <w:r>
        <w:t xml:space="preserve">54.</w:t>
      </w:r>
      <w:r>
        <w:t xml:space="preserve"> </w:t>
      </w:r>
      <w:r>
        <w:t xml:space="preserve">	</w:t>
      </w:r>
      <w:r>
        <w:t xml:space="preserve">Selvin E, Rawlings AM, Bergenstal RM, Coresh J, Brancati FL. No</w:t>
      </w:r>
      <w:r>
        <w:t xml:space="preserve"> </w:t>
      </w:r>
      <w:r>
        <w:t xml:space="preserve">Racial</w:t>
      </w:r>
      <w:r>
        <w:t xml:space="preserve"> </w:t>
      </w:r>
      <w:r>
        <w:t xml:space="preserve">Differences</w:t>
      </w:r>
      <w:r>
        <w:t xml:space="preserve"> </w:t>
      </w:r>
      <w:r>
        <w:t xml:space="preserve">in the</w:t>
      </w:r>
      <w:r>
        <w:t xml:space="preserve"> </w:t>
      </w:r>
      <w:r>
        <w:t xml:space="preserve">Association</w:t>
      </w:r>
      <w:r>
        <w:t xml:space="preserve"> </w:t>
      </w:r>
      <w:r>
        <w:t xml:space="preserve">of</w:t>
      </w:r>
      <w:r>
        <w:t xml:space="preserve"> </w:t>
      </w:r>
      <w:r>
        <w:t xml:space="preserve">Glycated</w:t>
      </w:r>
      <w:r>
        <w:t xml:space="preserve"> </w:t>
      </w:r>
      <w:r>
        <w:t xml:space="preserve">Hemoglobin</w:t>
      </w:r>
      <w:r>
        <w:t xml:space="preserve"> </w:t>
      </w:r>
      <w:r>
        <w:t xml:space="preserve">With</w:t>
      </w:r>
      <w:r>
        <w:t xml:space="preserve"> </w:t>
      </w:r>
      <w:r>
        <w:t xml:space="preserve">Kidney</w:t>
      </w:r>
      <w:r>
        <w:t xml:space="preserve"> </w:t>
      </w:r>
      <w:r>
        <w:t xml:space="preserve">Disease</w:t>
      </w:r>
      <w:r>
        <w:t xml:space="preserve"> </w:t>
      </w:r>
      <w:r>
        <w:t xml:space="preserve">and</w:t>
      </w:r>
      <w:r>
        <w:t xml:space="preserve"> </w:t>
      </w:r>
      <w:r>
        <w:t xml:space="preserve">Cardiovascular</w:t>
      </w:r>
      <w:r>
        <w:t xml:space="preserve"> </w:t>
      </w:r>
      <w:r>
        <w:t xml:space="preserve">Outcomes</w:t>
      </w:r>
      <w:r>
        <w:t xml:space="preserve">. Diabetes Care [Internet] 2013 [cited 2026 July 9];36(10):2995–3001. Available from:</w:t>
      </w:r>
      <w:r>
        <w:t xml:space="preserve"> </w:t>
      </w:r>
      <w:hyperlink r:id="rId322">
        <w:r>
          <w:rPr>
            <w:rStyle w:val="Hyperlink"/>
          </w:rPr>
          <w:t xml:space="preserve">https://doi.org/10.2337/dc12-2715</w:t>
        </w:r>
      </w:hyperlink>
    </w:p>
    <w:bookmarkEnd w:id="323"/>
    <w:bookmarkStart w:id="325" w:name="ref-Cronje2023"/>
    <w:p>
      <w:pPr>
        <w:pStyle w:val="Bibliography"/>
      </w:pPr>
      <w:r>
        <w:t xml:space="preserve">55.</w:t>
      </w:r>
      <w:r>
        <w:t xml:space="preserve"> </w:t>
      </w:r>
      <w:r>
        <w:t xml:space="preserve">	</w:t>
      </w:r>
      <w:r>
        <w:t xml:space="preserve">Cronjé HT, Katsiferis A, Elsenburg LK, et al. Assessing racial bias in type 2 diabetes risk prediction algorithms. PLOS Global Public Health [Internet] 2023 [cited 2025 Jan 28];3(5):e0001556. Available from:</w:t>
      </w:r>
      <w:r>
        <w:t xml:space="preserve"> </w:t>
      </w:r>
      <w:hyperlink r:id="rId324">
        <w:r>
          <w:rPr>
            <w:rStyle w:val="Hyperlink"/>
          </w:rPr>
          <w:t xml:space="preserve">https://dx.plos.org/10.1371/journal.pgph.0001556</w:t>
        </w:r>
      </w:hyperlink>
    </w:p>
    <w:bookmarkEnd w:id="325"/>
    <w:bookmarkStart w:id="327" w:name="ref-Obermeyer2019"/>
    <w:p>
      <w:pPr>
        <w:pStyle w:val="Bibliography"/>
      </w:pPr>
      <w:r>
        <w:t xml:space="preserve">56.</w:t>
      </w:r>
      <w:r>
        <w:t xml:space="preserve"> </w:t>
      </w:r>
      <w:r>
        <w:t xml:space="preserve">	</w:t>
      </w:r>
      <w:r>
        <w:t xml:space="preserve">Obermeyer Z, Powers B, Vogeli C, Mullainathan S.</w:t>
      </w:r>
      <w:r>
        <w:t xml:space="preserve"> </w:t>
      </w:r>
      <w:hyperlink r:id="rId326">
        <w:r>
          <w:rPr>
            <w:rStyle w:val="Hyperlink"/>
          </w:rPr>
          <w:t xml:space="preserve">Dissecting racial bias in an algorithm used to manage the health of populations</w:t>
        </w:r>
      </w:hyperlink>
      <w:r>
        <w:t xml:space="preserve">. Science 2019;366(6464):447–53.</w:t>
      </w:r>
      <w:r>
        <w:t xml:space="preserve"> </w:t>
      </w:r>
    </w:p>
    <w:bookmarkEnd w:id="327"/>
    <w:bookmarkStart w:id="328" w:name="ref-Tricco2018"/>
    <w:p>
      <w:pPr>
        <w:pStyle w:val="Bibliography"/>
      </w:pPr>
      <w:r>
        <w:t xml:space="preserve">57.</w:t>
      </w:r>
      <w:r>
        <w:t xml:space="preserve"> </w:t>
      </w:r>
      <w:r>
        <w:t xml:space="preserve">	</w:t>
      </w:r>
      <w:r>
        <w:t xml:space="preserve">Tricco AC, Lillie E, Zarin W, et al. PRISMA extension for scoping reviews (PRISMA-ScR): Checklist and explanation. Annals of internal medicine 2018;169(7):467–7.</w:t>
      </w:r>
      <w:r>
        <w:t xml:space="preserve"> </w:t>
      </w:r>
    </w:p>
    <w:bookmarkEnd w:id="328"/>
    <w:bookmarkStart w:id="330" w:name="ref-Peters2024"/>
    <w:p>
      <w:pPr>
        <w:pStyle w:val="Bibliography"/>
      </w:pPr>
      <w:r>
        <w:t xml:space="preserve">58.</w:t>
      </w:r>
      <w:r>
        <w:t xml:space="preserve"> </w:t>
      </w:r>
      <w:r>
        <w:t xml:space="preserve">	</w:t>
      </w:r>
      <w:r>
        <w:t xml:space="preserve">Peters MDJ, Godfrey C, McInerney P, Munn Z, Tricco AC, Khalil H. Chapter 10: Scoping reviews [Internet]. In: Aromataris E, Lockwood C, Porritt K, Pilla B, Jordan Z, editors. JBI manual for evidence synthesis. JBI; 2024. Available from:</w:t>
      </w:r>
      <w:r>
        <w:t xml:space="preserve"> </w:t>
      </w:r>
      <w:hyperlink r:id="rId329">
        <w:r>
          <w:rPr>
            <w:rStyle w:val="Hyperlink"/>
          </w:rPr>
          <w:t xml:space="preserve">https://jbi-global-wiki.refined.site/space/MANUAL/355862497/10.+Scoping+reviews</w:t>
        </w:r>
      </w:hyperlink>
    </w:p>
    <w:bookmarkEnd w:id="330"/>
    <w:bookmarkStart w:id="332" w:name="ref-Thomsen2026"/>
    <w:p>
      <w:pPr>
        <w:pStyle w:val="Bibliography"/>
      </w:pPr>
      <w:r>
        <w:t xml:space="preserve">59.</w:t>
      </w:r>
      <w:r>
        <w:t xml:space="preserve"> </w:t>
      </w:r>
      <w:r>
        <w:t xml:space="preserve">	</w:t>
      </w:r>
      <w:r>
        <w:t xml:space="preserve">Thomsen HB, Lebiecka-Johansen B, Nørgaard O, et al. Continuous glucose monitoring–derived metrics and cardiovascular risk among people with diabetes: Systematic scoping review. JMIR Diabetes [Internet] 2026;11:e89374. Available from:</w:t>
      </w:r>
      <w:r>
        <w:t xml:space="preserve"> </w:t>
      </w:r>
      <w:hyperlink r:id="rId331">
        <w:r>
          <w:rPr>
            <w:rStyle w:val="Hyperlink"/>
          </w:rPr>
          <w:t xml:space="preserve">https://doi.org/10.2196/89374</w:t>
        </w:r>
      </w:hyperlink>
    </w:p>
    <w:bookmarkEnd w:id="332"/>
    <w:bookmarkStart w:id="333" w:name="ref-Yapanis2022"/>
    <w:p>
      <w:pPr>
        <w:pStyle w:val="Bibliography"/>
      </w:pPr>
      <w:r>
        <w:t xml:space="preserve">60.</w:t>
      </w:r>
      <w:r>
        <w:t xml:space="preserve"> </w:t>
      </w:r>
      <w:r>
        <w:t xml:space="preserve">	</w:t>
      </w:r>
      <w:r>
        <w:t xml:space="preserve">Yapanis M, James S, Craig ME, O’Neal D, Ekinci EI. Complications of diabetes and metrics of glycemic management derived from continuous glucose monitoring. The journal of clinical endocrinology and metabolism 2022;107(6):e2221–36.</w:t>
      </w:r>
      <w:r>
        <w:t xml:space="preserve"> </w:t>
      </w:r>
    </w:p>
    <w:bookmarkEnd w:id="333"/>
    <w:bookmarkStart w:id="334" w:name="ref-Helleputte2022"/>
    <w:p>
      <w:pPr>
        <w:pStyle w:val="Bibliography"/>
      </w:pPr>
      <w:r>
        <w:t xml:space="preserve">61.</w:t>
      </w:r>
      <w:r>
        <w:t xml:space="preserve"> </w:t>
      </w:r>
      <w:r>
        <w:t xml:space="preserve">	</w:t>
      </w:r>
      <w:r>
        <w:t xml:space="preserve">Helleputte S, Calders P, Rodenbach A, et al. Time-varying parameters of glycemic control and glycation in relation to arterial stiffness in patients with type 1 diabetes. Cardiovascular diabetology 2022;21(1):277–10.</w:t>
      </w:r>
      <w:r>
        <w:t xml:space="preserve"> </w:t>
      </w:r>
    </w:p>
    <w:bookmarkEnd w:id="334"/>
    <w:bookmarkStart w:id="335" w:name="ref-Lu2021"/>
    <w:p>
      <w:pPr>
        <w:pStyle w:val="Bibliography"/>
      </w:pPr>
      <w:r>
        <w:t xml:space="preserve">62.</w:t>
      </w:r>
      <w:r>
        <w:t xml:space="preserve"> </w:t>
      </w:r>
      <w:r>
        <w:t xml:space="preserve">	</w:t>
      </w:r>
      <w:r>
        <w:t xml:space="preserve">Lu J, Wang C, Shen Y, et al. Time in range in relation to all-cause and cardiovascular mortality in patients with type 2 diabetes: A prospective cohort study. Diabetes care 2021;44(2):549–55.</w:t>
      </w:r>
      <w:r>
        <w:t xml:space="preserve"> </w:t>
      </w:r>
    </w:p>
    <w:bookmarkEnd w:id="335"/>
    <w:bookmarkStart w:id="336" w:name="ref-Martinez2021"/>
    <w:p>
      <w:pPr>
        <w:pStyle w:val="Bibliography"/>
      </w:pPr>
      <w:r>
        <w:t xml:space="preserve">63.</w:t>
      </w:r>
      <w:r>
        <w:t xml:space="preserve"> </w:t>
      </w:r>
      <w:r>
        <w:t xml:space="preserve">	</w:t>
      </w:r>
      <w:r>
        <w:t xml:space="preserve">Martinez M, Santamarina J, Pavesi A, Musso C, Umpierrez GE. Glycemic variability and cardiovascular disease in patients with type 2 diabetes. BMJ open diabetes research &amp; care 2021;9(1):e002032–.</w:t>
      </w:r>
      <w:r>
        <w:t xml:space="preserve"> </w:t>
      </w:r>
    </w:p>
    <w:bookmarkEnd w:id="336"/>
    <w:bookmarkStart w:id="337" w:name="ref-Mita2023"/>
    <w:p>
      <w:pPr>
        <w:pStyle w:val="Bibliography"/>
      </w:pPr>
      <w:r>
        <w:t xml:space="preserve">64.</w:t>
      </w:r>
      <w:r>
        <w:t xml:space="preserve"> </w:t>
      </w:r>
      <w:r>
        <w:t xml:space="preserve">	</w:t>
      </w:r>
      <w:r>
        <w:t xml:space="preserve">Mita T, Katakami N, Okada Y, et al. Continuous glucose monitoring-derived time in range and CV are associated with altered tissue characteristics of the carotid artery wall in people with type 2 diabetes. Diabetologia 2023;66(12):2356–67.</w:t>
      </w:r>
      <w:r>
        <w:t xml:space="preserve"> </w:t>
      </w:r>
    </w:p>
    <w:bookmarkEnd w:id="337"/>
    <w:bookmarkStart w:id="338" w:name="ref-Lu2020"/>
    <w:p>
      <w:pPr>
        <w:pStyle w:val="Bibliography"/>
      </w:pPr>
      <w:r>
        <w:t xml:space="preserve">65.</w:t>
      </w:r>
      <w:r>
        <w:t xml:space="preserve"> </w:t>
      </w:r>
      <w:r>
        <w:t xml:space="preserve">	</w:t>
      </w:r>
      <w:r>
        <w:t xml:space="preserve">Lu J, Ma X, Shen Y, et al. Time in range is associated with carotid intima-media thickness in type 2 diabetes. Diabetes technology &amp; therapeutics 2020;22(2):72–8.</w:t>
      </w:r>
      <w:r>
        <w:t xml:space="preserve"> </w:t>
      </w:r>
    </w:p>
    <w:bookmarkEnd w:id="338"/>
    <w:bookmarkStart w:id="339" w:name="ref-Mo2013"/>
    <w:p>
      <w:pPr>
        <w:pStyle w:val="Bibliography"/>
      </w:pPr>
      <w:r>
        <w:t xml:space="preserve">66.</w:t>
      </w:r>
      <w:r>
        <w:t xml:space="preserve"> </w:t>
      </w:r>
      <w:r>
        <w:t xml:space="preserve">	</w:t>
      </w:r>
      <w:r>
        <w:t xml:space="preserve">Mo Y, Zhou J, Li M, et al. Glycemic variability is associated with subclinical atherosclerosis in chinese type 2 diabetic patients. Cardiovascular diabetology 2013;12(1):15–5.</w:t>
      </w:r>
      <w:r>
        <w:t xml:space="preserve"> </w:t>
      </w:r>
    </w:p>
    <w:bookmarkEnd w:id="339"/>
    <w:bookmarkStart w:id="340" w:name="ref-Wakasugi2021"/>
    <w:p>
      <w:pPr>
        <w:pStyle w:val="Bibliography"/>
      </w:pPr>
      <w:r>
        <w:t xml:space="preserve">67.</w:t>
      </w:r>
      <w:r>
        <w:t xml:space="preserve"> </w:t>
      </w:r>
      <w:r>
        <w:t xml:space="preserve">	</w:t>
      </w:r>
      <w:r>
        <w:t xml:space="preserve">Wakasugi S, Mita T, Katakami N, et al. Associations between continuous glucose monitoring-derived metrics and arterial stiffness in japanese patients with type 2 diabetes. Cardiovascular diabetology 2021;20(1):15–2.</w:t>
      </w:r>
      <w:r>
        <w:t xml:space="preserve"> </w:t>
      </w:r>
    </w:p>
    <w:bookmarkEnd w:id="340"/>
    <w:bookmarkStart w:id="342" w:name="ref-Magri2018"/>
    <w:p>
      <w:pPr>
        <w:pStyle w:val="Bibliography"/>
      </w:pPr>
      <w:r>
        <w:t xml:space="preserve">68.</w:t>
      </w:r>
      <w:r>
        <w:t xml:space="preserve"> </w:t>
      </w:r>
      <w:r>
        <w:t xml:space="preserve">	</w:t>
      </w:r>
      <w:r>
        <w:t xml:space="preserve">Magri CJ, Mintoff D, Camilleri L, Xuereb RG, Galea J, Fava S. Relationship of hyperglycaemia, hypoglycaemia, and glucose variability to atherosclerotic disease in type 2 diabetes. Journal of Diabetes Research [Internet] 2018;2018(1):7464320. Available from:</w:t>
      </w:r>
      <w:r>
        <w:t xml:space="preserve"> </w:t>
      </w:r>
      <w:hyperlink r:id="rId341">
        <w:r>
          <w:rPr>
            <w:rStyle w:val="Hyperlink"/>
          </w:rPr>
          <w:t xml:space="preserve">https://onlinelibrary.wiley.com/doi/abs/10.1155/2018/7464320</w:t>
        </w:r>
      </w:hyperlink>
    </w:p>
    <w:bookmarkEnd w:id="342"/>
    <w:bookmarkStart w:id="343" w:name="ref-Su2011"/>
    <w:p>
      <w:pPr>
        <w:pStyle w:val="Bibliography"/>
      </w:pPr>
      <w:r>
        <w:t xml:space="preserve">69.</w:t>
      </w:r>
      <w:r>
        <w:t xml:space="preserve"> </w:t>
      </w:r>
      <w:r>
        <w:t xml:space="preserve">	</w:t>
      </w:r>
      <w:r>
        <w:t xml:space="preserve">Su G, Mi S, Tao H, et al. Association of glycemic variability and the presence and severity of coronary artery disease in patients with type 2 diabetes. Cardiovascular diabetology 2011;10(1):19–9.</w:t>
      </w:r>
      <w:r>
        <w:t xml:space="preserve"> </w:t>
      </w:r>
    </w:p>
    <w:bookmarkEnd w:id="343"/>
    <w:bookmarkStart w:id="344" w:name="ref-Tang2016"/>
    <w:p>
      <w:pPr>
        <w:pStyle w:val="Bibliography"/>
      </w:pPr>
      <w:r>
        <w:t xml:space="preserve">70.</w:t>
      </w:r>
      <w:r>
        <w:t xml:space="preserve"> </w:t>
      </w:r>
      <w:r>
        <w:t xml:space="preserve">	</w:t>
      </w:r>
      <w:r>
        <w:t xml:space="preserve">Tang X, Li S, Wang Y, et al. Glycemic variability evaluated by continuous glucose monitoring system is associated with the 10-y cardiovascular risk of diabetic patients with well-controlled HbA1c. Clinica chimica acta 2016;461:146–50.</w:t>
      </w:r>
      <w:r>
        <w:t xml:space="preserve"> </w:t>
      </w:r>
    </w:p>
    <w:bookmarkEnd w:id="344"/>
    <w:bookmarkStart w:id="346" w:name="ref-Zhang2013"/>
    <w:p>
      <w:pPr>
        <w:pStyle w:val="Bibliography"/>
      </w:pPr>
      <w:r>
        <w:t xml:space="preserve">71.</w:t>
      </w:r>
      <w:r>
        <w:t xml:space="preserve"> </w:t>
      </w:r>
      <w:r>
        <w:t xml:space="preserve">	</w:t>
      </w:r>
      <w:r>
        <w:t xml:space="preserve">Zhang Xingguang, Xu Xiuping, Jiao Xiumin, Wu Jinxiao, Zhou Shujing, Lv Xiaofeng. The effects of glucose fluctuation on the severity of coronary artery disease in type 2 diabetes mellitus. Journal of diabetes research [Internet] 2013;2013:576916. Available from:</w:t>
      </w:r>
      <w:r>
        <w:t xml:space="preserve"> </w:t>
      </w:r>
      <w:hyperlink r:id="rId345">
        <w:r>
          <w:rPr>
            <w:rStyle w:val="Hyperlink"/>
          </w:rPr>
          <w:t xml:space="preserve">http://ovidsp.ovid.com/ovidweb.cgi?T=JS&amp;PAGE=reference&amp;D=med10&amp;NEWS=N&amp;AN=23936867</w:t>
        </w:r>
      </w:hyperlink>
    </w:p>
    <w:bookmarkEnd w:id="346"/>
    <w:bookmarkStart w:id="348" w:name="ref-Thomas2023"/>
    <w:p>
      <w:pPr>
        <w:pStyle w:val="Bibliography"/>
      </w:pPr>
      <w:r>
        <w:t xml:space="preserve">72.</w:t>
      </w:r>
      <w:r>
        <w:t xml:space="preserve"> </w:t>
      </w:r>
      <w:r>
        <w:t xml:space="preserve">	</w:t>
      </w:r>
      <w:r>
        <w:t xml:space="preserve">Thomas J, Graziosi S, Brunton J, et al.</w:t>
      </w:r>
      <w:r>
        <w:t xml:space="preserve"> </w:t>
      </w:r>
      <w:r>
        <w:t xml:space="preserve">EPPI-Reviewer</w:t>
      </w:r>
      <w:r>
        <w:t xml:space="preserve">: Advanced software for systematic reviews, maps and evidence synthesis [Internet]. University College London; EPPI Centre, UCL Social Research Institute; 2023. Available from:</w:t>
      </w:r>
      <w:r>
        <w:t xml:space="preserve"> </w:t>
      </w:r>
      <w:hyperlink r:id="rId347">
        <w:r>
          <w:rPr>
            <w:rStyle w:val="Hyperlink"/>
          </w:rPr>
          <w:t xml:space="preserve">https://eppi.ioe.ac.uk/cms/er4/</w:t>
        </w:r>
      </w:hyperlink>
    </w:p>
    <w:bookmarkEnd w:id="348"/>
    <w:bookmarkStart w:id="349" w:name="ref-Haddaway2022"/>
    <w:p>
      <w:pPr>
        <w:pStyle w:val="Bibliography"/>
      </w:pPr>
      <w:r>
        <w:t xml:space="preserve">73.</w:t>
      </w:r>
      <w:r>
        <w:t xml:space="preserve"> </w:t>
      </w:r>
      <w:r>
        <w:t xml:space="preserve">	</w:t>
      </w:r>
      <w:r>
        <w:t xml:space="preserve">Haddaway NR, Grainger M, Gray CT. Citationchaser: A tool for transparent and efficient forward and backward citation chasing in systematic searching. Research synthesis methods 2022;13(4):533–45.</w:t>
      </w:r>
      <w:r>
        <w:t xml:space="preserve"> </w:t>
      </w:r>
    </w:p>
    <w:bookmarkEnd w:id="349"/>
    <w:bookmarkStart w:id="351" w:name="ref-JAEB_2016"/>
    <w:p>
      <w:pPr>
        <w:pStyle w:val="Bibliography"/>
      </w:pPr>
      <w:r>
        <w:t xml:space="preserve">74.</w:t>
      </w:r>
      <w:r>
        <w:t xml:space="preserve"> </w:t>
      </w:r>
      <w:r>
        <w:t xml:space="preserve">	</w:t>
      </w:r>
      <w:r>
        <w:t xml:space="preserve">Jaeb Center for Health Research. Jaeb center for health research: Datasets &amp; documents [Internet]. 2016 [cited 2024 Feb 20];Available from:</w:t>
      </w:r>
      <w:r>
        <w:t xml:space="preserve"> </w:t>
      </w:r>
      <w:hyperlink r:id="rId350">
        <w:r>
          <w:rPr>
            <w:rStyle w:val="Hyperlink"/>
          </w:rPr>
          <w:t xml:space="preserve">https://public.jaeb.org/datasets/diabetes</w:t>
        </w:r>
      </w:hyperlink>
    </w:p>
    <w:bookmarkEnd w:id="351"/>
    <w:bookmarkStart w:id="352" w:name="ref-Kaneshiro2011"/>
    <w:p>
      <w:pPr>
        <w:pStyle w:val="Bibliography"/>
      </w:pPr>
      <w:r>
        <w:t xml:space="preserve">75.</w:t>
      </w:r>
      <w:r>
        <w:t xml:space="preserve"> </w:t>
      </w:r>
      <w:r>
        <w:t xml:space="preserve">	</w:t>
      </w:r>
      <w:r>
        <w:t xml:space="preserve">Kaneshiro B, Geling O, Gellert K, Millar L. The challenges of collecting data on race and ethnicity in a diverse, multiethnic state. Hawaii medical journal (1962) 2011;70(8):168–71.</w:t>
      </w:r>
      <w:r>
        <w:t xml:space="preserve"> </w:t>
      </w:r>
    </w:p>
    <w:bookmarkEnd w:id="352"/>
    <w:bookmarkStart w:id="354" w:name="ref-Heidenreich2022"/>
    <w:p>
      <w:pPr>
        <w:pStyle w:val="Bibliography"/>
      </w:pPr>
      <w:r>
        <w:t xml:space="preserve">76.</w:t>
      </w:r>
      <w:r>
        <w:t xml:space="preserve"> </w:t>
      </w:r>
      <w:r>
        <w:t xml:space="preserve">	</w:t>
      </w:r>
      <w:r>
        <w:t xml:space="preserve">Heidenreich PA, Bozkurt B, Aguilar D, et al. 2022 AHA/ACC/HFSA guideline for the management of heart failure: A report of the american college of cardiology/american heart association joint committee on clinical practice guidelines. Journal of the American College of Cardiology [Internet] 2022;79(17):e263–421. Available from:</w:t>
      </w:r>
      <w:r>
        <w:t xml:space="preserve"> </w:t>
      </w:r>
      <w:hyperlink r:id="rId353">
        <w:r>
          <w:rPr>
            <w:rStyle w:val="Hyperlink"/>
          </w:rPr>
          <w:t xml:space="preserve">https://www.sciencedirect.com/science/article/pii/S0735109721083959</w:t>
        </w:r>
      </w:hyperlink>
    </w:p>
    <w:bookmarkEnd w:id="354"/>
    <w:bookmarkStart w:id="356" w:name="ref-Welsh2022"/>
    <w:p>
      <w:pPr>
        <w:pStyle w:val="Bibliography"/>
      </w:pPr>
      <w:r>
        <w:t xml:space="preserve">77.</w:t>
      </w:r>
      <w:r>
        <w:t xml:space="preserve"> </w:t>
      </w:r>
      <w:r>
        <w:t xml:space="preserve">	</w:t>
      </w:r>
      <w:r>
        <w:t xml:space="preserve">Welsh P, Campbell RT, Mooney L, et al. Reference ranges for NT-proBNP (n-terminal pro-b-type natriuretic peptide) and risk factors for higher NT-proBNP concentrations in a large general population cohort. Circulation: Heart Failure [Internet] 2022;15(10):e009427. Available from:</w:t>
      </w:r>
      <w:r>
        <w:t xml:space="preserve"> </w:t>
      </w:r>
      <w:hyperlink r:id="rId355">
        <w:r>
          <w:rPr>
            <w:rStyle w:val="Hyperlink"/>
          </w:rPr>
          <w:t xml:space="preserve">https://www.ahajournals.org/doi/abs/10.1161/CIRCHEARTFAILURE.121.009427</w:t>
        </w:r>
      </w:hyperlink>
    </w:p>
    <w:bookmarkEnd w:id="356"/>
    <w:bookmarkStart w:id="358" w:name="ref-McInnes2018_umap"/>
    <w:p>
      <w:pPr>
        <w:pStyle w:val="Bibliography"/>
      </w:pPr>
      <w:r>
        <w:t xml:space="preserve">78.</w:t>
      </w:r>
      <w:r>
        <w:t xml:space="preserve"> </w:t>
      </w:r>
      <w:r>
        <w:t xml:space="preserve">	</w:t>
      </w:r>
      <w:r>
        <w:t xml:space="preserve">McInnes L, Healy J, Melville J. UMAP: Uniform manifold approximation and projection for dimension reduction. arXiv preprint arXiv:180203426 [Internet] 2018;Available from:</w:t>
      </w:r>
      <w:r>
        <w:t xml:space="preserve"> </w:t>
      </w:r>
      <w:hyperlink r:id="rId357">
        <w:r>
          <w:rPr>
            <w:rStyle w:val="Hyperlink"/>
          </w:rPr>
          <w:t xml:space="preserve">https://arxiv.org/abs/1802.03426</w:t>
        </w:r>
      </w:hyperlink>
    </w:p>
    <w:bookmarkEnd w:id="358"/>
    <w:bookmarkStart w:id="360" w:name="ref-NICE_2028_guidelines"/>
    <w:p>
      <w:pPr>
        <w:pStyle w:val="Bibliography"/>
      </w:pPr>
      <w:r>
        <w:t xml:space="preserve">79.</w:t>
      </w:r>
      <w:r>
        <w:t xml:space="preserve"> </w:t>
      </w:r>
      <w:r>
        <w:t xml:space="preserve">	</w:t>
      </w:r>
      <w:r>
        <w:t xml:space="preserve">National Guideline Centre (UK). Chronic heart failure in adults: Diagnosis and management [Internet]. London, UK: National Institute for Health; Care Excellence (NICE); 2018. Available from:</w:t>
      </w:r>
      <w:r>
        <w:t xml:space="preserve"> </w:t>
      </w:r>
      <w:hyperlink r:id="rId359">
        <w:r>
          <w:rPr>
            <w:rStyle w:val="Hyperlink"/>
          </w:rPr>
          <w:t xml:space="preserve">https://www.ncbi.nlm.nih.gov/books/NBK536098/</w:t>
        </w:r>
      </w:hyperlink>
    </w:p>
    <w:bookmarkEnd w:id="360"/>
    <w:bookmarkStart w:id="361" w:name="ref-iglu_package"/>
    <w:p>
      <w:pPr>
        <w:pStyle w:val="Bibliography"/>
      </w:pPr>
      <w:r>
        <w:t xml:space="preserve">80.</w:t>
      </w:r>
      <w:r>
        <w:t xml:space="preserve"> </w:t>
      </w:r>
      <w:r>
        <w:t xml:space="preserve">	</w:t>
      </w:r>
      <w:r>
        <w:t xml:space="preserve">Chun E, Broll S, Buchanan D, et al.</w:t>
      </w:r>
      <w:r>
        <w:t xml:space="preserve"> </w:t>
      </w:r>
      <w:r>
        <w:t xml:space="preserve">iglu:</w:t>
      </w:r>
      <w:r>
        <w:t xml:space="preserve"> </w:t>
      </w:r>
      <w:r>
        <w:t xml:space="preserve">Interpreting glucose data from continuous glucose monitors. 2023.</w:t>
      </w:r>
      <w:r>
        <w:t xml:space="preserve"> </w:t>
      </w:r>
    </w:p>
    <w:bookmarkEnd w:id="361"/>
    <w:bookmarkStart w:id="363" w:name="ref-iglu_package_paper"/>
    <w:p>
      <w:pPr>
        <w:pStyle w:val="Bibliography"/>
      </w:pPr>
      <w:r>
        <w:t xml:space="preserve">81.</w:t>
      </w:r>
      <w:r>
        <w:t xml:space="preserve"> </w:t>
      </w:r>
      <w:r>
        <w:t xml:space="preserve">	</w:t>
      </w:r>
      <w:r>
        <w:t xml:space="preserve">Broll S, Urbanek J, Buchanan D, et al.</w:t>
      </w:r>
      <w:r>
        <w:t xml:space="preserve"> </w:t>
      </w:r>
      <w:hyperlink r:id="rId362">
        <w:r>
          <w:rPr>
            <w:rStyle w:val="Hyperlink"/>
          </w:rPr>
          <w:t xml:space="preserve">Interpreting blood glucose data with</w:t>
        </w:r>
        <w:r>
          <w:rPr>
            <w:rStyle w:val="Hyperlink"/>
          </w:rPr>
          <w:t xml:space="preserve"> </w:t>
        </w:r>
        <w:r>
          <w:rPr>
            <w:rStyle w:val="Hyperlink"/>
          </w:rPr>
          <w:t xml:space="preserve">R</w:t>
        </w:r>
        <w:r>
          <w:rPr>
            <w:rStyle w:val="Hyperlink"/>
          </w:rPr>
          <w:t xml:space="preserve"> </w:t>
        </w:r>
        <w:r>
          <w:rPr>
            <w:rStyle w:val="Hyperlink"/>
          </w:rPr>
          <w:t xml:space="preserve">package</w:t>
        </w:r>
        <w:r>
          <w:rPr>
            <w:rStyle w:val="Hyperlink"/>
          </w:rPr>
          <w:t xml:space="preserve"> </w:t>
        </w:r>
        <w:r>
          <w:rPr>
            <w:rStyle w:val="Hyperlink"/>
          </w:rPr>
          <w:t xml:space="preserve">iglu</w:t>
        </w:r>
      </w:hyperlink>
      <w:r>
        <w:t xml:space="preserve">. PloS One 2021;16(4):e0248560.</w:t>
      </w:r>
      <w:r>
        <w:t xml:space="preserve"> </w:t>
      </w:r>
    </w:p>
    <w:bookmarkEnd w:id="363"/>
    <w:bookmarkStart w:id="364" w:name="ref-Service1970"/>
    <w:p>
      <w:pPr>
        <w:pStyle w:val="Bibliography"/>
      </w:pPr>
      <w:r>
        <w:t xml:space="preserve">82.</w:t>
      </w:r>
      <w:r>
        <w:t xml:space="preserve"> </w:t>
      </w:r>
      <w:r>
        <w:t xml:space="preserve">	</w:t>
      </w:r>
      <w:r>
        <w:t xml:space="preserve">Service FJ, Molnar GD, Rosevear JW, Ackerman E, Gatewood LC, Taylor WF. Mean amplitude of glycemic excursions, a measure of diabetic instability. Diabetes (New York, NY) 1970;19(9):644–55.</w:t>
      </w:r>
      <w:r>
        <w:t xml:space="preserve"> </w:t>
      </w:r>
    </w:p>
    <w:bookmarkEnd w:id="364"/>
    <w:bookmarkStart w:id="366" w:name="ref-Wahl2016"/>
    <w:p>
      <w:pPr>
        <w:pStyle w:val="Bibliography"/>
      </w:pPr>
      <w:r>
        <w:t xml:space="preserve">83.</w:t>
      </w:r>
      <w:r>
        <w:t xml:space="preserve"> </w:t>
      </w:r>
      <w:r>
        <w:t xml:space="preserve">	</w:t>
      </w:r>
      <w:r>
        <w:t xml:space="preserve">Wahl S, Boulesteix A-L, Zierer A, Thorand B, Wiel MA van de. Assessment of predictive performance in incomplete data by combining internal validation and multiple imputation. BMC Medical Research Methodology [Internet] 2016 [cited 2026 Feb 11];16(1):144. Available from:</w:t>
      </w:r>
      <w:r>
        <w:t xml:space="preserve"> </w:t>
      </w:r>
      <w:hyperlink r:id="rId365">
        <w:r>
          <w:rPr>
            <w:rStyle w:val="Hyperlink"/>
          </w:rPr>
          <w:t xml:space="preserve">https://doi.org/10.1186/s12874-016-0239-7</w:t>
        </w:r>
      </w:hyperlink>
    </w:p>
    <w:bookmarkEnd w:id="366"/>
    <w:bookmarkStart w:id="367" w:name="ref-Riley2023"/>
    <w:p>
      <w:pPr>
        <w:pStyle w:val="Bibliography"/>
      </w:pPr>
      <w:r>
        <w:t xml:space="preserve">84.</w:t>
      </w:r>
      <w:r>
        <w:t xml:space="preserve"> </w:t>
      </w:r>
      <w:r>
        <w:t xml:space="preserve">	</w:t>
      </w:r>
      <w:r>
        <w:t xml:space="preserve">Riley RD, Pate A, Dhiman P, Archer L, Martin GP, Collins GS. Clinical prediction models and the multiverse of madness. BMC medicine 2023;21(1):502–9.</w:t>
      </w:r>
      <w:r>
        <w:t xml:space="preserve"> </w:t>
      </w:r>
    </w:p>
    <w:bookmarkEnd w:id="367"/>
    <w:bookmarkStart w:id="368" w:name="ref-Thomsen_github_1"/>
    <w:p>
      <w:pPr>
        <w:pStyle w:val="Bibliography"/>
      </w:pPr>
      <w:r>
        <w:t xml:space="preserve">85.</w:t>
      </w:r>
      <w:r>
        <w:t xml:space="preserve"> </w:t>
      </w:r>
      <w:r>
        <w:t xml:space="preserve">	</w:t>
      </w:r>
      <w:r>
        <w:t xml:space="preserve">Thomsen HB. Jchr_racial_diff: Code and data repository. GitHub repository. 2023;</w:t>
      </w:r>
    </w:p>
    <w:bookmarkEnd w:id="368"/>
    <w:bookmarkStart w:id="369" w:name="ref-Tian2024"/>
    <w:p>
      <w:pPr>
        <w:pStyle w:val="Bibliography"/>
      </w:pPr>
      <w:r>
        <w:t xml:space="preserve">86.</w:t>
      </w:r>
      <w:r>
        <w:t xml:space="preserve"> </w:t>
      </w:r>
      <w:r>
        <w:t xml:space="preserve">	</w:t>
      </w:r>
      <w:r>
        <w:t xml:space="preserve">Tian T, Aaron RE, Kohn MA, Klonoff DC. The need for a modern error grid for clinical accuracy of blood glucose monitors and continuous glucose monitors. Journal of diabetes science and technology 2024;18(1):3–9.</w:t>
      </w:r>
      <w:r>
        <w:t xml:space="preserve"> </w:t>
      </w:r>
    </w:p>
    <w:bookmarkEnd w:id="369"/>
    <w:bookmarkStart w:id="370" w:name="ref-Klonoff2014"/>
    <w:p>
      <w:pPr>
        <w:pStyle w:val="Bibliography"/>
      </w:pPr>
      <w:r>
        <w:t xml:space="preserve">87.</w:t>
      </w:r>
      <w:r>
        <w:t xml:space="preserve"> </w:t>
      </w:r>
      <w:r>
        <w:t xml:space="preserve">	</w:t>
      </w:r>
      <w:r>
        <w:t xml:space="preserve">Klonoff DC, Lias C, Vigersky R, et al. The surveillance error grid. Journal of diabetes science and technology 2014;8(4):658–72.</w:t>
      </w:r>
      <w:r>
        <w:t xml:space="preserve"> </w:t>
      </w:r>
    </w:p>
    <w:bookmarkEnd w:id="370"/>
    <w:bookmarkStart w:id="372" w:name="ref-doorn_wptmdoornmethcomp_2026"/>
    <w:p>
      <w:pPr>
        <w:pStyle w:val="Bibliography"/>
      </w:pPr>
      <w:r>
        <w:t xml:space="preserve">88.</w:t>
      </w:r>
      <w:r>
        <w:t xml:space="preserve"> </w:t>
      </w:r>
      <w:r>
        <w:t xml:space="preserve">	</w:t>
      </w:r>
      <w:r>
        <w:t xml:space="preserve">Doorn W van. Wptmdoorn/methcomp [Internet]. 2026 [cited 2026 July 31];Available from:</w:t>
      </w:r>
      <w:r>
        <w:t xml:space="preserve"> </w:t>
      </w:r>
      <w:hyperlink r:id="rId371">
        <w:r>
          <w:rPr>
            <w:rStyle w:val="Hyperlink"/>
          </w:rPr>
          <w:t xml:space="preserve">https://github.com/wptmdoorn/methcomp</w:t>
        </w:r>
      </w:hyperlink>
    </w:p>
    <w:bookmarkEnd w:id="372"/>
    <w:bookmarkStart w:id="374" w:name="ref-Borg2011"/>
    <w:p>
      <w:pPr>
        <w:pStyle w:val="Bibliography"/>
      </w:pPr>
      <w:r>
        <w:t xml:space="preserve">89.</w:t>
      </w:r>
      <w:r>
        <w:t xml:space="preserve"> </w:t>
      </w:r>
      <w:r>
        <w:t xml:space="preserve">	</w:t>
      </w:r>
      <w:r>
        <w:t xml:space="preserve">Borg R, Kuenen J C, Carstensen B, et al.</w:t>
      </w:r>
      <w:r>
        <w:t xml:space="preserve"> </w:t>
      </w:r>
      <w:r>
        <w:t xml:space="preserve">HbA1</w:t>
      </w:r>
      <w:r>
        <w:t xml:space="preserve">(c) and mean blood glucose show stronger associations with cardiovascular disease risk factors than do postprandial glycaemia or glucose variability in persons with diabetes: The</w:t>
      </w:r>
      <w:r>
        <w:t xml:space="preserve"> </w:t>
      </w:r>
      <w:r>
        <w:t xml:space="preserve">A1C</w:t>
      </w:r>
      <w:r>
        <w:t xml:space="preserve">-</w:t>
      </w:r>
      <w:r>
        <w:t xml:space="preserve">Derived</w:t>
      </w:r>
      <w:r>
        <w:t xml:space="preserve"> </w:t>
      </w:r>
      <w:r>
        <w:t xml:space="preserve">Average</w:t>
      </w:r>
      <w:r>
        <w:t xml:space="preserve"> </w:t>
      </w:r>
      <w:r>
        <w:t xml:space="preserve">Glucose</w:t>
      </w:r>
      <w:r>
        <w:t xml:space="preserve"> </w:t>
      </w:r>
      <w:r>
        <w:t xml:space="preserve">(</w:t>
      </w:r>
      <w:r>
        <w:t xml:space="preserve">ADAG</w:t>
      </w:r>
      <w:r>
        <w:t xml:space="preserve">) study. Diabetologia [Internet] 2011;54(1):69–72. Available from:</w:t>
      </w:r>
      <w:r>
        <w:t xml:space="preserve"> </w:t>
      </w:r>
      <w:hyperlink r:id="rId373">
        <w:r>
          <w:rPr>
            <w:rStyle w:val="Hyperlink"/>
          </w:rPr>
          <w:t xml:space="preserve">http://ovidsp.ovid.com/ovidweb.cgi?T=JS&amp;PAGE=reference&amp;D=med8&amp;NEWS=N&amp;AN=20886203</w:t>
        </w:r>
      </w:hyperlink>
    </w:p>
    <w:bookmarkEnd w:id="374"/>
    <w:bookmarkStart w:id="376" w:name="ref-Pulkkinen2020"/>
    <w:p>
      <w:pPr>
        <w:pStyle w:val="Bibliography"/>
      </w:pPr>
      <w:r>
        <w:t xml:space="preserve">90.</w:t>
      </w:r>
      <w:r>
        <w:t xml:space="preserve"> </w:t>
      </w:r>
      <w:r>
        <w:t xml:space="preserve">	</w:t>
      </w:r>
      <w:r>
        <w:t xml:space="preserve">Pulkkinen Mari-Anne, Tuomaala Anna-Kaisa, Hero Matti, Gordin Daniel, Sarkola Taisto. Motivational</w:t>
      </w:r>
      <w:r>
        <w:t xml:space="preserve"> </w:t>
      </w:r>
      <w:r>
        <w:t xml:space="preserve">Interview</w:t>
      </w:r>
      <w:r>
        <w:t xml:space="preserve"> </w:t>
      </w:r>
      <w:r>
        <w:t xml:space="preserve">to improve vascular health in</w:t>
      </w:r>
      <w:r>
        <w:t xml:space="preserve"> </w:t>
      </w:r>
      <w:r>
        <w:t xml:space="preserve">Adolescents</w:t>
      </w:r>
      <w:r>
        <w:t xml:space="preserve"> </w:t>
      </w:r>
      <w:r>
        <w:t xml:space="preserve">with poorly controlled type 1</w:t>
      </w:r>
      <w:r>
        <w:t xml:space="preserve"> </w:t>
      </w:r>
      <w:r>
        <w:t xml:space="preserve">Diabetes</w:t>
      </w:r>
      <w:r>
        <w:t xml:space="preserve"> </w:t>
      </w:r>
      <w:r>
        <w:t xml:space="preserve">(</w:t>
      </w:r>
      <w:r>
        <w:t xml:space="preserve">MIAD</w:t>
      </w:r>
      <w:r>
        <w:t xml:space="preserve">): A randomized controlled trial. BMJ open diabetes research &amp; care [Internet] 2020;8(1). Available from:</w:t>
      </w:r>
      <w:r>
        <w:t xml:space="preserve"> </w:t>
      </w:r>
      <w:hyperlink r:id="rId375">
        <w:r>
          <w:rPr>
            <w:rStyle w:val="Hyperlink"/>
          </w:rPr>
          <w:t xml:space="preserve">http://ovidsp.ovid.com/ovidweb.cgi?T=JS&amp;PAGE=reference&amp;D=med18&amp;NEWS=N&amp;AN=32723754</w:t>
        </w:r>
      </w:hyperlink>
    </w:p>
    <w:bookmarkEnd w:id="376"/>
    <w:bookmarkStart w:id="378" w:name="ref-Hoffman2013"/>
    <w:p>
      <w:pPr>
        <w:pStyle w:val="Bibliography"/>
      </w:pPr>
      <w:r>
        <w:t xml:space="preserve">91.</w:t>
      </w:r>
      <w:r>
        <w:t xml:space="preserve"> </w:t>
      </w:r>
      <w:r>
        <w:t xml:space="preserve">	</w:t>
      </w:r>
      <w:r>
        <w:t xml:space="preserve">Hoffman Robert P, Dye Amanda S, Huang Hong, Bauer John A. Effects of glucose control and variability on endothelial function and repair in adolescents with type 1 diabetes. ISRN endocrinology [Internet] 2013;2013:876547. Available from:</w:t>
      </w:r>
      <w:r>
        <w:t xml:space="preserve"> </w:t>
      </w:r>
      <w:hyperlink r:id="rId377">
        <w:r>
          <w:rPr>
            <w:rStyle w:val="Hyperlink"/>
          </w:rPr>
          <w:t xml:space="preserve">http://ovidsp.ovid.com/ovidweb.cgi?T=JS&amp;PAGE=reference&amp;D=pmnm3&amp;NEWS=N&amp;AN=24490081</w:t>
        </w:r>
      </w:hyperlink>
    </w:p>
    <w:bookmarkEnd w:id="378"/>
    <w:bookmarkStart w:id="380" w:name="ref-Mi2012"/>
    <w:p>
      <w:pPr>
        <w:pStyle w:val="Bibliography"/>
      </w:pPr>
      <w:r>
        <w:t xml:space="preserve">92.</w:t>
      </w:r>
      <w:r>
        <w:t xml:space="preserve"> </w:t>
      </w:r>
      <w:r>
        <w:t xml:space="preserve">	</w:t>
      </w:r>
      <w:r>
        <w:t xml:space="preserve">Mi Shu-Hua, Su Gong, Li Zhao, et al. Comparison of glycemic variability and glycated hemoglobin as risk factors of coronary artery disease in patients with undiagnosed diabetes. Chinese medical journal [Internet] 2012;125(1):38–43. Available from:</w:t>
      </w:r>
      <w:r>
        <w:t xml:space="preserve"> </w:t>
      </w:r>
      <w:hyperlink r:id="rId379">
        <w:r>
          <w:rPr>
            <w:rStyle w:val="Hyperlink"/>
          </w:rPr>
          <w:t xml:space="preserve">http://ovidsp.ovid.com/ovidweb.cgi?T=JS&amp;PAGE=reference&amp;D=med9&amp;NEWS=N&amp;AN=22340463</w:t>
        </w:r>
      </w:hyperlink>
    </w:p>
    <w:bookmarkEnd w:id="380"/>
    <w:bookmarkStart w:id="382" w:name="ref-Koroleva2022"/>
    <w:p>
      <w:pPr>
        <w:pStyle w:val="Bibliography"/>
      </w:pPr>
      <w:r>
        <w:t xml:space="preserve">93.</w:t>
      </w:r>
      <w:r>
        <w:t xml:space="preserve"> </w:t>
      </w:r>
      <w:r>
        <w:t xml:space="preserve">	</w:t>
      </w:r>
      <w:r>
        <w:t xml:space="preserve">Koroleva EA, Korbut AI, Bulumbaeva DM, Klimontov VV. Modeling of</w:t>
      </w:r>
      <w:r>
        <w:t xml:space="preserve"> </w:t>
      </w:r>
      <w:r>
        <w:t xml:space="preserve">Risk</w:t>
      </w:r>
      <w:r>
        <w:t xml:space="preserve"> </w:t>
      </w:r>
      <w:r>
        <w:t xml:space="preserve">Factors</w:t>
      </w:r>
      <w:r>
        <w:t xml:space="preserve"> </w:t>
      </w:r>
      <w:r>
        <w:t xml:space="preserve">for</w:t>
      </w:r>
      <w:r>
        <w:t xml:space="preserve"> </w:t>
      </w:r>
      <w:r>
        <w:t xml:space="preserve">Peripheral</w:t>
      </w:r>
      <w:r>
        <w:t xml:space="preserve"> </w:t>
      </w:r>
      <w:r>
        <w:t xml:space="preserve">Artery</w:t>
      </w:r>
      <w:r>
        <w:t xml:space="preserve"> </w:t>
      </w:r>
      <w:r>
        <w:t xml:space="preserve">Disease</w:t>
      </w:r>
      <w:r>
        <w:t xml:space="preserve"> </w:t>
      </w:r>
      <w:r>
        <w:t xml:space="preserve">in</w:t>
      </w:r>
      <w:r>
        <w:t xml:space="preserve"> </w:t>
      </w:r>
      <w:r>
        <w:t xml:space="preserve">Patients</w:t>
      </w:r>
      <w:r>
        <w:t xml:space="preserve"> </w:t>
      </w:r>
      <w:r>
        <w:t xml:space="preserve">with</w:t>
      </w:r>
      <w:r>
        <w:t xml:space="preserve"> </w:t>
      </w:r>
      <w:r>
        <w:t xml:space="preserve">Type</w:t>
      </w:r>
      <w:r>
        <w:t xml:space="preserve"> </w:t>
      </w:r>
      <w:r>
        <w:t xml:space="preserve">2</w:t>
      </w:r>
      <w:r>
        <w:t xml:space="preserve"> </w:t>
      </w:r>
      <w:r>
        <w:t xml:space="preserve">Diabetes</w:t>
      </w:r>
      <w:r>
        <w:t xml:space="preserve"> </w:t>
      </w:r>
      <w:r>
        <w:t xml:space="preserve">[Internet]. In: 2022</w:t>
      </w:r>
      <w:r>
        <w:t xml:space="preserve"> </w:t>
      </w:r>
      <w:r>
        <w:t xml:space="preserve">IEEE</w:t>
      </w:r>
      <w:r>
        <w:t xml:space="preserve"> </w:t>
      </w:r>
      <w:r>
        <w:t xml:space="preserve">International</w:t>
      </w:r>
      <w:r>
        <w:t xml:space="preserve"> </w:t>
      </w:r>
      <w:r>
        <w:t xml:space="preserve">Multi</w:t>
      </w:r>
      <w:r>
        <w:t xml:space="preserve">-</w:t>
      </w:r>
      <w:r>
        <w:t xml:space="preserve">Conference</w:t>
      </w:r>
      <w:r>
        <w:t xml:space="preserve"> </w:t>
      </w:r>
      <w:r>
        <w:t xml:space="preserve">on</w:t>
      </w:r>
      <w:r>
        <w:t xml:space="preserve"> </w:t>
      </w:r>
      <w:r>
        <w:t xml:space="preserve">Engineering</w:t>
      </w:r>
      <w:r>
        <w:t xml:space="preserve">,</w:t>
      </w:r>
      <w:r>
        <w:t xml:space="preserve"> </w:t>
      </w:r>
      <w:r>
        <w:t xml:space="preserve">Computer</w:t>
      </w:r>
      <w:r>
        <w:t xml:space="preserve"> </w:t>
      </w:r>
      <w:r>
        <w:t xml:space="preserve">and</w:t>
      </w:r>
      <w:r>
        <w:t xml:space="preserve"> </w:t>
      </w:r>
      <w:r>
        <w:t xml:space="preserve">Information</w:t>
      </w:r>
      <w:r>
        <w:t xml:space="preserve"> </w:t>
      </w:r>
      <w:r>
        <w:t xml:space="preserve">Sciences</w:t>
      </w:r>
      <w:r>
        <w:t xml:space="preserve"> </w:t>
      </w:r>
      <w:r>
        <w:t xml:space="preserve">(</w:t>
      </w:r>
      <w:r>
        <w:t xml:space="preserve">SIBIRCON</w:t>
      </w:r>
      <w:r>
        <w:t xml:space="preserve">). Yekaterinburg, Russian Federation: IEEE; 2022 [cited 2025 July 15]. p. 200–5.Available from:</w:t>
      </w:r>
      <w:r>
        <w:t xml:space="preserve"> </w:t>
      </w:r>
      <w:hyperlink r:id="rId381">
        <w:r>
          <w:rPr>
            <w:rStyle w:val="Hyperlink"/>
          </w:rPr>
          <w:t xml:space="preserve">https://ieeexplore.ieee.org/document/10017018/</w:t>
        </w:r>
      </w:hyperlink>
    </w:p>
    <w:bookmarkEnd w:id="382"/>
    <w:bookmarkStart w:id="384" w:name="ref-Pena2012"/>
    <w:p>
      <w:pPr>
        <w:pStyle w:val="Bibliography"/>
      </w:pPr>
      <w:r>
        <w:t xml:space="preserve">94.</w:t>
      </w:r>
      <w:r>
        <w:t xml:space="preserve"> </w:t>
      </w:r>
      <w:r>
        <w:t xml:space="preserve">	</w:t>
      </w:r>
      <w:r>
        <w:t xml:space="preserve">Pena Alexia S, Couper Jennifer J, Harrington Jennifer, et al. Hypoglycemia, but not glucose variability, relates to vascular function in children with type 1 diabetes. Diabetes technology &amp; therapeutics [Internet] 2012;14(6):457–62. Available from:</w:t>
      </w:r>
      <w:r>
        <w:t xml:space="preserve"> </w:t>
      </w:r>
      <w:hyperlink r:id="rId383">
        <w:r>
          <w:rPr>
            <w:rStyle w:val="Hyperlink"/>
          </w:rPr>
          <w:t xml:space="preserve">http://ovidsp.ovid.com/ovidweb.cgi?T=JS&amp;PAGE=reference&amp;D=med9&amp;NEWS=N&amp;AN=22313018</w:t>
        </w:r>
      </w:hyperlink>
    </w:p>
    <w:bookmarkEnd w:id="384"/>
    <w:bookmarkStart w:id="386" w:name="ref-Wei2019"/>
    <w:p>
      <w:pPr>
        <w:pStyle w:val="Bibliography"/>
      </w:pPr>
      <w:r>
        <w:t xml:space="preserve">95.</w:t>
      </w:r>
      <w:r>
        <w:t xml:space="preserve"> </w:t>
      </w:r>
      <w:r>
        <w:t xml:space="preserve">	</w:t>
      </w:r>
      <w:r>
        <w:t xml:space="preserve">Wei Wei, Zhao Shi, Fu Sha-Li, et al. The</w:t>
      </w:r>
      <w:r>
        <w:t xml:space="preserve"> </w:t>
      </w:r>
      <w:r>
        <w:t xml:space="preserve">Association</w:t>
      </w:r>
      <w:r>
        <w:t xml:space="preserve"> </w:t>
      </w:r>
      <w:r>
        <w:t xml:space="preserve">of</w:t>
      </w:r>
      <w:r>
        <w:t xml:space="preserve"> </w:t>
      </w:r>
      <w:r>
        <w:t xml:space="preserve">Hypoglycemia</w:t>
      </w:r>
      <w:r>
        <w:t xml:space="preserve"> </w:t>
      </w:r>
      <w:r>
        <w:t xml:space="preserve">Assessed</w:t>
      </w:r>
      <w:r>
        <w:t xml:space="preserve"> </w:t>
      </w:r>
      <w:r>
        <w:t xml:space="preserve">by</w:t>
      </w:r>
      <w:r>
        <w:t xml:space="preserve"> </w:t>
      </w:r>
      <w:r>
        <w:t xml:space="preserve">Continuous</w:t>
      </w:r>
      <w:r>
        <w:t xml:space="preserve"> </w:t>
      </w:r>
      <w:r>
        <w:t xml:space="preserve">Glucose</w:t>
      </w:r>
      <w:r>
        <w:t xml:space="preserve"> </w:t>
      </w:r>
      <w:r>
        <w:t xml:space="preserve">Monitoring</w:t>
      </w:r>
      <w:r>
        <w:t xml:space="preserve"> </w:t>
      </w:r>
      <w:r>
        <w:t xml:space="preserve">With</w:t>
      </w:r>
      <w:r>
        <w:t xml:space="preserve"> </w:t>
      </w:r>
      <w:r>
        <w:t xml:space="preserve">Cardiovascular</w:t>
      </w:r>
      <w:r>
        <w:t xml:space="preserve"> </w:t>
      </w:r>
      <w:r>
        <w:t xml:space="preserve">Outcomes</w:t>
      </w:r>
      <w:r>
        <w:t xml:space="preserve"> </w:t>
      </w:r>
      <w:r>
        <w:t xml:space="preserve">and</w:t>
      </w:r>
      <w:r>
        <w:t xml:space="preserve"> </w:t>
      </w:r>
      <w:r>
        <w:t xml:space="preserve">Mortality</w:t>
      </w:r>
      <w:r>
        <w:t xml:space="preserve"> </w:t>
      </w:r>
      <w:r>
        <w:t xml:space="preserve">in</w:t>
      </w:r>
      <w:r>
        <w:t xml:space="preserve"> </w:t>
      </w:r>
      <w:r>
        <w:t xml:space="preserve">Patients</w:t>
      </w:r>
      <w:r>
        <w:t xml:space="preserve"> </w:t>
      </w:r>
      <w:r>
        <w:t xml:space="preserve">With</w:t>
      </w:r>
      <w:r>
        <w:t xml:space="preserve"> </w:t>
      </w:r>
      <w:r>
        <w:t xml:space="preserve">Type</w:t>
      </w:r>
      <w:r>
        <w:t xml:space="preserve"> </w:t>
      </w:r>
      <w:r>
        <w:t xml:space="preserve">2</w:t>
      </w:r>
      <w:r>
        <w:t xml:space="preserve"> </w:t>
      </w:r>
      <w:r>
        <w:t xml:space="preserve">Diabetes</w:t>
      </w:r>
      <w:r>
        <w:t xml:space="preserve">. Frontiers in endocrinology [Internet] 2019;10:536. Available from:</w:t>
      </w:r>
      <w:r>
        <w:t xml:space="preserve"> </w:t>
      </w:r>
      <w:hyperlink r:id="rId385">
        <w:r>
          <w:rPr>
            <w:rStyle w:val="Hyperlink"/>
          </w:rPr>
          <w:t xml:space="preserve">http://ovidsp.ovid.com/ovidweb.cgi?T=JS&amp;PAGE=reference&amp;D=pmnm4&amp;NEWS=N&amp;AN=31447782</w:t>
        </w:r>
      </w:hyperlink>
    </w:p>
    <w:bookmarkEnd w:id="386"/>
    <w:bookmarkStart w:id="388" w:name="ref-Castaldo2011"/>
    <w:p>
      <w:pPr>
        <w:pStyle w:val="Bibliography"/>
      </w:pPr>
      <w:r>
        <w:t xml:space="preserve">96.</w:t>
      </w:r>
      <w:r>
        <w:t xml:space="preserve"> </w:t>
      </w:r>
      <w:r>
        <w:t xml:space="preserve">	</w:t>
      </w:r>
      <w:r>
        <w:t xml:space="preserve">Castaldo Ersilia, Sabato Donata, Lauro Davide, Sesti Giorgio, Marini Maria Adelaide. Hypoglycemia assessed by continuous glucose monitoring is associated with preclinical atherosclerosis in individuals with impaired glucose tolerance. PloS one [Internet] 2011;6(12):e28312. Available from:</w:t>
      </w:r>
      <w:r>
        <w:t xml:space="preserve"> </w:t>
      </w:r>
      <w:hyperlink r:id="rId387">
        <w:r>
          <w:rPr>
            <w:rStyle w:val="Hyperlink"/>
          </w:rPr>
          <w:t xml:space="preserve">http://ovidsp.ovid.com/ovidweb.cgi?T=JS&amp;PAGE=reference&amp;D=med8&amp;NEWS=N&amp;AN=22164268</w:t>
        </w:r>
      </w:hyperlink>
    </w:p>
    <w:bookmarkEnd w:id="388"/>
    <w:bookmarkStart w:id="390" w:name="ref-Mesa2022"/>
    <w:p>
      <w:pPr>
        <w:pStyle w:val="Bibliography"/>
      </w:pPr>
      <w:r>
        <w:t xml:space="preserve">97.</w:t>
      </w:r>
      <w:r>
        <w:t xml:space="preserve"> </w:t>
      </w:r>
      <w:r>
        <w:t xml:space="preserve">	</w:t>
      </w:r>
      <w:r>
        <w:t xml:space="preserve">Mesa Alex, Gimenez Marga, Pueyo Irene, et al. Hyperglycemia and hypoglycemia exposure are differentially associated with micro- and macrovascular complications in adults with</w:t>
      </w:r>
      <w:r>
        <w:t xml:space="preserve"> </w:t>
      </w:r>
      <w:r>
        <w:t xml:space="preserve">Type</w:t>
      </w:r>
      <w:r>
        <w:t xml:space="preserve"> </w:t>
      </w:r>
      <w:r>
        <w:t xml:space="preserve">1</w:t>
      </w:r>
      <w:r>
        <w:t xml:space="preserve"> </w:t>
      </w:r>
      <w:r>
        <w:t xml:space="preserve">Diabetes</w:t>
      </w:r>
      <w:r>
        <w:t xml:space="preserve">. Diabetes research and clinical practice [Internet] 2022;189:109938. Available from:</w:t>
      </w:r>
      <w:r>
        <w:t xml:space="preserve"> </w:t>
      </w:r>
      <w:hyperlink r:id="rId389">
        <w:r>
          <w:rPr>
            <w:rStyle w:val="Hyperlink"/>
          </w:rPr>
          <w:t xml:space="preserve">http://ovidsp.ovid.com/ovidweb.cgi?T=JS&amp;PAGE=reference&amp;D=med22&amp;NEWS=N&amp;AN=35662616</w:t>
        </w:r>
      </w:hyperlink>
    </w:p>
    <w:bookmarkEnd w:id="390"/>
    <w:bookmarkStart w:id="392" w:name="ref-Johnston2011"/>
    <w:p>
      <w:pPr>
        <w:pStyle w:val="Bibliography"/>
      </w:pPr>
      <w:r>
        <w:t xml:space="preserve">98.</w:t>
      </w:r>
      <w:r>
        <w:t xml:space="preserve"> </w:t>
      </w:r>
      <w:r>
        <w:t xml:space="preserve">	</w:t>
      </w:r>
      <w:r>
        <w:t xml:space="preserve">Johnston SS, Conner C, Aagren M, Smith DM, Bouchard J, Brett J.</w:t>
      </w:r>
      <w:r>
        <w:t xml:space="preserve"> </w:t>
      </w:r>
      <w:hyperlink r:id="rId391">
        <w:r>
          <w:rPr>
            <w:rStyle w:val="Hyperlink"/>
          </w:rPr>
          <w:t xml:space="preserve">Evidence linking hypoglycemic events to an increased risk of acute cardiovascular events in patients with type 2 diabetes</w:t>
        </w:r>
      </w:hyperlink>
      <w:r>
        <w:t xml:space="preserve">. Diabetes Care 2011;34(5):1164–70.</w:t>
      </w:r>
      <w:r>
        <w:t xml:space="preserve"> </w:t>
      </w:r>
    </w:p>
    <w:bookmarkEnd w:id="392"/>
    <w:bookmarkStart w:id="394" w:name="ref-Shilo2021"/>
    <w:p>
      <w:pPr>
        <w:pStyle w:val="Bibliography"/>
      </w:pPr>
      <w:r>
        <w:t xml:space="preserve">99.</w:t>
      </w:r>
      <w:r>
        <w:t xml:space="preserve"> </w:t>
      </w:r>
      <w:r>
        <w:t xml:space="preserve">	</w:t>
      </w:r>
      <w:r>
        <w:t xml:space="preserve">Shilo S, Bar N, Keshet A, et al. 10 </w:t>
      </w:r>
      <w:r>
        <w:t xml:space="preserve">K</w:t>
      </w:r>
      <w:r>
        <w:t xml:space="preserve">: A large‐scale prospective longitudinal study in</w:t>
      </w:r>
      <w:r>
        <w:t xml:space="preserve"> </w:t>
      </w:r>
      <w:r>
        <w:t xml:space="preserve">Israel</w:t>
      </w:r>
      <w:r>
        <w:t xml:space="preserve">. European Journal of Epidemiology [Internet] 2021 [cited 2026 July 18];36(11):1187–94. Available from:</w:t>
      </w:r>
      <w:r>
        <w:t xml:space="preserve"> </w:t>
      </w:r>
      <w:hyperlink r:id="rId393">
        <w:r>
          <w:rPr>
            <w:rStyle w:val="Hyperlink"/>
          </w:rPr>
          <w:t xml:space="preserve">https://doi.org/10.1007/s10654-021-00753-5</w:t>
        </w:r>
      </w:hyperlink>
    </w:p>
    <w:bookmarkEnd w:id="394"/>
    <w:bookmarkStart w:id="396" w:name="ref-Balion2008"/>
    <w:p>
      <w:pPr>
        <w:pStyle w:val="Bibliography"/>
      </w:pPr>
      <w:r>
        <w:t xml:space="preserve">100.</w:t>
      </w:r>
      <w:r>
        <w:t xml:space="preserve"> </w:t>
      </w:r>
      <w:r>
        <w:t xml:space="preserve">	</w:t>
      </w:r>
      <w:r>
        <w:t xml:space="preserve">Balion CM, Santaguida P, McKelvie R, et al. Physiological, pathological, pharmacological, biochemical and hematological factors affecting BNP and NT-proBNP. Clinical Biochemistry [Internet] 2008;41(4):231–9. Available from:</w:t>
      </w:r>
      <w:r>
        <w:t xml:space="preserve"> </w:t>
      </w:r>
      <w:hyperlink r:id="rId395">
        <w:r>
          <w:rPr>
            <w:rStyle w:val="Hyperlink"/>
          </w:rPr>
          <w:t xml:space="preserve">https://www.sciencedirect.com/science/article/pii/S0009912007003918</w:t>
        </w:r>
      </w:hyperlink>
    </w:p>
    <w:bookmarkEnd w:id="396"/>
    <w:bookmarkStart w:id="397" w:name="ref-Sabbatinelli2022"/>
    <w:p>
      <w:pPr>
        <w:pStyle w:val="Bibliography"/>
      </w:pPr>
      <w:r>
        <w:t xml:space="preserve">101.</w:t>
      </w:r>
      <w:r>
        <w:t xml:space="preserve"> </w:t>
      </w:r>
      <w:r>
        <w:t xml:space="preserve">	</w:t>
      </w:r>
      <w:r>
        <w:t xml:space="preserve">Sabbatinelli J, Giuliani A, Bonfigli AR, et al. Prognostic value of soluble ST2, high-sensitivity cardiac troponin, and NT-proBNP in type 2 diabetes: A 15-year retrospective study. Cardiovascular diabetology 2022;21(1):1–15.</w:t>
      </w:r>
      <w:r>
        <w:t xml:space="preserve"> </w:t>
      </w:r>
    </w:p>
    <w:bookmarkEnd w:id="397"/>
    <w:bookmarkStart w:id="398" w:name="ref-Takahashi2018"/>
    <w:p>
      <w:pPr>
        <w:pStyle w:val="Bibliography"/>
      </w:pPr>
      <w:r>
        <w:t xml:space="preserve">102.</w:t>
      </w:r>
      <w:r>
        <w:t xml:space="preserve"> </w:t>
      </w:r>
      <w:r>
        <w:t xml:space="preserve">	</w:t>
      </w:r>
      <w:r>
        <w:t xml:space="preserve">Takahashi H, Iwahashi N, Kirigaya J, et al. Glycemic variability determined with a continuous glucose monitoring system can predict prognosis after acute coronary syndrome. Cardiovascular diabetology 2018;17(1):116–0.</w:t>
      </w:r>
      <w:r>
        <w:t xml:space="preserve"> </w:t>
      </w:r>
    </w:p>
    <w:bookmarkEnd w:id="398"/>
    <w:bookmarkStart w:id="399" w:name="ref-Miyoshi2021"/>
    <w:p>
      <w:pPr>
        <w:pStyle w:val="Bibliography"/>
      </w:pPr>
      <w:r>
        <w:t xml:space="preserve">103.</w:t>
      </w:r>
      <w:r>
        <w:t xml:space="preserve"> </w:t>
      </w:r>
      <w:r>
        <w:t xml:space="preserve">	</w:t>
      </w:r>
      <w:r>
        <w:t xml:space="preserve">Miyoshi M, Uzui H, Shimizu T, et al. Significance of day-to-day glucose variability in patients after acute coronary syndrome. BMC Cardiovascular Disorders 2021;21(1):490–6.</w:t>
      </w:r>
      <w:r>
        <w:t xml:space="preserve"> </w:t>
      </w:r>
    </w:p>
    <w:bookmarkEnd w:id="399"/>
    <w:bookmarkStart w:id="400" w:name="ref-Marcks2021"/>
    <w:p>
      <w:pPr>
        <w:pStyle w:val="Bibliography"/>
      </w:pPr>
      <w:r>
        <w:t xml:space="preserve">104.</w:t>
      </w:r>
      <w:r>
        <w:t xml:space="preserve"> </w:t>
      </w:r>
      <w:r>
        <w:t xml:space="preserve">	</w:t>
      </w:r>
      <w:r>
        <w:t xml:space="preserve">Marcks N, Aimo A, Januzzi JL, et al. Re-appraisal of the obesity paradox in heart failure: A meta-analysis of individual data. Clinical Research in Cardiology 2021;110(8):1280–91.</w:t>
      </w:r>
      <w:r>
        <w:t xml:space="preserve"> </w:t>
      </w:r>
    </w:p>
    <w:bookmarkEnd w:id="400"/>
    <w:bookmarkStart w:id="402" w:name="ref-Kushner2020"/>
    <w:p>
      <w:pPr>
        <w:pStyle w:val="Bibliography"/>
      </w:pPr>
      <w:r>
        <w:t xml:space="preserve">105.</w:t>
      </w:r>
      <w:r>
        <w:t xml:space="preserve"> </w:t>
      </w:r>
      <w:r>
        <w:t xml:space="preserve">	</w:t>
      </w:r>
      <w:r>
        <w:t xml:space="preserve">Kushner T, Breton MD, Sankaranarayanan S. Multi-</w:t>
      </w:r>
      <w:r>
        <w:t xml:space="preserve">Hour</w:t>
      </w:r>
      <w:r>
        <w:t xml:space="preserve"> </w:t>
      </w:r>
      <w:r>
        <w:t xml:space="preserve">Blood</w:t>
      </w:r>
      <w:r>
        <w:t xml:space="preserve"> </w:t>
      </w:r>
      <w:r>
        <w:t xml:space="preserve">Glucose</w:t>
      </w:r>
      <w:r>
        <w:t xml:space="preserve"> </w:t>
      </w:r>
      <w:r>
        <w:t xml:space="preserve">Prediction</w:t>
      </w:r>
      <w:r>
        <w:t xml:space="preserve"> </w:t>
      </w:r>
      <w:r>
        <w:t xml:space="preserve">in</w:t>
      </w:r>
      <w:r>
        <w:t xml:space="preserve"> </w:t>
      </w:r>
      <w:r>
        <w:t xml:space="preserve">Type</w:t>
      </w:r>
      <w:r>
        <w:t xml:space="preserve"> </w:t>
      </w:r>
      <w:r>
        <w:t xml:space="preserve">1</w:t>
      </w:r>
      <w:r>
        <w:t xml:space="preserve"> </w:t>
      </w:r>
      <w:r>
        <w:t xml:space="preserve">Diabetes</w:t>
      </w:r>
      <w:r>
        <w:t xml:space="preserve">:</w:t>
      </w:r>
      <w:r>
        <w:t xml:space="preserve"> </w:t>
      </w:r>
      <w:r>
        <w:t xml:space="preserve">A</w:t>
      </w:r>
      <w:r>
        <w:t xml:space="preserve"> </w:t>
      </w:r>
      <w:r>
        <w:t xml:space="preserve">Patient</w:t>
      </w:r>
      <w:r>
        <w:t xml:space="preserve">-</w:t>
      </w:r>
      <w:r>
        <w:t xml:space="preserve">Specific</w:t>
      </w:r>
      <w:r>
        <w:t xml:space="preserve"> </w:t>
      </w:r>
      <w:r>
        <w:t xml:space="preserve">Approach</w:t>
      </w:r>
      <w:r>
        <w:t xml:space="preserve"> </w:t>
      </w:r>
      <w:r>
        <w:t xml:space="preserve">Using</w:t>
      </w:r>
      <w:r>
        <w:t xml:space="preserve"> </w:t>
      </w:r>
      <w:r>
        <w:t xml:space="preserve">Shallow</w:t>
      </w:r>
      <w:r>
        <w:t xml:space="preserve"> </w:t>
      </w:r>
      <w:r>
        <w:t xml:space="preserve">Neural</w:t>
      </w:r>
      <w:r>
        <w:t xml:space="preserve"> </w:t>
      </w:r>
      <w:r>
        <w:t xml:space="preserve">Network</w:t>
      </w:r>
      <w:r>
        <w:t xml:space="preserve"> </w:t>
      </w:r>
      <w:r>
        <w:t xml:space="preserve">Models</w:t>
      </w:r>
      <w:r>
        <w:t xml:space="preserve">. Diabetes Technol Ther [Internet] 2020;22(12):883–91. Available from:</w:t>
      </w:r>
      <w:r>
        <w:t xml:space="preserve"> </w:t>
      </w:r>
      <w:hyperlink r:id="rId401">
        <w:r>
          <w:rPr>
            <w:rStyle w:val="Hyperlink"/>
          </w:rPr>
          <w:t xml:space="preserve">https://www.ncbi.nlm.nih.gov/pubmed/32324062 https://www.liebertpub.com/doi/pdf/10.1089/dia.2020.0061?download=true</w:t>
        </w:r>
      </w:hyperlink>
    </w:p>
    <w:bookmarkEnd w:id="402"/>
    <w:bookmarkStart w:id="404" w:name="ref-Seo2021"/>
    <w:p>
      <w:pPr>
        <w:pStyle w:val="Bibliography"/>
      </w:pPr>
      <w:r>
        <w:t xml:space="preserve">106.</w:t>
      </w:r>
      <w:r>
        <w:t xml:space="preserve"> </w:t>
      </w:r>
      <w:r>
        <w:t xml:space="preserve">	</w:t>
      </w:r>
      <w:r>
        <w:t xml:space="preserve">Seo W, Park SW, Kim N, Jin SM, Park SM. A personalized blood glucose level prediction model with a fine-tuning strategy:</w:t>
      </w:r>
      <w:r>
        <w:t xml:space="preserve"> </w:t>
      </w:r>
      <w:r>
        <w:t xml:space="preserve">A</w:t>
      </w:r>
      <w:r>
        <w:t xml:space="preserve"> </w:t>
      </w:r>
      <w:r>
        <w:t xml:space="preserve">proof-of-concept study. Comput Methods Programs Biomed [Internet] 2021;211:106424. Available from:</w:t>
      </w:r>
      <w:r>
        <w:t xml:space="preserve"> </w:t>
      </w:r>
      <w:hyperlink r:id="rId403">
        <w:r>
          <w:rPr>
            <w:rStyle w:val="Hyperlink"/>
          </w:rPr>
          <w:t xml:space="preserve">https://www.ncbi.nlm.nih.gov/pubmed/34598081 https://www.sciencedirect.com/science/article/pii/S0169260721004983?via%3Dihub</w:t>
        </w:r>
      </w:hyperlink>
    </w:p>
    <w:bookmarkEnd w:id="404"/>
    <w:bookmarkStart w:id="406" w:name="ref-Zhang_2024_review"/>
    <w:p>
      <w:pPr>
        <w:pStyle w:val="Bibliography"/>
      </w:pPr>
      <w:r>
        <w:t xml:space="preserve">107.</w:t>
      </w:r>
      <w:r>
        <w:t xml:space="preserve"> </w:t>
      </w:r>
      <w:r>
        <w:t xml:space="preserve">	</w:t>
      </w:r>
      <w:r>
        <w:t xml:space="preserve">Zhang L, Sun X-X, Tian Q. Research progress on the association between glycemic variability index derived from</w:t>
      </w:r>
      <w:r>
        <w:t xml:space="preserve"> </w:t>
      </w:r>
      <w:r>
        <w:t xml:space="preserve">CGM</w:t>
      </w:r>
      <w:r>
        <w:t xml:space="preserve"> </w:t>
      </w:r>
      <w:r>
        <w:t xml:space="preserve">and cardiovascular disease complications. Acta Diabetologica [Internet] 2024 [cited 2025 Nov 24];61(6):679–92. Available from:</w:t>
      </w:r>
      <w:r>
        <w:t xml:space="preserve"> </w:t>
      </w:r>
      <w:hyperlink r:id="rId405">
        <w:r>
          <w:rPr>
            <w:rStyle w:val="Hyperlink"/>
          </w:rPr>
          <w:t xml:space="preserve">https://link.springer.com/10.1007/s00592-024-02241-0</w:t>
        </w:r>
      </w:hyperlink>
    </w:p>
    <w:bookmarkEnd w:id="406"/>
    <w:bookmarkStart w:id="407" w:name="ref-Efthimiou2024"/>
    <w:p>
      <w:pPr>
        <w:pStyle w:val="Bibliography"/>
      </w:pPr>
      <w:r>
        <w:t xml:space="preserve">108.</w:t>
      </w:r>
      <w:r>
        <w:t xml:space="preserve"> </w:t>
      </w:r>
      <w:r>
        <w:t xml:space="preserve">	</w:t>
      </w:r>
      <w:r>
        <w:t xml:space="preserve">Efthimiou O, Seo M, Chalkou K, Debray T, Egger M, Salanti G. Developing clinical prediction models: A step-by-step guide. BMJ (Online) 2024;386:e078276–.</w:t>
      </w:r>
      <w:r>
        <w:t xml:space="preserve"> </w:t>
      </w:r>
    </w:p>
    <w:bookmarkEnd w:id="407"/>
    <w:bookmarkStart w:id="409" w:name="ref-Clements2016"/>
    <w:p>
      <w:pPr>
        <w:pStyle w:val="Bibliography"/>
      </w:pPr>
      <w:r>
        <w:t xml:space="preserve">109.</w:t>
      </w:r>
      <w:r>
        <w:t xml:space="preserve"> </w:t>
      </w:r>
      <w:r>
        <w:t xml:space="preserve">	</w:t>
      </w:r>
      <w:r>
        <w:t xml:space="preserve">Clements MA, Foster NC, Maahs DM, et al.</w:t>
      </w:r>
      <w:r>
        <w:t xml:space="preserve"> Hemoglobin</w:t>
      </w:r>
      <w:r>
        <w:t xml:space="preserve"> </w:t>
      </w:r>
      <w:r>
        <w:t xml:space="preserve">A1c</w:t>
      </w:r>
      <w:r>
        <w:t xml:space="preserve"> </w:t>
      </w:r>
      <w:r>
        <w:t xml:space="preserve">(</w:t>
      </w:r>
      <w:r>
        <w:t xml:space="preserve">HbA1c</w:t>
      </w:r>
      <w:r>
        <w:t xml:space="preserve">) changes over time among adolescent and young adult participants in the</w:t>
      </w:r>
      <w:r>
        <w:t xml:space="preserve"> </w:t>
      </w:r>
      <w:r>
        <w:t xml:space="preserve">T1D</w:t>
      </w:r>
      <w:r>
        <w:t xml:space="preserve"> </w:t>
      </w:r>
      <w:r>
        <w:t xml:space="preserve">exchange clinic registry. Pediatric Diabetes [Internet] 2016 [cited 2026 July 21];17(5):327–36. Available from:</w:t>
      </w:r>
      <w:r>
        <w:t xml:space="preserve"> </w:t>
      </w:r>
      <w:hyperlink r:id="rId408">
        <w:r>
          <w:rPr>
            <w:rStyle w:val="Hyperlink"/>
          </w:rPr>
          <w:t xml:space="preserve">https://onlinelibrary.wiley.com/doi/abs/10.1111/pedi.12295</w:t>
        </w:r>
      </w:hyperlink>
    </w:p>
    <w:bookmarkEnd w:id="409"/>
    <w:bookmarkStart w:id="411" w:name="ref-gunnemyr_six_2023"/>
    <w:p>
      <w:pPr>
        <w:pStyle w:val="Bibliography"/>
      </w:pPr>
      <w:r>
        <w:t xml:space="preserve">110.</w:t>
      </w:r>
      <w:r>
        <w:t xml:space="preserve"> </w:t>
      </w:r>
      <w:r>
        <w:t xml:space="preserve">	</w:t>
      </w:r>
      <w:r>
        <w:t xml:space="preserve">Husfeldt T. Six</w:t>
      </w:r>
      <w:r>
        <w:t xml:space="preserve"> </w:t>
      </w:r>
      <w:r>
        <w:t xml:space="preserve">Ways</w:t>
      </w:r>
      <w:r>
        <w:t xml:space="preserve"> </w:t>
      </w:r>
      <w:r>
        <w:t xml:space="preserve">of</w:t>
      </w:r>
      <w:r>
        <w:t xml:space="preserve"> </w:t>
      </w:r>
      <w:r>
        <w:t xml:space="preserve">Fairness</w:t>
      </w:r>
      <w:r>
        <w:t xml:space="preserve"> </w:t>
      </w:r>
      <w:r>
        <w:t xml:space="preserve">[Internet]. In: Gunnemyr M, Jönsson ML, editors. Post</w:t>
      </w:r>
      <w:r>
        <w:t xml:space="preserve"> </w:t>
      </w:r>
      <w:r>
        <w:t xml:space="preserve">Hoc</w:t>
      </w:r>
      <w:r>
        <w:t xml:space="preserve"> </w:t>
      </w:r>
      <w:r>
        <w:t xml:space="preserve">Interventions</w:t>
      </w:r>
      <w:r>
        <w:t xml:space="preserve">. the Department of Philosophy, Lund University; 2023 [cited 2026 July 21]. p. 167–89.Available from:</w:t>
      </w:r>
      <w:r>
        <w:t xml:space="preserve"> </w:t>
      </w:r>
      <w:hyperlink r:id="rId410">
        <w:r>
          <w:rPr>
            <w:rStyle w:val="Hyperlink"/>
          </w:rPr>
          <w:t xml:space="preserve">https://books.lub.lu.se/catalog/book/184</w:t>
        </w:r>
      </w:hyperlink>
    </w:p>
    <w:bookmarkEnd w:id="411"/>
    <w:bookmarkStart w:id="413" w:name="ref-Ajjan2025"/>
    <w:p>
      <w:pPr>
        <w:pStyle w:val="Bibliography"/>
      </w:pPr>
      <w:r>
        <w:t xml:space="preserve">111.</w:t>
      </w:r>
      <w:r>
        <w:t xml:space="preserve"> </w:t>
      </w:r>
      <w:r>
        <w:t xml:space="preserve">	</w:t>
      </w:r>
      <w:r>
        <w:t xml:space="preserve">Ajjan RA, Battelino T, Seufert J, et al. Do continuous glucose monitoring (</w:t>
      </w:r>
      <w:r>
        <w:t xml:space="preserve">CGM</w:t>
      </w:r>
      <w:r>
        <w:t xml:space="preserve">) metrics predict macrovascular and microvascular complications in diabetes?</w:t>
      </w:r>
      <w:r>
        <w:t xml:space="preserve"> </w:t>
      </w:r>
      <w:r>
        <w:t xml:space="preserve">The</w:t>
      </w:r>
      <w:r>
        <w:t xml:space="preserve"> </w:t>
      </w:r>
      <w:r>
        <w:t xml:space="preserve">FACULTY</w:t>
      </w:r>
      <w:r>
        <w:t xml:space="preserve"> </w:t>
      </w:r>
      <w:r>
        <w:t xml:space="preserve">protocol of a retrospective real-world cohort study. BMJ Open [Internet] 2025 [cited 2025 Aug 18];15(1):e085961. Available from:</w:t>
      </w:r>
      <w:r>
        <w:t xml:space="preserve"> </w:t>
      </w:r>
      <w:hyperlink r:id="rId412">
        <w:r>
          <w:rPr>
            <w:rStyle w:val="Hyperlink"/>
          </w:rPr>
          <w:t xml:space="preserve">https://bmjopen.bmj.com/content/15/1/e085961</w:t>
        </w:r>
      </w:hyperlink>
    </w:p>
    <w:bookmarkEnd w:id="413"/>
    <w:bookmarkStart w:id="415" w:name="ref-aptos2019"/>
    <w:p>
      <w:pPr>
        <w:pStyle w:val="Bibliography"/>
      </w:pPr>
      <w:r>
        <w:t xml:space="preserve">112.</w:t>
      </w:r>
      <w:r>
        <w:t xml:space="preserve"> </w:t>
      </w:r>
      <w:r>
        <w:t xml:space="preserve">	</w:t>
      </w:r>
      <w:r>
        <w:t xml:space="preserve">(APTOS) APT-OS.</w:t>
      </w:r>
      <w:r>
        <w:t xml:space="preserve"> </w:t>
      </w:r>
      <w:r>
        <w:t xml:space="preserve">APTOS</w:t>
      </w:r>
      <w:r>
        <w:t xml:space="preserve"> </w:t>
      </w:r>
      <w:r>
        <w:t xml:space="preserve">2019</w:t>
      </w:r>
      <w:r>
        <w:t xml:space="preserve"> </w:t>
      </w:r>
      <w:r>
        <w:t xml:space="preserve">Blindness</w:t>
      </w:r>
      <w:r>
        <w:t xml:space="preserve"> </w:t>
      </w:r>
      <w:r>
        <w:t xml:space="preserve">Detection</w:t>
      </w:r>
      <w:r>
        <w:t xml:space="preserve"> </w:t>
      </w:r>
      <w:r>
        <w:t xml:space="preserve">[Internet]. Kaggle. 2019 [cited 2025 July 16];Available from:</w:t>
      </w:r>
      <w:r>
        <w:t xml:space="preserve"> </w:t>
      </w:r>
      <w:hyperlink r:id="rId414">
        <w:r>
          <w:rPr>
            <w:rStyle w:val="Hyperlink"/>
          </w:rPr>
          <w:t xml:space="preserve">https://www.kaggle.com/competitions/aptos2019-blindness-detection</w:t>
        </w:r>
      </w:hyperlink>
    </w:p>
    <w:bookmarkEnd w:id="415"/>
    <w:bookmarkStart w:id="417" w:name="ref-Stanford2025"/>
    <w:p>
      <w:pPr>
        <w:pStyle w:val="Bibliography"/>
      </w:pPr>
      <w:r>
        <w:t xml:space="preserve">113.</w:t>
      </w:r>
      <w:r>
        <w:t xml:space="preserve"> </w:t>
      </w:r>
      <w:r>
        <w:t xml:space="preserve">	</w:t>
      </w:r>
      <w:r>
        <w:t xml:space="preserve">group SM</w:t>
      </w:r>
      <w:r>
        <w:t xml:space="preserve">.</w:t>
      </w:r>
      <w:r>
        <w:t xml:space="preserve"> </w:t>
      </w:r>
      <w:r>
        <w:t xml:space="preserve">CheXpert</w:t>
      </w:r>
      <w:r>
        <w:t xml:space="preserve">:</w:t>
      </w:r>
      <w:r>
        <w:t xml:space="preserve"> </w:t>
      </w:r>
      <w:r>
        <w:t xml:space="preserve">A</w:t>
      </w:r>
      <w:r>
        <w:t xml:space="preserve"> </w:t>
      </w:r>
      <w:r>
        <w:t xml:space="preserve">Large</w:t>
      </w:r>
      <w:r>
        <w:t xml:space="preserve"> </w:t>
      </w:r>
      <w:r>
        <w:t xml:space="preserve">Dataset</w:t>
      </w:r>
      <w:r>
        <w:t xml:space="preserve"> </w:t>
      </w:r>
      <w:r>
        <w:t xml:space="preserve">of</w:t>
      </w:r>
      <w:r>
        <w:t xml:space="preserve"> </w:t>
      </w:r>
      <w:r>
        <w:t xml:space="preserve">Chest</w:t>
      </w:r>
      <w:r>
        <w:t xml:space="preserve"> </w:t>
      </w:r>
      <w:r>
        <w:t xml:space="preserve">X</w:t>
      </w:r>
      <w:r>
        <w:t xml:space="preserve">-</w:t>
      </w:r>
      <w:r>
        <w:t xml:space="preserve">Rays</w:t>
      </w:r>
      <w:r>
        <w:t xml:space="preserve"> </w:t>
      </w:r>
      <w:r>
        <w:t xml:space="preserve">and</w:t>
      </w:r>
      <w:r>
        <w:t xml:space="preserve"> </w:t>
      </w:r>
      <w:r>
        <w:t xml:space="preserve">Competition</w:t>
      </w:r>
      <w:r>
        <w:t xml:space="preserve"> </w:t>
      </w:r>
      <w:r>
        <w:t xml:space="preserve">for</w:t>
      </w:r>
      <w:r>
        <w:t xml:space="preserve"> </w:t>
      </w:r>
      <w:r>
        <w:t xml:space="preserve">Automated</w:t>
      </w:r>
      <w:r>
        <w:t xml:space="preserve"> </w:t>
      </w:r>
      <w:r>
        <w:t xml:space="preserve">Chest</w:t>
      </w:r>
      <w:r>
        <w:t xml:space="preserve"> </w:t>
      </w:r>
      <w:r>
        <w:t xml:space="preserve">X</w:t>
      </w:r>
      <w:r>
        <w:t xml:space="preserve">-</w:t>
      </w:r>
      <w:r>
        <w:t xml:space="preserve">Ray</w:t>
      </w:r>
      <w:r>
        <w:t xml:space="preserve"> </w:t>
      </w:r>
      <w:r>
        <w:t xml:space="preserve">Interpretation</w:t>
      </w:r>
      <w:r>
        <w:t xml:space="preserve">. [Internet]. [cited 2025 July 16];Available from:</w:t>
      </w:r>
      <w:r>
        <w:t xml:space="preserve"> </w:t>
      </w:r>
      <w:hyperlink r:id="rId416">
        <w:r>
          <w:rPr>
            <w:rStyle w:val="Hyperlink"/>
          </w:rPr>
          <w:t xml:space="preserve">https://stanfordmlgroup.github.io/competitions/chexpert/</w:t>
        </w:r>
      </w:hyperlink>
    </w:p>
    <w:bookmarkEnd w:id="417"/>
    <w:bookmarkStart w:id="419" w:name="ref-NIH2018"/>
    <w:p>
      <w:pPr>
        <w:pStyle w:val="Bibliography"/>
      </w:pPr>
      <w:r>
        <w:t xml:space="preserve">114.</w:t>
      </w:r>
      <w:r>
        <w:t xml:space="preserve"> </w:t>
      </w:r>
      <w:r>
        <w:t xml:space="preserve">	</w:t>
      </w:r>
      <w:r>
        <w:t xml:space="preserve">Health Chest X-Ray Dataset NI of.</w:t>
      </w:r>
      <w:r>
        <w:t xml:space="preserve"> </w:t>
      </w:r>
      <w:r>
        <w:t xml:space="preserve">NIH</w:t>
      </w:r>
      <w:r>
        <w:t xml:space="preserve"> </w:t>
      </w:r>
      <w:r>
        <w:t xml:space="preserve">Chest</w:t>
      </w:r>
      <w:r>
        <w:t xml:space="preserve"> </w:t>
      </w:r>
      <w:r>
        <w:t xml:space="preserve">X</w:t>
      </w:r>
      <w:r>
        <w:t xml:space="preserve">-rays [Internet]. Kaggle. 2018 [cited 2025 July 16];Available from:</w:t>
      </w:r>
      <w:r>
        <w:t xml:space="preserve"> </w:t>
      </w:r>
      <w:hyperlink r:id="rId418">
        <w:r>
          <w:rPr>
            <w:rStyle w:val="Hyperlink"/>
          </w:rPr>
          <w:t xml:space="preserve">https://www.kaggle.com/datasets/nih-chest-xrays/data</w:t>
        </w:r>
      </w:hyperlink>
    </w:p>
    <w:bookmarkEnd w:id="419"/>
    <w:bookmarkStart w:id="421" w:name="ref-Aleppo2026"/>
    <w:p>
      <w:pPr>
        <w:pStyle w:val="Bibliography"/>
      </w:pPr>
      <w:r>
        <w:t xml:space="preserve">115.</w:t>
      </w:r>
      <w:r>
        <w:t xml:space="preserve"> </w:t>
      </w:r>
      <w:r>
        <w:t xml:space="preserve">	</w:t>
      </w:r>
      <w:r>
        <w:t xml:space="preserve">IrinaStatsLab</w:t>
      </w:r>
      <w:r>
        <w:t xml:space="preserve">/</w:t>
      </w:r>
      <w:r>
        <w:t xml:space="preserve">Awesome</w:t>
      </w:r>
      <w:r>
        <w:t xml:space="preserve">-</w:t>
      </w:r>
      <w:r>
        <w:t xml:space="preserve">CGM</w:t>
      </w:r>
      <w:r>
        <w:t xml:space="preserve"> </w:t>
      </w:r>
      <w:r>
        <w:t xml:space="preserve">[Internet]. 2024 [cited 2026 July 22];Available from:</w:t>
      </w:r>
      <w:r>
        <w:t xml:space="preserve"> </w:t>
      </w:r>
      <w:hyperlink r:id="rId420">
        <w:r>
          <w:rPr>
            <w:rStyle w:val="Hyperlink"/>
          </w:rPr>
          <w:t xml:space="preserve">https://github.com/IrinaStatsLab/Awesome-CGM</w:t>
        </w:r>
      </w:hyperlink>
    </w:p>
    <w:bookmarkEnd w:id="421"/>
    <w:bookmarkStart w:id="423" w:name="ref-Sergazinov2024"/>
    <w:p>
      <w:pPr>
        <w:pStyle w:val="Bibliography"/>
      </w:pPr>
      <w:r>
        <w:t xml:space="preserve">116.</w:t>
      </w:r>
      <w:r>
        <w:t xml:space="preserve"> </w:t>
      </w:r>
      <w:r>
        <w:t xml:space="preserve">	</w:t>
      </w:r>
      <w:r>
        <w:t xml:space="preserve">Sergazinov R, Chun E, Rogovchenko V, Fernandes N, Kasman N, Gaynanova I.</w:t>
      </w:r>
      <w:r>
        <w:t xml:space="preserve"> </w:t>
      </w:r>
      <w:r>
        <w:t xml:space="preserve">GlucoBench</w:t>
      </w:r>
      <w:r>
        <w:t xml:space="preserve">:</w:t>
      </w:r>
      <w:r>
        <w:t xml:space="preserve"> </w:t>
      </w:r>
      <w:r>
        <w:t xml:space="preserve">Curated</w:t>
      </w:r>
      <w:r>
        <w:t xml:space="preserve"> </w:t>
      </w:r>
      <w:r>
        <w:t xml:space="preserve">List</w:t>
      </w:r>
      <w:r>
        <w:t xml:space="preserve"> </w:t>
      </w:r>
      <w:r>
        <w:t xml:space="preserve">of</w:t>
      </w:r>
      <w:r>
        <w:t xml:space="preserve"> </w:t>
      </w:r>
      <w:r>
        <w:t xml:space="preserve">Continuous</w:t>
      </w:r>
      <w:r>
        <w:t xml:space="preserve"> </w:t>
      </w:r>
      <w:r>
        <w:t xml:space="preserve">Glucose</w:t>
      </w:r>
      <w:r>
        <w:t xml:space="preserve"> </w:t>
      </w:r>
      <w:r>
        <w:t xml:space="preserve">Monitoring</w:t>
      </w:r>
      <w:r>
        <w:t xml:space="preserve"> </w:t>
      </w:r>
      <w:r>
        <w:t xml:space="preserve">Datasets</w:t>
      </w:r>
      <w:r>
        <w:t xml:space="preserve"> </w:t>
      </w:r>
      <w:r>
        <w:t xml:space="preserve">with</w:t>
      </w:r>
      <w:r>
        <w:t xml:space="preserve"> </w:t>
      </w:r>
      <w:r>
        <w:t xml:space="preserve">Prediction</w:t>
      </w:r>
      <w:r>
        <w:t xml:space="preserve"> </w:t>
      </w:r>
      <w:r>
        <w:t xml:space="preserve">Benchmarks</w:t>
      </w:r>
      <w:r>
        <w:t xml:space="preserve"> </w:t>
      </w:r>
      <w:r>
        <w:t xml:space="preserve">[Internet]. 2024 [cited 2026 July 22];Available from:</w:t>
      </w:r>
      <w:r>
        <w:t xml:space="preserve"> </w:t>
      </w:r>
      <w:hyperlink r:id="rId422">
        <w:r>
          <w:rPr>
            <w:rStyle w:val="Hyperlink"/>
          </w:rPr>
          <w:t xml:space="preserve">http://arxiv.org/abs/2410.05780</w:t>
        </w:r>
      </w:hyperlink>
    </w:p>
    <w:bookmarkEnd w:id="423"/>
    <w:bookmarkStart w:id="425" w:name="ref-Wilkinson2016"/>
    <w:p>
      <w:pPr>
        <w:pStyle w:val="Bibliography"/>
      </w:pPr>
      <w:r>
        <w:t xml:space="preserve">117.</w:t>
      </w:r>
      <w:r>
        <w:t xml:space="preserve"> </w:t>
      </w:r>
      <w:r>
        <w:t xml:space="preserve">	</w:t>
      </w:r>
      <w:r>
        <w:t xml:space="preserve">Wilkinson MD, Dumontier M, Aalbersberg IjJ, et al. The</w:t>
      </w:r>
      <w:r>
        <w:t xml:space="preserve"> </w:t>
      </w:r>
      <w:r>
        <w:t xml:space="preserve">FAIR</w:t>
      </w:r>
      <w:r>
        <w:t xml:space="preserve"> </w:t>
      </w:r>
      <w:r>
        <w:t xml:space="preserve">Guiding</w:t>
      </w:r>
      <w:r>
        <w:t xml:space="preserve"> </w:t>
      </w:r>
      <w:r>
        <w:t xml:space="preserve">Principles</w:t>
      </w:r>
      <w:r>
        <w:t xml:space="preserve"> </w:t>
      </w:r>
      <w:r>
        <w:t xml:space="preserve">for scientific data management and stewardship. Scientific Data [Internet] 2016 [cited 2025 July 16];3(1):160018. Available from:</w:t>
      </w:r>
      <w:r>
        <w:t xml:space="preserve"> </w:t>
      </w:r>
      <w:hyperlink r:id="rId424">
        <w:r>
          <w:rPr>
            <w:rStyle w:val="Hyperlink"/>
          </w:rPr>
          <w:t xml:space="preserve">https://www.nature.com/articles/sdata201618</w:t>
        </w:r>
      </w:hyperlink>
    </w:p>
    <w:bookmarkEnd w:id="425"/>
    <w:bookmarkEnd w:id="426"/>
    <w:bookmarkEnd w:id="427"/>
    <w:bookmarkStart w:id="433" w:name="sec-english"/>
    <w:p>
      <w:pPr>
        <w:pStyle w:val="Heading1"/>
      </w:pPr>
      <w:r>
        <w:t xml:space="preserve">English Abstract</w:t>
      </w:r>
    </w:p>
    <w:bookmarkStart w:id="428" w:name="background"/>
    <w:p>
      <w:pPr>
        <w:pStyle w:val="Heading4"/>
      </w:pPr>
      <w:r>
        <w:t xml:space="preserve">Background</w:t>
      </w:r>
    </w:p>
    <w:p>
      <w:pPr>
        <w:pStyle w:val="FirstParagraph"/>
      </w:pPr>
      <w:r>
        <w:t xml:space="preserve">Diabetes is characterized by chronic high blood glucose levels and is associated with an increased risk of cardiovascular disease (CVD).</w:t>
      </w:r>
      <w:r>
        <w:t xml:space="preserve"> </w:t>
      </w:r>
      <w:r>
        <w:t xml:space="preserve">Current CVD risk prediction in diabetes relies largely on traditional risk factors and HbA1c, although these measures may not fully capture clinically relevant glucose dynamics.</w:t>
      </w:r>
      <w:r>
        <w:t xml:space="preserve"> </w:t>
      </w:r>
      <w:r>
        <w:t xml:space="preserve">Continuous glucose monitoring (CGM) provides detailed information on glucose variability, time in range (TIR), and short-term glucose fluctuations, and recent advances in machine learning offer new opportunities to learn directly from CGM data.</w:t>
      </w:r>
    </w:p>
    <w:bookmarkEnd w:id="428"/>
    <w:bookmarkStart w:id="429" w:name="aim"/>
    <w:p>
      <w:pPr>
        <w:pStyle w:val="Heading4"/>
      </w:pPr>
      <w:r>
        <w:t xml:space="preserve">Aim</w:t>
      </w:r>
    </w:p>
    <w:p>
      <w:pPr>
        <w:pStyle w:val="FirstParagraph"/>
      </w:pPr>
      <w:r>
        <w:t xml:space="preserve">The aim was to evaluate the role of CGM data and machine learning approaches in cardiovascular risk assessment and examined potential fairness concerns in CGM-based prediction models.</w:t>
      </w:r>
    </w:p>
    <w:bookmarkEnd w:id="429"/>
    <w:bookmarkStart w:id="430" w:name="methods"/>
    <w:p>
      <w:pPr>
        <w:pStyle w:val="Heading4"/>
      </w:pPr>
      <w:r>
        <w:t xml:space="preserve">Methods</w:t>
      </w:r>
    </w:p>
    <w:p>
      <w:pPr>
        <w:pStyle w:val="FirstParagraph"/>
      </w:pPr>
      <w:r>
        <w:t xml:space="preserve">The dissertation comprised three studies. Study I was a scoping review of the literature on CGM-derived metrics and CVD risk assessment. Study II investigated representations from the CGMformer foundation model and assessed whether CGM data could improve prediction of NT-proBNP, a biomarker indicative of heart failure risk. Study III examined racial group fairness in 60-minute blood glucose forecasting using long-short term memory models and CGM data from an American cohort.</w:t>
      </w:r>
    </w:p>
    <w:bookmarkEnd w:id="430"/>
    <w:bookmarkStart w:id="431" w:name="results-1"/>
    <w:p>
      <w:pPr>
        <w:pStyle w:val="Heading4"/>
      </w:pPr>
      <w:r>
        <w:t xml:space="preserve">Results</w:t>
      </w:r>
    </w:p>
    <w:p>
      <w:pPr>
        <w:pStyle w:val="FirstParagraph"/>
      </w:pPr>
      <w:r>
        <w:t xml:space="preserve">Study I found that the current evidence was inconsistent and heterogeneous. Most studies investigated subclinical cardiovascular outcomes. Studies including people with T2D were more frequent than studies including people with T1D (34/53 vs. 20/53), and the T2D study populations were generally larger.</w:t>
      </w:r>
      <w:r>
        <w:t xml:space="preserve"> </w:t>
      </w:r>
      <w:r>
        <w:t xml:space="preserve">This pattern was observed both for TIR (median [IQR]: 510 [405–600] vs. 214 [119–547]) and mean amplitude of glycemic excursions (MAGE) (251 [89–411] vs. 57 [30–215]).</w:t>
      </w:r>
      <w:r>
        <w:t xml:space="preserve"> </w:t>
      </w:r>
      <w:r>
        <w:t xml:space="preserve">Although TIR and MAGE were the most frequently studied CGM-derived metrics, only MAGE had been evaluated for CVD prediction, showing modest discriminatory performance (AUROC: ~0.61).</w:t>
      </w:r>
    </w:p>
    <w:p>
      <w:pPr>
        <w:pStyle w:val="BodyText"/>
      </w:pPr>
      <w:r>
        <w:t xml:space="preserve">Study II showed that embeddings from the CGMformer foundation model captured both long-term and short-term glycemic patterns, related to HbA1c and TIR.</w:t>
      </w:r>
      <w:r>
        <w:t xml:space="preserve"> </w:t>
      </w:r>
      <w:r>
        <w:t xml:space="preserve">Cosine distances further indicated that CGM embeddings from days belonging to the same participant were more similar to each other than embeddings from different participants.</w:t>
      </w:r>
      <w:r>
        <w:t xml:space="preserve"> </w:t>
      </w:r>
      <w:r>
        <w:t xml:space="preserve">This was observed in both CANCAN (median [IQR]: within-participant, 0.058 [0.040–0.084] vs. between-participant, 0.117 [0.076–0.182]) and T1DX (within-participant, 0.064 [0.047–0.090] vs. between-participant, 0.082 [0.057–0.122]).</w:t>
      </w:r>
      <w:r>
        <w:t xml:space="preserve"> </w:t>
      </w:r>
      <w:r>
        <w:t xml:space="preserve">However, the CGMformer embeddings did not improve prediction of NT-proBNP when added to a model including clinical variables selected based on the SCORE2-Diabetes risk score.</w:t>
      </w:r>
      <w:r>
        <w:t xml:space="preserve"> </w:t>
      </w:r>
      <w:r>
        <w:t xml:space="preserve">Similarly, adding TIR and MAGE only modestly changed performance (corrected AUROC [95% CI]: SCORE2-Diabetes, 0.79 [0.76–0.87] vs. SCORE2-Diabetes + TIR + MAGE, 0.81 [0.77–0.88]).</w:t>
      </w:r>
      <w:r>
        <w:t xml:space="preserve"> </w:t>
      </w:r>
      <w:r>
        <w:t xml:space="preserve">A simpler model including age alone already showed good discriminatory performance (corrected AUROC 0.73 [95% CI: 0.65–0.80]).</w:t>
      </w:r>
    </w:p>
    <w:p>
      <w:pPr>
        <w:pStyle w:val="BodyText"/>
      </w:pPr>
      <w:r>
        <w:t xml:space="preserve">Study III found performance differences across racial groups in 60-minute blood glucose forecasting, even though the models were developed using only CGM data.</w:t>
      </w:r>
      <w:r>
        <w:t xml:space="preserve"> </w:t>
      </w:r>
      <w:r>
        <w:t xml:space="preserve">Although the RMSE slope across training-set compositions was not statistically significant within either racial group, the difference in slopes between groups was statistically significant (</w:t>
      </w:r>
      <m:oMath>
        <m:r>
          <m:t>p</m:t>
        </m:r>
      </m:oMath>
      <w:r>
        <w:t xml:space="preserve"> </w:t>
      </w:r>
      <w:r>
        <w:t xml:space="preserve">= 0.02). Meaning that when the training data composition changed from 0% White and 100% Black participants to 100% White and 0% Black participants, RMSE increased by 0.04 [95% CI: 0.01, 0.08] mmol/L more for Black participants than for White participants. After transfer learning, this difference was attenuated and no longer statistically significant (0.02 [95% CI: -0.01 to 0.05] mmol/L,</w:t>
      </w:r>
      <w:r>
        <w:t xml:space="preserve"> </w:t>
      </w:r>
      <m:oMath>
        <m:r>
          <m:t>p</m:t>
        </m:r>
      </m:oMath>
      <w:r>
        <w:t xml:space="preserve"> </w:t>
      </w:r>
      <w:r>
        <w:t xml:space="preserve">= 0.20).</w:t>
      </w:r>
    </w:p>
    <w:bookmarkEnd w:id="431"/>
    <w:bookmarkStart w:id="432" w:name="conclusion-1"/>
    <w:p>
      <w:pPr>
        <w:pStyle w:val="Heading4"/>
      </w:pPr>
      <w:r>
        <w:t xml:space="preserve">Conclusion</w:t>
      </w:r>
    </w:p>
    <w:p>
      <w:pPr>
        <w:pStyle w:val="FirstParagraph"/>
      </w:pPr>
      <w:r>
        <w:t xml:space="preserve">Overall, the findings suggest that CGM data contains clinically meaningful information and may contribute to cardiovascular risk assessment for people with diabetes in the future. However, its current predictive value appears limited, particularly when compared with established demographic and clinical markers. While CGM-derived metrics such as TIR and MAGE may provide useful information, CGM foundation model embeddings did not improve prediction of NT-proBNP despite capturing relevant glycemic structure.</w:t>
      </w:r>
      <w:r>
        <w:t xml:space="preserve"> </w:t>
      </w:r>
      <w:r>
        <w:t xml:space="preserve">Larger and more diverse datasets may provide better opportunities to use machine learning methods to fully exploit the temporal information contained in CGM data.</w:t>
      </w:r>
      <w:r>
        <w:t xml:space="preserve"> </w:t>
      </w:r>
      <w:r>
        <w:t xml:space="preserve">Finally, the dissertation highlights the importance of evaluating generalizability and fairness when developing machine learning models based on CGM data, particularly for models intended for clinical use.</w:t>
      </w:r>
    </w:p>
    <w:bookmarkEnd w:id="432"/>
    <w:bookmarkEnd w:id="433"/>
    <w:bookmarkStart w:id="439" w:name="sec-danish"/>
    <w:p>
      <w:pPr>
        <w:pStyle w:val="Heading1"/>
      </w:pPr>
      <w:r>
        <w:t xml:space="preserve">Dansk Resumé</w:t>
      </w:r>
    </w:p>
    <w:bookmarkStart w:id="434" w:name="introduktion"/>
    <w:p>
      <w:pPr>
        <w:pStyle w:val="Heading4"/>
      </w:pPr>
      <w:r>
        <w:t xml:space="preserve">Introduktion</w:t>
      </w:r>
    </w:p>
    <w:p>
      <w:pPr>
        <w:pStyle w:val="FirstParagraph"/>
      </w:pPr>
      <w:r>
        <w:t xml:space="preserve">Diabetes er karakteriseret ved kronisk forhøjede glukoseniveauer og er associeret med en øget risiko for udvikling af hjertekarsygdomme. Nuværende modeller til prædiktion af hjertekarsygdomme bygger hovedsageligt på traditionelle risikofaktorer og HbA1c, selvom disse mål ikke fuldt ud fanger klinisk relevante glukosefluktuationer. Kontinuerlige glukosemålere (CGM) giver en detaljeret beskrivelse af glukosevariabilitet, tid i målområdet (TIR) og kortsigtede glukoseudsving. Samtidig har udviklingen inden for maskinlæring åbnet nye muligheder for at lære direkte fra CGM-data.</w:t>
      </w:r>
    </w:p>
    <w:bookmarkEnd w:id="434"/>
    <w:bookmarkStart w:id="435" w:name="formål"/>
    <w:p>
      <w:pPr>
        <w:pStyle w:val="Heading4"/>
      </w:pPr>
      <w:r>
        <w:t xml:space="preserve">Formål</w:t>
      </w:r>
    </w:p>
    <w:p>
      <w:pPr>
        <w:pStyle w:val="FirstParagraph"/>
      </w:pPr>
      <w:r>
        <w:t xml:space="preserve">Formålet med denne afhandling var at evaluere rollen af CGM-data og maskinlæringsmetoder i prædiktion af kardiovaskulær risiko samt at undersøge potentielle fairness-udfordringer i CGM-baserede prædiktionsmodeller.</w:t>
      </w:r>
    </w:p>
    <w:bookmarkEnd w:id="435"/>
    <w:bookmarkStart w:id="436" w:name="metode"/>
    <w:p>
      <w:pPr>
        <w:pStyle w:val="Heading4"/>
      </w:pPr>
      <w:r>
        <w:t xml:space="preserve">Metode</w:t>
      </w:r>
    </w:p>
    <w:p>
      <w:pPr>
        <w:pStyle w:val="FirstParagraph"/>
      </w:pPr>
      <w:r>
        <w:t xml:space="preserve">Afhandlingen består af tre studier. Studie I var et scoping review om CGM-afledte mål og kardiovaskulær risiko og prædiktion. Studie II undersøgte lærte repræsentationer fra foundation-modellen CGMformer og evaluerede, om CGM-data kunne forbedre prædiktionen af NT-proBNP. Studie III undersøgte, om en model til prædiktion af glukoseniveauet 60 minutter frem i tiden havde forskellig prædiktiv ydeevne på tværs af to grupper baseret på race.</w:t>
      </w:r>
    </w:p>
    <w:bookmarkEnd w:id="436"/>
    <w:bookmarkStart w:id="437" w:name="resultater."/>
    <w:p>
      <w:pPr>
        <w:pStyle w:val="Heading4"/>
      </w:pPr>
      <w:r>
        <w:t xml:space="preserve">Resultater.</w:t>
      </w:r>
    </w:p>
    <w:p>
      <w:pPr>
        <w:pStyle w:val="FirstParagraph"/>
      </w:pPr>
      <w:r>
        <w:t xml:space="preserve">Studie I viste, at den nuværende evidens var inkonsistent og heterogen. De fleste studier undersøgte CGM-data i relation til subkliniske hjertekarsygdomme. Studier med personer med T2D var hyppigere end studier med personer med T1D (34/53 vs. 20/53), og T2D-studiepopulationerne var generelt større.</w:t>
      </w:r>
      <w:r>
        <w:t xml:space="preserve"> </w:t>
      </w:r>
      <w:r>
        <w:t xml:space="preserve">Dette mønster blev observeret for både tid i målområdet (TIR) (median [IQR]: 510 [405–600] vs. 214 [119–547]) og mean amplitude of glycemic excursions (MAGE; gennemsnitlig amplitude af glykæmiske udsving) (251 [89–411] vs. 57 [30–215]).</w:t>
      </w:r>
      <w:r>
        <w:t xml:space="preserve"> </w:t>
      </w:r>
      <w:r>
        <w:t xml:space="preserve">Kun MAGE var blevet undersøgt som prædiktor for hjertekarsygdomme, og den prædiktive ydeevne var beskeden (AUROC: ca. 0.61).</w:t>
      </w:r>
    </w:p>
    <w:p>
      <w:pPr>
        <w:pStyle w:val="BodyText"/>
      </w:pPr>
      <w:r>
        <w:t xml:space="preserve">Studie II viste, at lærte repræsentationer fra CGMformer kunne opfange både langsigtede og kortsigtede glukosemønstre relateret til HbA1c og TIR.</w:t>
      </w:r>
      <w:r>
        <w:t xml:space="preserve"> </w:t>
      </w:r>
      <w:r>
        <w:t xml:space="preserve">Cosineafstandene indikerede desuden, at lærte repræsentationer fra dage tilhørende samme deltager var mere ens end repræsentationer fra dage tilhørende forskellige deltagere.</w:t>
      </w:r>
      <w:r>
        <w:t xml:space="preserve"> </w:t>
      </w:r>
      <w:r>
        <w:t xml:space="preserve">Dette mønster blev observeret i både CANCAN-datasættet (median [IQR]: samme deltager, 0.058 [0.040–0.084] vs. forskellige deltagere, 0.117 [0.076–0.182]) og T1DX-datasættet (samme deltager, 0.064 [0.047–0.090] vs. forskellige deltagere, 0.082 [0.057–0.122]).</w:t>
      </w:r>
    </w:p>
    <w:p>
      <w:pPr>
        <w:pStyle w:val="BodyText"/>
      </w:pPr>
      <w:r>
        <w:t xml:space="preserve">De lærte repræsentationer forbedrede ikke prædiktionen af NT-proBNP, når de blev tilføjet til modeller, der allerede inkluderede kliniske variable udvalgt på baggrund af SCORE2-Diabetes modellen. Tilsvarende gav tilføjelsen af TIR og MAGE kun en beskeden ændring i resultaterne (korrigeret AUROC [95% CI]: SCORE2-Diabetes, 0.79 [0.76–0.87] vs. SCORE2-Diabetes + TIR + MAGE, 0.81 [0.77–0.88]). Allerede før CGM-data blev tilføjet, havde modeller baseret på kliniske variable god prædiktiv ydeevne. En simpel model, der kun inkluderede alder, havde en korrigeret AUROC på 0.73 [95% CI: 0.65–0.80].</w:t>
      </w:r>
    </w:p>
    <w:p>
      <w:pPr>
        <w:pStyle w:val="BodyText"/>
      </w:pPr>
      <w:r>
        <w:t xml:space="preserve">Studie III viste forskelle i prædiktiv ydeevne på tværs af racemæssige grupper ved prædiktion af glukoseniveauet 60 minutter frem i tiden, selvom modellerne udelukkende var trænet på CGM-data. Forskellen mellem grupperne var statistisk signifikant (</w:t>
      </w:r>
      <m:oMath>
        <m:r>
          <m:t>p</m:t>
        </m:r>
      </m:oMath>
      <w:r>
        <w:t xml:space="preserve"> </w:t>
      </w:r>
      <w:r>
        <w:t xml:space="preserve">= 0.02), selvom RMSE-hældningen på tværs af træningssæt med forskellig racemæssig sammensætning ikke var statistisk signifikant inden for hver gruppe. Det vil sige at når træningsdatasammensætningen ændrede sig fra 0% ikke-hispanisk hvide deltagere og 100% ikke-hispanisk sorte deltagere til 100% ikke-hispanisk hvide deltagere og 0% ikke-hispanisk sorte deltagere, steg RMSE med 0.04 mmol/L mere for ikke-hispanisk sorte deltagere end for ikke-hispanisk hvide deltagere (95% CI: 0.01, 0.08). Efter transfer learning var denne signifikante forskel i prædiktiv ydeevne ikke længere til stede (0.02 mmol/L [95% CI: -0.01, 0.05],</w:t>
      </w:r>
      <w:r>
        <w:t xml:space="preserve"> </w:t>
      </w:r>
      <m:oMath>
        <m:r>
          <m:t>p</m:t>
        </m:r>
      </m:oMath>
      <w:r>
        <w:t xml:space="preserve"> </w:t>
      </w:r>
      <w:r>
        <w:t xml:space="preserve">= 0.20).</w:t>
      </w:r>
    </w:p>
    <w:bookmarkEnd w:id="437"/>
    <w:bookmarkStart w:id="438" w:name="konklusion"/>
    <w:p>
      <w:pPr>
        <w:pStyle w:val="Heading4"/>
      </w:pPr>
      <w:r>
        <w:t xml:space="preserve">Konklusion</w:t>
      </w:r>
    </w:p>
    <w:p>
      <w:pPr>
        <w:pStyle w:val="FirstParagraph"/>
      </w:pPr>
      <w:r>
        <w:t xml:space="preserve">Samlet set tyder fundene på, at CGM-data indeholder klinisk meningsfuld information og potentielt kan bidrage til fremtidig prædiktion af kardiovaskulær risiko hos personer med diabetes. Den nuværende diskriminative ydeevne er dog beskeden sammenlignet med etablerede demografiske og kliniske markører. TIR og MAGE kan bidrage med relevant information, men lærte repræsentationer fra foundation-modellen CGMformer forbedrede ikke prædiktionen af NT-proBNP, selvom repræsentationerne indeholdt relevante glukosemønstre.</w:t>
      </w:r>
    </w:p>
    <w:p>
      <w:pPr>
        <w:pStyle w:val="BodyText"/>
      </w:pPr>
      <w:r>
        <w:t xml:space="preserve">Større og mere diverse datasæt kan muligvis forbedre anvendelsen af maskinlæring og dermed udnytte det fulde potentiale i temporale CGM-data. Endelig fremhæver afhandlingen vigtigheden af at evaluere generaliserbarhed og fairness under udviklingen af CGM-baserede maskinlæringsmodeller, særligt når modellerne er tiltænkt klinisk anvendelse.</w:t>
      </w:r>
    </w:p>
    <w:bookmarkEnd w:id="438"/>
    <w:bookmarkEnd w:id="439"/>
    <w:bookmarkStart w:id="446" w:name="sec-suppl-search-strings"/>
    <w:p>
      <w:pPr>
        <w:pStyle w:val="Heading1"/>
      </w:pPr>
      <w:r>
        <w:t xml:space="preserve">Appendix A — Study I: Search Strings</w:t>
      </w:r>
    </w:p>
    <w:tbl>
      <w:tblPr>
        <w:tblStyle w:val="Table"/>
        <w:tblW w:type="pct" w:w="5000"/>
        <w:tblLayout w:type="fixed"/>
        <w:tblLook w:firstRow="0" w:lastRow="0" w:firstColumn="0" w:lastColumn="0" w:noHBand="0" w:noVBand="0" w:val="0000"/>
      </w:tblPr>
      <w:tblGrid>
        <w:gridCol w:w="7920"/>
      </w:tblGrid>
      <w:tr>
        <w:tc>
          <w:tcPr/>
          <w:bookmarkStart w:id="440" w:name="tbl-medline"/>
          <w:p>
            <w:pPr>
              <w:jc w:val="center"/>
            </w:pPr>
            <w:pPr>
              <w:jc w:val="left"/>
              <w:spacing w:before="200"/>
              <w:pStyle w:val="ImageCaption"/>
            </w:pPr>
            <w:r>
              <w:t xml:space="preserve">Table A.1: Search in Ovid MEDLINE (Search date: 22 January 2024).</w:t>
            </w:r>
          </w:p>
          <w:bookmarkEnd w:id="44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41" w:name="tbl-embase"/>
          <w:p>
            <w:pPr>
              <w:jc w:val="center"/>
            </w:pPr>
            <w:pPr>
              <w:jc w:val="left"/>
              <w:spacing w:before="200"/>
              <w:pStyle w:val="ImageCaption"/>
            </w:pPr>
            <w:r>
              <w:t xml:space="preserve">Table A.2: Search strategy in Embase (Ovid) (Search date: 22 January 2024).</w:t>
            </w:r>
          </w:p>
          <w:bookmarkEnd w:id="441"/>
        </w:tc>
      </w:tr>
    </w:tbl>
    <w:p>
      <w:pPr>
        <w:sectPr/>
      </w:pPr>
    </w:p>
    <w:bookmarkStart w:id="443" w:name="sec-suppl-study1-reports"/>
    <w:p>
      <w:pPr>
        <w:pStyle w:val="Heading1"/>
      </w:pPr>
      <w:r>
        <w:t xml:space="preserve">Appendix A — Study I: Included and Excluded Reports</w:t>
      </w:r>
    </w:p>
    <w:tbl>
      <w:tblPr>
        <w:tblStyle w:val="Table"/>
        <w:tblW w:type="pct" w:w="5000"/>
        <w:tblLayout w:type="fixed"/>
        <w:tblLook w:firstRow="0" w:lastRow="0" w:firstColumn="0" w:lastColumn="0" w:noHBand="0" w:noVBand="0" w:val="0000"/>
      </w:tblPr>
      <w:tblGrid>
        <w:gridCol w:w="7920"/>
      </w:tblGrid>
      <w:tr>
        <w:tc>
          <w:tcPr/>
          <w:bookmarkStart w:id="442" w:name="tbl-included"/>
          <w:p>
            <w:pPr>
              <w:jc w:val="center"/>
            </w:pPr>
            <w:pPr>
              <w:jc w:val="left"/>
              <w:spacing w:before="200"/>
              <w:pStyle w:val="ImageCaption"/>
            </w:pPr>
            <w:r>
              <w:t xml:space="preserve">Table B.1: Included studies.</w:t>
            </w:r>
          </w:p>
          <w:tbl>
            <w:tblPr>
              <w:tblStyle w:val="Table"/>
              <w:tblW w:type="pct" w:w="5000"/>
              <w:tblLayout w:type="fixed"/>
              <w:tblLook w:firstRow="1" w:lastRow="0" w:firstColumn="0" w:lastColumn="0" w:noHBand="0" w:noVBand="0" w:val="0020"/>
            </w:tblPr>
            <w:tblGrid>
              <w:gridCol w:w="2059"/>
              <w:gridCol w:w="475"/>
              <w:gridCol w:w="2376"/>
              <w:gridCol w:w="1108"/>
              <w:gridCol w:w="396"/>
              <w:gridCol w:w="396"/>
              <w:gridCol w:w="475"/>
              <w:gridCol w:w="633"/>
            </w:tblGrid>
            <w:tr>
              <w:trPr>
                <w:tblHeader w:val="on"/>
              </w:trPr>
              <w:tc>
                <w:tcPr/>
                <w:p>
                  <w:pPr>
                    <w:pStyle w:val="Compact"/>
                    <w:jc w:val="left"/>
                    <w:jc w:val="center"/>
                  </w:pPr>
                  <w:r>
                    <w:t xml:space="preserve">Authors</w:t>
                  </w:r>
                </w:p>
              </w:tc>
              <w:tc>
                <w:tcPr/>
                <w:p>
                  <w:pPr>
                    <w:pStyle w:val="Compact"/>
                    <w:jc w:val="center"/>
                    <w:jc w:val="center"/>
                  </w:pPr>
                  <w:r>
                    <w:t xml:space="preserve">Year</w:t>
                  </w:r>
                </w:p>
              </w:tc>
              <w:tc>
                <w:tcPr/>
                <w:p>
                  <w:pPr>
                    <w:pStyle w:val="Compact"/>
                    <w:jc w:val="left"/>
                    <w:jc w:val="center"/>
                  </w:pPr>
                  <w:r>
                    <w:t xml:space="preserve">Full title</w:t>
                  </w:r>
                </w:p>
              </w:tc>
              <w:tc>
                <w:tcPr/>
                <w:p>
                  <w:pPr>
                    <w:pStyle w:val="Compact"/>
                    <w:jc w:val="left"/>
                    <w:jc w:val="center"/>
                  </w:pPr>
                  <w:r>
                    <w:t xml:space="preserve">Journal</w:t>
                  </w:r>
                </w:p>
              </w:tc>
              <w:tc>
                <w:tcPr/>
                <w:p>
                  <w:pPr>
                    <w:pStyle w:val="Compact"/>
                    <w:jc w:val="center"/>
                    <w:jc w:val="center"/>
                  </w:pPr>
                  <w:r>
                    <w:t xml:space="preserve">Volume</w:t>
                  </w:r>
                </w:p>
              </w:tc>
              <w:tc>
                <w:tcPr/>
                <w:p>
                  <w:pPr>
                    <w:pStyle w:val="Compact"/>
                    <w:jc w:val="center"/>
                    <w:jc w:val="center"/>
                  </w:pPr>
                  <w:r>
                    <w:t xml:space="preserve">Issue</w:t>
                  </w:r>
                </w:p>
              </w:tc>
              <w:tc>
                <w:tcPr/>
                <w:p>
                  <w:pPr>
                    <w:pStyle w:val="Compact"/>
                    <w:jc w:val="center"/>
                    <w:jc w:val="center"/>
                  </w:pPr>
                  <w:r>
                    <w:t xml:space="preserve">Pages</w:t>
                  </w:r>
                </w:p>
              </w:tc>
              <w:tc>
                <w:tcPr/>
                <w:p>
                  <w:pPr>
                    <w:pStyle w:val="Compact"/>
                    <w:jc w:val="left"/>
                    <w:jc w:val="center"/>
                  </w:pPr>
                  <w:r>
                    <w:t xml:space="preserve">DOI</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Bergdahl Ebba ; Forsander Gun ; Sundberg Frida ; Milkovic Linda ; Dangardt Frida ;</w:t>
                  </w:r>
                </w:p>
              </w:tc>
              <w:tc>
                <w:tcPr/>
                <w:p>
                  <w:pPr>
                    <w:pStyle w:val="Compact"/>
                    <w:jc w:val="center"/>
                    <w:jc w:val="center"/>
                  </w:pPr>
                  <w:r>
                    <w:t xml:space="preserve">2025</w:t>
                  </w:r>
                </w:p>
              </w:tc>
              <w:tc>
                <w:tcPr/>
                <w:p>
                  <w:pPr>
                    <w:pStyle w:val="Compact"/>
                    <w:jc w:val="left"/>
                    <w:jc w:val="center"/>
                  </w:pPr>
                  <w:r>
                    <w:t xml:space="preserve">Investigating the presence and detectability of structural peripheral arterial changes in children with well-regulated type 1 diabetes versus healthy controls using ultra-high frequency ultrasound: a single-centre cross-sectional and case-control study.</w:t>
                  </w:r>
                </w:p>
              </w:tc>
              <w:tc>
                <w:tcPr/>
                <w:p>
                  <w:pPr>
                    <w:pStyle w:val="Compact"/>
                    <w:jc w:val="left"/>
                    <w:jc w:val="center"/>
                  </w:pPr>
                  <w:r>
                    <w:t xml:space="preserve">EClinicalMedicine</w:t>
                  </w:r>
                </w:p>
              </w:tc>
              <w:tc>
                <w:tcPr/>
                <w:p>
                  <w:pPr>
                    <w:pStyle w:val="Compact"/>
                    <w:jc w:val="center"/>
                    <w:jc w:val="center"/>
                  </w:pPr>
                  <w:r>
                    <w:t xml:space="preserve">81</w:t>
                  </w:r>
                </w:p>
              </w:tc>
              <w:tc>
                <w:tcPr/>
                <w:p>
                  <w:pPr>
                    <w:pStyle w:val="Compact"/>
                  </w:pPr>
                </w:p>
              </w:tc>
              <w:tc>
                <w:tcPr/>
                <w:p>
                  <w:pPr>
                    <w:pStyle w:val="Compact"/>
                    <w:jc w:val="center"/>
                    <w:jc w:val="center"/>
                  </w:pPr>
                  <w:r>
                    <w:t xml:space="preserve">103097</w:t>
                  </w:r>
                </w:p>
              </w:tc>
              <w:tc>
                <w:tcPr/>
                <w:p>
                  <w:pPr>
                    <w:pStyle w:val="Compact"/>
                    <w:jc w:val="left"/>
                    <w:jc w:val="center"/>
                  </w:pPr>
                  <w:r>
                    <w:t xml:space="preserve">10.1016/j. eclinm.2025. 103097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Bezerra Marta Fernandes; Neves Celestino ; Neves Joao Sergio; Carvalho Davide ;</w:t>
                  </w:r>
                </w:p>
              </w:tc>
              <w:tc>
                <w:tcPr/>
                <w:p>
                  <w:pPr>
                    <w:pStyle w:val="Compact"/>
                    <w:jc w:val="center"/>
                    <w:jc w:val="center"/>
                  </w:pPr>
                  <w:r>
                    <w:t xml:space="preserve">2023</w:t>
                  </w:r>
                </w:p>
              </w:tc>
              <w:tc>
                <w:tcPr/>
                <w:p>
                  <w:pPr>
                    <w:pStyle w:val="Compact"/>
                    <w:jc w:val="left"/>
                    <w:jc w:val="center"/>
                  </w:pPr>
                  <w:r>
                    <w:t xml:space="preserve">Time in range and complications of diabetes: a cross-sectional analysis of patients with Type 1 diabetes.</w:t>
                  </w:r>
                </w:p>
              </w:tc>
              <w:tc>
                <w:tcPr/>
                <w:p>
                  <w:pPr>
                    <w:pStyle w:val="Compact"/>
                    <w:jc w:val="left"/>
                    <w:jc w:val="center"/>
                  </w:pPr>
                  <w:r>
                    <w:t xml:space="preserve">Diabetology &amp; metabolic syndrome</w:t>
                  </w:r>
                </w:p>
              </w:tc>
              <w:tc>
                <w:tcPr/>
                <w:p>
                  <w:pPr>
                    <w:pStyle w:val="Compact"/>
                    <w:jc w:val="center"/>
                    <w:jc w:val="center"/>
                  </w:pPr>
                  <w:r>
                    <w:t xml:space="preserve">15</w:t>
                  </w:r>
                </w:p>
              </w:tc>
              <w:tc>
                <w:tcPr/>
                <w:p>
                  <w:pPr>
                    <w:pStyle w:val="Compact"/>
                    <w:jc w:val="center"/>
                    <w:jc w:val="center"/>
                  </w:pPr>
                  <w:r>
                    <w:t xml:space="preserve">1</w:t>
                  </w:r>
                </w:p>
              </w:tc>
              <w:tc>
                <w:tcPr/>
                <w:p>
                  <w:pPr>
                    <w:pStyle w:val="Compact"/>
                    <w:jc w:val="center"/>
                    <w:jc w:val="center"/>
                  </w:pPr>
                  <w:r>
                    <w:t xml:space="preserve">244</w:t>
                  </w:r>
                </w:p>
              </w:tc>
              <w:tc>
                <w:tcPr/>
                <w:p>
                  <w:pPr>
                    <w:pStyle w:val="Compact"/>
                    <w:jc w:val="left"/>
                    <w:jc w:val="center"/>
                  </w:pPr>
                  <w:r>
                    <w:t xml:space="preserve">10.1186 /s13098 -023-01 219-2</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Borg R ; Kuenen J C; Carstensen B ; Zheng H ; Nathan D M; Heine R J; Nerup J ; Borch-Johnsen K ; Witte D R;</w:t>
                  </w:r>
                </w:p>
              </w:tc>
              <w:tc>
                <w:tcPr/>
                <w:p>
                  <w:pPr>
                    <w:pStyle w:val="Compact"/>
                    <w:jc w:val="center"/>
                    <w:jc w:val="center"/>
                  </w:pPr>
                  <w:r>
                    <w:t xml:space="preserve">2011</w:t>
                  </w:r>
                </w:p>
              </w:tc>
              <w:tc>
                <w:tcPr/>
                <w:p>
                  <w:pPr>
                    <w:pStyle w:val="Compact"/>
                    <w:jc w:val="left"/>
                    <w:jc w:val="center"/>
                  </w:pPr>
                  <w:r>
                    <w:t xml:space="preserve">HbA1(c) and mean blood glucose show stronger associations with cardiovascular disease risk factors than do postprandial glycaemia or glucose variability in persons with diabetes: the A1C-Derived Average Glucose (ADAG) study.</w:t>
                  </w:r>
                </w:p>
              </w:tc>
              <w:tc>
                <w:tcPr/>
                <w:p>
                  <w:pPr>
                    <w:pStyle w:val="Compact"/>
                    <w:jc w:val="left"/>
                    <w:jc w:val="center"/>
                  </w:pPr>
                  <w:r>
                    <w:t xml:space="preserve">Diabetologia</w:t>
                  </w:r>
                </w:p>
              </w:tc>
              <w:tc>
                <w:tcPr/>
                <w:p>
                  <w:pPr>
                    <w:pStyle w:val="Compact"/>
                    <w:jc w:val="center"/>
                    <w:jc w:val="center"/>
                  </w:pPr>
                  <w:r>
                    <w:t xml:space="preserve">54</w:t>
                  </w:r>
                </w:p>
              </w:tc>
              <w:tc>
                <w:tcPr/>
                <w:p>
                  <w:pPr>
                    <w:pStyle w:val="Compact"/>
                    <w:jc w:val="center"/>
                    <w:jc w:val="center"/>
                  </w:pPr>
                  <w:r>
                    <w:t xml:space="preserve">1</w:t>
                  </w:r>
                </w:p>
              </w:tc>
              <w:tc>
                <w:tcPr/>
                <w:p>
                  <w:pPr>
                    <w:pStyle w:val="Compact"/>
                    <w:jc w:val="center"/>
                    <w:jc w:val="center"/>
                  </w:pPr>
                  <w:r>
                    <w:t xml:space="preserve">69-72</w:t>
                  </w:r>
                </w:p>
              </w:tc>
              <w:tc>
                <w:tcPr/>
                <w:p>
                  <w:pPr>
                    <w:pStyle w:val="Compact"/>
                    <w:jc w:val="left"/>
                    <w:jc w:val="center"/>
                  </w:pPr>
                  <w:r>
                    <w:t xml:space="preserve">10.1007 /s0012 5-010- 1918-2</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Buscemi S ; Re A ; Batsis J A; Arnone M ; Mattina A ; Cerasola G ; Verga S ;</w:t>
                  </w:r>
                </w:p>
              </w:tc>
              <w:tc>
                <w:tcPr/>
                <w:p>
                  <w:pPr>
                    <w:pStyle w:val="Compact"/>
                    <w:jc w:val="center"/>
                    <w:jc w:val="center"/>
                  </w:pPr>
                  <w:r>
                    <w:t xml:space="preserve">2010</w:t>
                  </w:r>
                </w:p>
              </w:tc>
              <w:tc>
                <w:tcPr/>
                <w:p>
                  <w:pPr>
                    <w:pStyle w:val="Compact"/>
                    <w:jc w:val="left"/>
                    <w:jc w:val="center"/>
                  </w:pPr>
                  <w:r>
                    <w:t xml:space="preserve">Glycaemic variability using continuous glucose monitoring and endothelial function in the metabolic syndrome and in Type 2 diabetes.</w:t>
                  </w:r>
                </w:p>
              </w:tc>
              <w:tc>
                <w:tcPr/>
                <w:p>
                  <w:pPr>
                    <w:pStyle w:val="Compact"/>
                    <w:jc w:val="left"/>
                    <w:jc w:val="center"/>
                  </w:pPr>
                  <w:r>
                    <w:t xml:space="preserve">Comment in: Diabet Med. 2011 Jan;28(1):125-6; author reply 127-8 PMID: 21166857 [https://www.ncbi. nlm.nih.gov/ pubmed/211 66857] Comment in: Diabet Med. 2011 Jan;28(1):126; author reply 127-8 PMID: 21166858 [https://www.ncbi. nlm.nih.gov/pubmed /21166858]</w:t>
                  </w:r>
                </w:p>
              </w:tc>
              <w:tc>
                <w:tcPr/>
                <w:p>
                  <w:pPr>
                    <w:pStyle w:val="Compact"/>
                    <w:jc w:val="center"/>
                    <w:jc w:val="center"/>
                  </w:pPr>
                  <w:r>
                    <w:t xml:space="preserve">27</w:t>
                  </w:r>
                </w:p>
              </w:tc>
              <w:tc>
                <w:tcPr/>
                <w:p>
                  <w:pPr>
                    <w:pStyle w:val="Compact"/>
                    <w:jc w:val="center"/>
                    <w:jc w:val="center"/>
                  </w:pPr>
                  <w:r>
                    <w:t xml:space="preserve">8</w:t>
                  </w:r>
                </w:p>
              </w:tc>
              <w:tc>
                <w:tcPr/>
                <w:p>
                  <w:pPr>
                    <w:pStyle w:val="Compact"/>
                    <w:jc w:val="center"/>
                    <w:jc w:val="center"/>
                  </w:pPr>
                  <w:r>
                    <w:t xml:space="preserve">872-8</w:t>
                  </w:r>
                </w:p>
              </w:tc>
              <w:tc>
                <w:tcPr/>
                <w:p>
                  <w:pPr>
                    <w:pStyle w:val="Compact"/>
                    <w:jc w:val="left"/>
                    <w:jc w:val="center"/>
                  </w:pPr>
                  <w:r>
                    <w:t xml:space="preserve">10.1111/ j.1464-5491. 2010 .03059.x</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Cai Lingli ; Shen Wenqi ; Li Jiang ; Wang Bin ; Sun Ying ; Chen Yi ; Gao Ling ; Xu Fei ; Xiao Xinhua ; Wang Ningjian ; Lu Yingli ;</w:t>
                  </w:r>
                </w:p>
              </w:tc>
              <w:tc>
                <w:tcPr/>
                <w:p>
                  <w:pPr>
                    <w:pStyle w:val="Compact"/>
                    <w:jc w:val="center"/>
                    <w:jc w:val="center"/>
                  </w:pPr>
                  <w:r>
                    <w:t xml:space="preserve">2024</w:t>
                  </w:r>
                </w:p>
              </w:tc>
              <w:tc>
                <w:tcPr/>
                <w:p>
                  <w:pPr>
                    <w:pStyle w:val="Compact"/>
                    <w:jc w:val="left"/>
                    <w:jc w:val="center"/>
                  </w:pPr>
                  <w:r>
                    <w:t xml:space="preserve">Association between glycemia risk index and arterial stiffness in type 2 diabetes.</w:t>
                  </w:r>
                </w:p>
              </w:tc>
              <w:tc>
                <w:tcPr/>
                <w:p>
                  <w:pPr>
                    <w:pStyle w:val="Compact"/>
                    <w:jc w:val="left"/>
                    <w:jc w:val="center"/>
                  </w:pPr>
                  <w:r>
                    <w:t xml:space="preserve">Journal of diabetes investigation</w:t>
                  </w:r>
                </w:p>
              </w:tc>
              <w:tc>
                <w:tcPr/>
                <w:p>
                  <w:pPr>
                    <w:pStyle w:val="Compact"/>
                    <w:jc w:val="center"/>
                    <w:jc w:val="center"/>
                  </w:pPr>
                  <w:r>
                    <w:t xml:space="preserve">15</w:t>
                  </w:r>
                </w:p>
              </w:tc>
              <w:tc>
                <w:tcPr/>
                <w:p>
                  <w:pPr>
                    <w:pStyle w:val="Compact"/>
                    <w:jc w:val="center"/>
                    <w:jc w:val="center"/>
                  </w:pPr>
                  <w:r>
                    <w:t xml:space="preserve">5</w:t>
                  </w:r>
                </w:p>
              </w:tc>
              <w:tc>
                <w:tcPr/>
                <w:p>
                  <w:pPr>
                    <w:pStyle w:val="Compact"/>
                    <w:jc w:val="center"/>
                    <w:jc w:val="center"/>
                  </w:pPr>
                  <w:r>
                    <w:t xml:space="preserve">614-622</w:t>
                  </w:r>
                </w:p>
              </w:tc>
              <w:tc>
                <w:tcPr/>
                <w:p>
                  <w:pPr>
                    <w:pStyle w:val="Compact"/>
                    <w:jc w:val="left"/>
                    <w:jc w:val="center"/>
                  </w:pPr>
                  <w:r>
                    <w:t xml:space="preserve">10.1111 /jdi.1 4153</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Castaldo Ersilia ; Sabato Donata ; Lauro Davide ; Sesti Giorgio ; Marini Maria Adelaide;</w:t>
                  </w:r>
                </w:p>
              </w:tc>
              <w:tc>
                <w:tcPr/>
                <w:p>
                  <w:pPr>
                    <w:pStyle w:val="Compact"/>
                    <w:jc w:val="center"/>
                    <w:jc w:val="center"/>
                  </w:pPr>
                  <w:r>
                    <w:t xml:space="preserve">2011</w:t>
                  </w:r>
                </w:p>
              </w:tc>
              <w:tc>
                <w:tcPr/>
                <w:p>
                  <w:pPr>
                    <w:pStyle w:val="Compact"/>
                    <w:jc w:val="left"/>
                    <w:jc w:val="center"/>
                  </w:pPr>
                  <w:r>
                    <w:t xml:space="preserve">Hypoglycemia assessed by continuous glucose monitoring is associated with preclinical atherosclerosis in individuals with impaired glucose tolerance.</w:t>
                  </w:r>
                </w:p>
              </w:tc>
              <w:tc>
                <w:tcPr/>
                <w:p>
                  <w:pPr>
                    <w:pStyle w:val="Compact"/>
                    <w:jc w:val="left"/>
                    <w:jc w:val="center"/>
                  </w:pPr>
                  <w:r>
                    <w:t xml:space="preserve">PloS one</w:t>
                  </w:r>
                </w:p>
              </w:tc>
              <w:tc>
                <w:tcPr/>
                <w:p>
                  <w:pPr>
                    <w:pStyle w:val="Compact"/>
                    <w:jc w:val="center"/>
                    <w:jc w:val="center"/>
                  </w:pPr>
                  <w:r>
                    <w:t xml:space="preserve">6</w:t>
                  </w:r>
                </w:p>
              </w:tc>
              <w:tc>
                <w:tcPr/>
                <w:p>
                  <w:pPr>
                    <w:pStyle w:val="Compact"/>
                    <w:jc w:val="center"/>
                    <w:jc w:val="center"/>
                  </w:pPr>
                  <w:r>
                    <w:t xml:space="preserve">12</w:t>
                  </w:r>
                </w:p>
              </w:tc>
              <w:tc>
                <w:tcPr/>
                <w:p>
                  <w:pPr>
                    <w:pStyle w:val="Compact"/>
                    <w:jc w:val="center"/>
                    <w:jc w:val="center"/>
                  </w:pPr>
                  <w:r>
                    <w:t xml:space="preserve">e28312</w:t>
                  </w:r>
                </w:p>
              </w:tc>
              <w:tc>
                <w:tcPr/>
                <w:p>
                  <w:pPr>
                    <w:pStyle w:val="Compact"/>
                    <w:jc w:val="left"/>
                    <w:jc w:val="center"/>
                  </w:pPr>
                  <w:r>
                    <w:t xml:space="preserve">10.1371/ journal. pone.0028 312</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Cesana Francesca ; Giannattasio Cristina ; Nava Stefano ; Soriano Francesco ; Brambilla Gianmaria ; Baroni Matteo ; Meani Paolo ; Varrenti Marisa ; Paleari Felice ; Gamba Pierluigi ; Facchetti Rita ; Alloni Marta ; Grassi Guido ; Mancia Giuseppe ;</w:t>
                  </w:r>
                </w:p>
              </w:tc>
              <w:tc>
                <w:tcPr/>
                <w:p>
                  <w:pPr>
                    <w:pStyle w:val="Compact"/>
                    <w:jc w:val="center"/>
                    <w:jc w:val="center"/>
                  </w:pPr>
                  <w:r>
                    <w:t xml:space="preserve">2013</w:t>
                  </w:r>
                </w:p>
              </w:tc>
              <w:tc>
                <w:tcPr/>
                <w:p>
                  <w:pPr>
                    <w:pStyle w:val="Compact"/>
                    <w:jc w:val="left"/>
                    <w:jc w:val="center"/>
                  </w:pPr>
                  <w:r>
                    <w:t xml:space="preserve">Impact of blood glucose variability on carotid artery intima media thickness and distensibility in type 1 diabetes mellitus.</w:t>
                  </w:r>
                </w:p>
              </w:tc>
              <w:tc>
                <w:tcPr/>
                <w:p>
                  <w:pPr>
                    <w:pStyle w:val="Compact"/>
                    <w:jc w:val="left"/>
                    <w:jc w:val="center"/>
                  </w:pPr>
                  <w:r>
                    <w:t xml:space="preserve">Blood pressure</w:t>
                  </w:r>
                </w:p>
              </w:tc>
              <w:tc>
                <w:tcPr/>
                <w:p>
                  <w:pPr>
                    <w:pStyle w:val="Compact"/>
                    <w:jc w:val="center"/>
                    <w:jc w:val="center"/>
                  </w:pPr>
                  <w:r>
                    <w:t xml:space="preserve">22</w:t>
                  </w:r>
                </w:p>
              </w:tc>
              <w:tc>
                <w:tcPr/>
                <w:p>
                  <w:pPr>
                    <w:pStyle w:val="Compact"/>
                    <w:jc w:val="center"/>
                    <w:jc w:val="center"/>
                  </w:pPr>
                  <w:r>
                    <w:t xml:space="preserve">6</w:t>
                  </w:r>
                </w:p>
              </w:tc>
              <w:tc>
                <w:tcPr/>
                <w:p>
                  <w:pPr>
                    <w:pStyle w:val="Compact"/>
                    <w:jc w:val="center"/>
                    <w:jc w:val="center"/>
                  </w:pPr>
                  <w:r>
                    <w:t xml:space="preserve">355-61</w:t>
                  </w:r>
                </w:p>
              </w:tc>
              <w:tc>
                <w:tcPr/>
                <w:p>
                  <w:pPr>
                    <w:pStyle w:val="Compact"/>
                    <w:jc w:val="left"/>
                    <w:jc w:val="center"/>
                  </w:pPr>
                  <w:r>
                    <w:t xml:space="preserve">10.31 09/080 37051. 2013. 791413</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Chen Xiao-min ; Zhang Yan ; Shen Xing-ping ; Huang Qun ; Ma Hong ; Huang Yang-Ling ; Zhang Wen-Qiang ; Wu Hao-Jie ;</w:t>
                  </w:r>
                </w:p>
              </w:tc>
              <w:tc>
                <w:tcPr/>
                <w:p>
                  <w:pPr>
                    <w:pStyle w:val="Compact"/>
                    <w:jc w:val="center"/>
                    <w:jc w:val="center"/>
                  </w:pPr>
                  <w:r>
                    <w:t xml:space="preserve">2010</w:t>
                  </w:r>
                </w:p>
              </w:tc>
              <w:tc>
                <w:tcPr/>
                <w:p>
                  <w:pPr>
                    <w:pStyle w:val="Compact"/>
                    <w:jc w:val="left"/>
                    <w:jc w:val="center"/>
                  </w:pPr>
                  <w:r>
                    <w:t xml:space="preserve">Correlation between glucose fluctuations and carotid intima-media thickness in type 2 diabetes.</w:t>
                  </w:r>
                </w:p>
              </w:tc>
              <w:tc>
                <w:tcPr/>
                <w:p>
                  <w:pPr>
                    <w:pStyle w:val="Compact"/>
                    <w:jc w:val="left"/>
                    <w:jc w:val="center"/>
                  </w:pPr>
                  <w:r>
                    <w:t xml:space="preserve">Diabetes research and clinical practice</w:t>
                  </w:r>
                </w:p>
              </w:tc>
              <w:tc>
                <w:tcPr/>
                <w:p>
                  <w:pPr>
                    <w:pStyle w:val="Compact"/>
                    <w:jc w:val="center"/>
                    <w:jc w:val="center"/>
                  </w:pPr>
                  <w:r>
                    <w:t xml:space="preserve">90</w:t>
                  </w:r>
                </w:p>
              </w:tc>
              <w:tc>
                <w:tcPr/>
                <w:p>
                  <w:pPr>
                    <w:pStyle w:val="Compact"/>
                    <w:jc w:val="center"/>
                    <w:jc w:val="center"/>
                  </w:pPr>
                  <w:r>
                    <w:t xml:space="preserve">1</w:t>
                  </w:r>
                </w:p>
              </w:tc>
              <w:tc>
                <w:tcPr/>
                <w:p>
                  <w:pPr>
                    <w:pStyle w:val="Compact"/>
                    <w:jc w:val="center"/>
                    <w:jc w:val="center"/>
                  </w:pPr>
                  <w:r>
                    <w:t xml:space="preserve">95-9</w:t>
                  </w:r>
                </w:p>
              </w:tc>
              <w:tc>
                <w:tcPr/>
                <w:p>
                  <w:pPr>
                    <w:pStyle w:val="Compact"/>
                    <w:jc w:val="left"/>
                    <w:jc w:val="center"/>
                  </w:pPr>
                  <w:r>
                    <w:t xml:space="preserve">10.1016 /j.diab res.2010. 05.004</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Chen Y ; Jia T ; Yan X ; Dai L ;</w:t>
                  </w:r>
                </w:p>
              </w:tc>
              <w:tc>
                <w:tcPr/>
                <w:p>
                  <w:pPr>
                    <w:pStyle w:val="Compact"/>
                    <w:jc w:val="center"/>
                    <w:jc w:val="center"/>
                  </w:pPr>
                  <w:r>
                    <w:t xml:space="preserve">2020</w:t>
                  </w:r>
                </w:p>
              </w:tc>
              <w:tc>
                <w:tcPr/>
                <w:p>
                  <w:pPr>
                    <w:pStyle w:val="Compact"/>
                    <w:jc w:val="left"/>
                    <w:jc w:val="center"/>
                  </w:pPr>
                  <w:r>
                    <w:t xml:space="preserve">Blood glucose fluctuations in patients with coronary heart disease and diabetes mellitus correlates with heart rate variability: A retrospective analysis of 210 cases.</w:t>
                  </w:r>
                </w:p>
              </w:tc>
              <w:tc>
                <w:tcPr/>
                <w:p>
                  <w:pPr>
                    <w:pStyle w:val="Compact"/>
                    <w:jc w:val="left"/>
                    <w:jc w:val="center"/>
                  </w:pPr>
                  <w:r>
                    <w:t xml:space="preserve">Nigerian journal of clinical practice</w:t>
                  </w:r>
                </w:p>
              </w:tc>
              <w:tc>
                <w:tcPr/>
                <w:p>
                  <w:pPr>
                    <w:pStyle w:val="Compact"/>
                    <w:jc w:val="center"/>
                    <w:jc w:val="center"/>
                  </w:pPr>
                  <w:r>
                    <w:t xml:space="preserve">23</w:t>
                  </w:r>
                </w:p>
              </w:tc>
              <w:tc>
                <w:tcPr/>
                <w:p>
                  <w:pPr>
                    <w:pStyle w:val="Compact"/>
                    <w:jc w:val="center"/>
                    <w:jc w:val="center"/>
                  </w:pPr>
                  <w:r>
                    <w:t xml:space="preserve">9</w:t>
                  </w:r>
                </w:p>
              </w:tc>
              <w:tc>
                <w:tcPr/>
                <w:p>
                  <w:pPr>
                    <w:pStyle w:val="Compact"/>
                    <w:jc w:val="center"/>
                    <w:jc w:val="center"/>
                  </w:pPr>
                  <w:r>
                    <w:t xml:space="preserve">1194-1200</w:t>
                  </w:r>
                </w:p>
              </w:tc>
              <w:tc>
                <w:tcPr/>
                <w:p>
                  <w:pPr>
                    <w:pStyle w:val="Compact"/>
                    <w:jc w:val="left"/>
                    <w:jc w:val="center"/>
                  </w:pPr>
                  <w:r>
                    <w:t xml:space="preserve">10.41 03/nj cp.njc p_529_ 19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Cutruzzola Antonio ; Parise Martina ; Scavelli Faustina B; Barone Milena ; Gnasso Agostino ; Irace Concetta ;</w:t>
                  </w:r>
                </w:p>
              </w:tc>
              <w:tc>
                <w:tcPr/>
                <w:p>
                  <w:pPr>
                    <w:pStyle w:val="Compact"/>
                    <w:jc w:val="center"/>
                    <w:jc w:val="center"/>
                  </w:pPr>
                  <w:r>
                    <w:t xml:space="preserve">2022</w:t>
                  </w:r>
                </w:p>
              </w:tc>
              <w:tc>
                <w:tcPr/>
                <w:p>
                  <w:pPr>
                    <w:pStyle w:val="Compact"/>
                    <w:jc w:val="left"/>
                    <w:jc w:val="center"/>
                  </w:pPr>
                  <w:r>
                    <w:t xml:space="preserve">Time in Range Does Not Associate With Carotid Artery Wall Thickness and Endothelial Function in Type 1 Diabetes.</w:t>
                  </w:r>
                </w:p>
              </w:tc>
              <w:tc>
                <w:tcPr/>
                <w:p>
                  <w:pPr>
                    <w:pStyle w:val="Compact"/>
                    <w:jc w:val="left"/>
                    <w:jc w:val="center"/>
                  </w:pPr>
                  <w:r>
                    <w:t xml:space="preserve">Journal of diabetes science and technology</w:t>
                  </w:r>
                </w:p>
              </w:tc>
              <w:tc>
                <w:tcPr/>
                <w:p>
                  <w:pPr>
                    <w:pStyle w:val="Compact"/>
                    <w:jc w:val="center"/>
                    <w:jc w:val="center"/>
                  </w:pPr>
                  <w:r>
                    <w:t xml:space="preserve">16</w:t>
                  </w:r>
                </w:p>
              </w:tc>
              <w:tc>
                <w:tcPr/>
                <w:p>
                  <w:pPr>
                    <w:pStyle w:val="Compact"/>
                    <w:jc w:val="center"/>
                    <w:jc w:val="center"/>
                  </w:pPr>
                  <w:r>
                    <w:t xml:space="preserve">4</w:t>
                  </w:r>
                </w:p>
              </w:tc>
              <w:tc>
                <w:tcPr/>
                <w:p>
                  <w:pPr>
                    <w:pStyle w:val="Compact"/>
                    <w:jc w:val="center"/>
                    <w:jc w:val="center"/>
                  </w:pPr>
                  <w:r>
                    <w:t xml:space="preserve">904-911</w:t>
                  </w:r>
                </w:p>
              </w:tc>
              <w:tc>
                <w:tcPr/>
                <w:p>
                  <w:pPr>
                    <w:pStyle w:val="Compact"/>
                    <w:jc w:val="left"/>
                    <w:jc w:val="center"/>
                  </w:pPr>
                  <w:r>
                    <w:t xml:space="preserve">10.117 7/193 2296 82199 3178</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De Meulemeester Jolien ; Charleer Sara ; Visser Margaretha M; De Block Christophe ; Mathieu Chantal ; Gillard Pieter ;</w:t>
                  </w:r>
                </w:p>
              </w:tc>
              <w:tc>
                <w:tcPr/>
                <w:p>
                  <w:pPr>
                    <w:pStyle w:val="Compact"/>
                    <w:jc w:val="center"/>
                    <w:jc w:val="center"/>
                  </w:pPr>
                  <w:r>
                    <w:t xml:space="preserve">2024</w:t>
                  </w:r>
                </w:p>
              </w:tc>
              <w:tc>
                <w:tcPr/>
                <w:p>
                  <w:pPr>
                    <w:pStyle w:val="Compact"/>
                    <w:jc w:val="left"/>
                    <w:jc w:val="center"/>
                  </w:pPr>
                  <w:r>
                    <w:t xml:space="preserve">The association of chronic complications with time in tight range and time in range in people with type 1 diabetes: a retrospective cross-sectional real-world study.</w:t>
                  </w:r>
                </w:p>
              </w:tc>
              <w:tc>
                <w:tcPr/>
                <w:p>
                  <w:pPr>
                    <w:pStyle w:val="Compact"/>
                    <w:jc w:val="left"/>
                    <w:jc w:val="center"/>
                  </w:pPr>
                  <w:r>
                    <w:t xml:space="preserve">Diabetologia</w:t>
                  </w:r>
                </w:p>
              </w:tc>
              <w:tc>
                <w:tcPr/>
                <w:p>
                  <w:pPr>
                    <w:pStyle w:val="Compact"/>
                    <w:jc w:val="center"/>
                    <w:jc w:val="center"/>
                  </w:pPr>
                  <w:r>
                    <w:t xml:space="preserve">67</w:t>
                  </w:r>
                </w:p>
              </w:tc>
              <w:tc>
                <w:tcPr/>
                <w:p>
                  <w:pPr>
                    <w:pStyle w:val="Compact"/>
                    <w:jc w:val="center"/>
                    <w:jc w:val="center"/>
                  </w:pPr>
                  <w:r>
                    <w:t xml:space="preserve">8</w:t>
                  </w:r>
                </w:p>
              </w:tc>
              <w:tc>
                <w:tcPr/>
                <w:p>
                  <w:pPr>
                    <w:pStyle w:val="Compact"/>
                    <w:jc w:val="center"/>
                    <w:jc w:val="center"/>
                  </w:pPr>
                  <w:r>
                    <w:t xml:space="preserve">1527-1535</w:t>
                  </w:r>
                </w:p>
              </w:tc>
              <w:tc>
                <w:tcPr/>
                <w:p>
                  <w:pPr>
                    <w:pStyle w:val="Compact"/>
                    <w:jc w:val="left"/>
                    <w:jc w:val="center"/>
                  </w:pPr>
                  <w:r>
                    <w:t xml:space="preserve">10.100 7/s001 25-024 -0617 1-y</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Deng Zixuan ; Wang Shiyun ; Lu Jingyi ; Zhang Rong ; Zhang Lei ; Lu Wei ; Zhu Wei ; Bao Yuqian ; Zhou Jian ; Hu Cheng ;</w:t>
                  </w:r>
                </w:p>
              </w:tc>
              <w:tc>
                <w:tcPr/>
                <w:p>
                  <w:pPr>
                    <w:pStyle w:val="Compact"/>
                    <w:jc w:val="center"/>
                    <w:jc w:val="center"/>
                  </w:pPr>
                  <w:r>
                    <w:t xml:space="preserve">2023</w:t>
                  </w:r>
                </w:p>
              </w:tc>
              <w:tc>
                <w:tcPr/>
                <w:p>
                  <w:pPr>
                    <w:pStyle w:val="Compact"/>
                    <w:jc w:val="left"/>
                    <w:jc w:val="center"/>
                  </w:pPr>
                  <w:r>
                    <w:t xml:space="preserve">Interaction between haptoglobin genotype and glycemic variability on diabetic macroangiopathy: a population-based cross-sectional study.</w:t>
                  </w:r>
                </w:p>
              </w:tc>
              <w:tc>
                <w:tcPr/>
                <w:p>
                  <w:pPr>
                    <w:pStyle w:val="Compact"/>
                    <w:jc w:val="left"/>
                    <w:jc w:val="center"/>
                  </w:pPr>
                  <w:r>
                    <w:t xml:space="preserve">Endocrine</w:t>
                  </w:r>
                </w:p>
              </w:tc>
              <w:tc>
                <w:tcPr/>
                <w:p>
                  <w:pPr>
                    <w:pStyle w:val="Compact"/>
                    <w:jc w:val="center"/>
                    <w:jc w:val="center"/>
                  </w:pPr>
                  <w:r>
                    <w:t xml:space="preserve">82</w:t>
                  </w:r>
                </w:p>
              </w:tc>
              <w:tc>
                <w:tcPr/>
                <w:p>
                  <w:pPr>
                    <w:pStyle w:val="Compact"/>
                    <w:jc w:val="center"/>
                    <w:jc w:val="center"/>
                  </w:pPr>
                  <w:r>
                    <w:t xml:space="preserve">2</w:t>
                  </w:r>
                </w:p>
              </w:tc>
              <w:tc>
                <w:tcPr/>
                <w:p>
                  <w:pPr>
                    <w:pStyle w:val="Compact"/>
                    <w:jc w:val="center"/>
                    <w:jc w:val="center"/>
                  </w:pPr>
                  <w:r>
                    <w:t xml:space="preserve">311-318</w:t>
                  </w:r>
                </w:p>
              </w:tc>
              <w:tc>
                <w:tcPr/>
                <w:p>
                  <w:pPr>
                    <w:pStyle w:val="Compact"/>
                    <w:jc w:val="left"/>
                    <w:jc w:val="center"/>
                  </w:pPr>
                  <w:r>
                    <w:t xml:space="preserve">10.10 07/s1 2020-0 23-0 3484-7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Di Flaviani Alessandra ; Picconi Fabiana ; Di Stefano Paola ; Giordani Ilaria ; Malandrucco Ilaria ; Maggio Paola ; Palazzo Paola ; Sgreccia Fabrizio ; Peraldo Carlo ; Farina Fabrizio ; Frajese Gaetano ; Frontoni Simona ;</w:t>
                  </w:r>
                </w:p>
              </w:tc>
              <w:tc>
                <w:tcPr/>
                <w:p>
                  <w:pPr>
                    <w:pStyle w:val="Compact"/>
                    <w:jc w:val="center"/>
                    <w:jc w:val="center"/>
                  </w:pPr>
                  <w:r>
                    <w:t xml:space="preserve">2011</w:t>
                  </w:r>
                </w:p>
              </w:tc>
              <w:tc>
                <w:tcPr/>
                <w:p>
                  <w:pPr>
                    <w:pStyle w:val="Compact"/>
                    <w:jc w:val="left"/>
                    <w:jc w:val="center"/>
                  </w:pPr>
                  <w:r>
                    <w:t xml:space="preserve">Impact of glycemic and blood pressure variability on surrogate measures of cardiovascular outcomes in type 2 diabetic patients.</w:t>
                  </w:r>
                </w:p>
              </w:tc>
              <w:tc>
                <w:tcPr/>
                <w:p>
                  <w:pPr>
                    <w:pStyle w:val="Compact"/>
                    <w:jc w:val="left"/>
                    <w:jc w:val="center"/>
                  </w:pPr>
                  <w:r>
                    <w:t xml:space="preserve">Diabetes care</w:t>
                  </w:r>
                </w:p>
              </w:tc>
              <w:tc>
                <w:tcPr/>
                <w:p>
                  <w:pPr>
                    <w:pStyle w:val="Compact"/>
                    <w:jc w:val="center"/>
                    <w:jc w:val="center"/>
                  </w:pPr>
                  <w:r>
                    <w:t xml:space="preserve">34</w:t>
                  </w:r>
                </w:p>
              </w:tc>
              <w:tc>
                <w:tcPr/>
                <w:p>
                  <w:pPr>
                    <w:pStyle w:val="Compact"/>
                    <w:jc w:val="center"/>
                    <w:jc w:val="center"/>
                  </w:pPr>
                  <w:r>
                    <w:t xml:space="preserve">7</w:t>
                  </w:r>
                </w:p>
              </w:tc>
              <w:tc>
                <w:tcPr/>
                <w:p>
                  <w:pPr>
                    <w:pStyle w:val="Compact"/>
                    <w:jc w:val="center"/>
                    <w:jc w:val="center"/>
                  </w:pPr>
                  <w:r>
                    <w:t xml:space="preserve">1605-9</w:t>
                  </w:r>
                </w:p>
              </w:tc>
              <w:tc>
                <w:tcPr/>
                <w:p>
                  <w:pPr>
                    <w:pStyle w:val="Compact"/>
                    <w:jc w:val="left"/>
                    <w:jc w:val="center"/>
                  </w:pPr>
                  <w:r>
                    <w:t xml:space="preserve">10.233 7/dc 11-00 34</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Dzhun Yana ; Mankovsky Georgy ; Rudenko Nadiya ; Marushko Yevgen ; Saienko Yanina ; Mankovsky Borys ;</w:t>
                  </w:r>
                </w:p>
              </w:tc>
              <w:tc>
                <w:tcPr/>
                <w:p>
                  <w:pPr>
                    <w:pStyle w:val="Compact"/>
                    <w:jc w:val="center"/>
                    <w:jc w:val="center"/>
                  </w:pPr>
                  <w:r>
                    <w:t xml:space="preserve">2023</w:t>
                  </w:r>
                </w:p>
              </w:tc>
              <w:tc>
                <w:tcPr/>
                <w:p>
                  <w:pPr>
                    <w:pStyle w:val="Compact"/>
                    <w:jc w:val="left"/>
                    <w:jc w:val="center"/>
                  </w:pPr>
                  <w:r>
                    <w:t xml:space="preserve">Glycemic variability is associated with diastolic dysfunction in patients with type 2 diabetes.</w:t>
                  </w:r>
                </w:p>
              </w:tc>
              <w:tc>
                <w:tcPr/>
                <w:p>
                  <w:pPr>
                    <w:pStyle w:val="Compact"/>
                    <w:jc w:val="left"/>
                    <w:jc w:val="center"/>
                  </w:pPr>
                  <w:r>
                    <w:t xml:space="preserve">Journal of diabetes and its complications</w:t>
                  </w:r>
                </w:p>
              </w:tc>
              <w:tc>
                <w:tcPr/>
                <w:p>
                  <w:pPr>
                    <w:pStyle w:val="Compact"/>
                    <w:jc w:val="center"/>
                    <w:jc w:val="center"/>
                  </w:pPr>
                  <w:r>
                    <w:t xml:space="preserve">37</w:t>
                  </w:r>
                </w:p>
              </w:tc>
              <w:tc>
                <w:tcPr/>
                <w:p>
                  <w:pPr>
                    <w:pStyle w:val="Compact"/>
                    <w:jc w:val="center"/>
                    <w:jc w:val="center"/>
                  </w:pPr>
                  <w:r>
                    <w:t xml:space="preserve">11</w:t>
                  </w:r>
                </w:p>
              </w:tc>
              <w:tc>
                <w:tcPr/>
                <w:p>
                  <w:pPr>
                    <w:pStyle w:val="Compact"/>
                    <w:jc w:val="center"/>
                    <w:jc w:val="center"/>
                  </w:pPr>
                  <w:r>
                    <w:t xml:space="preserve">108519</w:t>
                  </w:r>
                </w:p>
              </w:tc>
              <w:tc>
                <w:tcPr/>
                <w:p>
                  <w:pPr>
                    <w:pStyle w:val="Compact"/>
                    <w:jc w:val="left"/>
                    <w:jc w:val="center"/>
                  </w:pPr>
                  <w:r>
                    <w:t xml:space="preserve">10.10 16/j.jd iacomp.202 3.108519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El Malahi Anass ; Van Elsen Michiel ; Charleer Sara ; Dirinck Eveline ; Ledeganck Kristien ; Keymeulen Bart ; Crenier Laurent ; Radermecker Regis ; Taes Youri ; Vercammen Chris ; Nobels Frank ; Mathieu Chantal ; Gillard Pieter ; De Block Christophe ;</w:t>
                  </w:r>
                </w:p>
              </w:tc>
              <w:tc>
                <w:tcPr/>
                <w:p>
                  <w:pPr>
                    <w:pStyle w:val="Compact"/>
                    <w:jc w:val="center"/>
                    <w:jc w:val="center"/>
                  </w:pPr>
                  <w:r>
                    <w:t xml:space="preserve">2022</w:t>
                  </w:r>
                </w:p>
              </w:tc>
              <w:tc>
                <w:tcPr/>
                <w:p>
                  <w:pPr>
                    <w:pStyle w:val="Compact"/>
                    <w:jc w:val="left"/>
                    <w:jc w:val="center"/>
                  </w:pPr>
                  <w:r>
                    <w:t xml:space="preserve">Relationship Between Time in Range, Glycemic Variability, HbA1c, and Complications in Adults With Type 1 Diabetes Mellitus.</w:t>
                  </w:r>
                </w:p>
              </w:tc>
              <w:tc>
                <w:tcPr/>
                <w:p>
                  <w:pPr>
                    <w:pStyle w:val="Compact"/>
                    <w:jc w:val="left"/>
                    <w:jc w:val="center"/>
                  </w:pPr>
                  <w:r>
                    <w:t xml:space="preserve">The Journal of clinical endocrinology and metabolism</w:t>
                  </w:r>
                </w:p>
              </w:tc>
              <w:tc>
                <w:tcPr/>
                <w:p>
                  <w:pPr>
                    <w:pStyle w:val="Compact"/>
                    <w:jc w:val="center"/>
                    <w:jc w:val="center"/>
                  </w:pPr>
                  <w:r>
                    <w:t xml:space="preserve">107</w:t>
                  </w:r>
                </w:p>
              </w:tc>
              <w:tc>
                <w:tcPr/>
                <w:p>
                  <w:pPr>
                    <w:pStyle w:val="Compact"/>
                    <w:jc w:val="center"/>
                    <w:jc w:val="center"/>
                  </w:pPr>
                  <w:r>
                    <w:t xml:space="preserve">2</w:t>
                  </w:r>
                </w:p>
              </w:tc>
              <w:tc>
                <w:tcPr/>
                <w:p>
                  <w:pPr>
                    <w:pStyle w:val="Compact"/>
                    <w:jc w:val="center"/>
                    <w:jc w:val="center"/>
                  </w:pPr>
                  <w:r>
                    <w:t xml:space="preserve">e570-e581</w:t>
                  </w:r>
                </w:p>
              </w:tc>
              <w:tc>
                <w:tcPr/>
                <w:p>
                  <w:pPr>
                    <w:pStyle w:val="Compact"/>
                    <w:jc w:val="left"/>
                    <w:jc w:val="center"/>
                  </w:pPr>
                  <w:r>
                    <w:t xml:space="preserve">10.1210 /clinem /dgab688</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Foreman Yuri D; van Doorn William P T M; Schaper Nicolaas C; van Greevenbroek Marleen M J; van der Kallen Carla J H; Henry Ronald M A; Koster Annemarie ; Eussen Simone J P M; Wesselius Anke ; Reesink Koen D; Schram Miranda T; Dagnelie Pieter C; Kroon Abraham A; Brouwers Martijn C G J; Stehouwer Coen D A;</w:t>
                  </w:r>
                </w:p>
              </w:tc>
              <w:tc>
                <w:tcPr/>
                <w:p>
                  <w:pPr>
                    <w:pStyle w:val="Compact"/>
                    <w:jc w:val="center"/>
                    <w:jc w:val="center"/>
                  </w:pPr>
                  <w:r>
                    <w:t xml:space="preserve">2021</w:t>
                  </w:r>
                </w:p>
              </w:tc>
              <w:tc>
                <w:tcPr/>
                <w:p>
                  <w:pPr>
                    <w:pStyle w:val="Compact"/>
                    <w:jc w:val="left"/>
                    <w:jc w:val="center"/>
                  </w:pPr>
                  <w:r>
                    <w:t xml:space="preserve">Greater daily glucose variability and lower time in range assessed with continuous glucose monitoring are associated with greater aortic stiffness: The Maastricht Study.</w:t>
                  </w:r>
                </w:p>
              </w:tc>
              <w:tc>
                <w:tcPr/>
                <w:p>
                  <w:pPr>
                    <w:pStyle w:val="Compact"/>
                    <w:jc w:val="left"/>
                    <w:jc w:val="center"/>
                  </w:pPr>
                  <w:r>
                    <w:t xml:space="preserve">Diabetologia</w:t>
                  </w:r>
                </w:p>
              </w:tc>
              <w:tc>
                <w:tcPr/>
                <w:p>
                  <w:pPr>
                    <w:pStyle w:val="Compact"/>
                    <w:jc w:val="center"/>
                    <w:jc w:val="center"/>
                  </w:pPr>
                  <w:r>
                    <w:t xml:space="preserve">64</w:t>
                  </w:r>
                </w:p>
              </w:tc>
              <w:tc>
                <w:tcPr/>
                <w:p>
                  <w:pPr>
                    <w:pStyle w:val="Compact"/>
                    <w:jc w:val="center"/>
                    <w:jc w:val="center"/>
                  </w:pPr>
                  <w:r>
                    <w:t xml:space="preserve">8</w:t>
                  </w:r>
                </w:p>
              </w:tc>
              <w:tc>
                <w:tcPr/>
                <w:p>
                  <w:pPr>
                    <w:pStyle w:val="Compact"/>
                    <w:jc w:val="center"/>
                    <w:jc w:val="center"/>
                  </w:pPr>
                  <w:r>
                    <w:t xml:space="preserve">1880-1892</w:t>
                  </w:r>
                </w:p>
              </w:tc>
              <w:tc>
                <w:tcPr/>
                <w:p>
                  <w:pPr>
                    <w:pStyle w:val="Compact"/>
                    <w:jc w:val="left"/>
                    <w:jc w:val="center"/>
                  </w:pPr>
                  <w:r>
                    <w:t xml:space="preserve">10.1007/s001 25-0 21-05 474-8</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Georeli Eirini ; Stamati Athina ; Dimitriadou Meropi ; Chainoglou Athanasia ; Tsinopoulou Assimina Galli; Stabouli Stella ; Christoforidis Athanasios ;</w:t>
                  </w:r>
                </w:p>
              </w:tc>
              <w:tc>
                <w:tcPr/>
                <w:p>
                  <w:pPr>
                    <w:pStyle w:val="Compact"/>
                    <w:jc w:val="center"/>
                    <w:jc w:val="center"/>
                  </w:pPr>
                  <w:r>
                    <w:t xml:space="preserve">2024</w:t>
                  </w:r>
                </w:p>
              </w:tc>
              <w:tc>
                <w:tcPr/>
                <w:p>
                  <w:pPr>
                    <w:pStyle w:val="Compact"/>
                    <w:jc w:val="left"/>
                    <w:jc w:val="center"/>
                  </w:pPr>
                  <w:r>
                    <w:t xml:space="preserve">Assessment of arterial stiffness in paediatric patients with type 1 diabetes mellitus.</w:t>
                  </w:r>
                </w:p>
              </w:tc>
              <w:tc>
                <w:tcPr/>
                <w:p>
                  <w:pPr>
                    <w:pStyle w:val="Compact"/>
                    <w:jc w:val="left"/>
                    <w:jc w:val="center"/>
                  </w:pPr>
                  <w:r>
                    <w:t xml:space="preserve">Journal of diabetes and its complications</w:t>
                  </w:r>
                </w:p>
              </w:tc>
              <w:tc>
                <w:tcPr/>
                <w:p>
                  <w:pPr>
                    <w:pStyle w:val="Compact"/>
                    <w:jc w:val="center"/>
                    <w:jc w:val="center"/>
                  </w:pPr>
                  <w:r>
                    <w:t xml:space="preserve">38</w:t>
                  </w:r>
                </w:p>
              </w:tc>
              <w:tc>
                <w:tcPr/>
                <w:p>
                  <w:pPr>
                    <w:pStyle w:val="Compact"/>
                    <w:jc w:val="center"/>
                    <w:jc w:val="center"/>
                  </w:pPr>
                  <w:r>
                    <w:t xml:space="preserve">8</w:t>
                  </w:r>
                </w:p>
              </w:tc>
              <w:tc>
                <w:tcPr/>
                <w:p>
                  <w:pPr>
                    <w:pStyle w:val="Compact"/>
                    <w:jc w:val="center"/>
                    <w:jc w:val="center"/>
                  </w:pPr>
                  <w:r>
                    <w:t xml:space="preserve">108782</w:t>
                  </w:r>
                </w:p>
              </w:tc>
              <w:tc>
                <w:tcPr/>
                <w:p>
                  <w:pPr>
                    <w:pStyle w:val="Compact"/>
                    <w:jc w:val="left"/>
                    <w:jc w:val="center"/>
                  </w:pPr>
                  <w:r>
                    <w:t xml:space="preserve">10.1016/j.jdiacomp.2024.108782</w:t>
                  </w:r>
                </w:p>
              </w:tc>
            </w:tr>
            <w:tr>
              <w:tc>
                <w:tcPr/>
                <w:p>
                  <w:pPr>
                    <w:pStyle w:val="Compact"/>
                    <w:jc w:val="left"/>
                    <w:jc w:val="center"/>
                  </w:pPr>
                  <w:r>
                    <w:t xml:space="preserve">Gimenez Marga ; Gilabert Rosa ; Lara Merce ; Conget Ignacio ;</w:t>
                  </w:r>
                </w:p>
              </w:tc>
              <w:tc>
                <w:tcPr/>
                <w:p>
                  <w:pPr>
                    <w:pStyle w:val="Compact"/>
                    <w:jc w:val="center"/>
                    <w:jc w:val="center"/>
                  </w:pPr>
                  <w:r>
                    <w:t xml:space="preserve">2011</w:t>
                  </w:r>
                </w:p>
              </w:tc>
              <w:tc>
                <w:tcPr/>
                <w:p>
                  <w:pPr>
                    <w:pStyle w:val="Compact"/>
                    <w:jc w:val="left"/>
                    <w:jc w:val="center"/>
                  </w:pPr>
                  <w:r>
                    <w:t xml:space="preserve">Preclinical arterial disease in patients with type 1 diabetes without other major cardiovascular risk factors or micro-/ macrovascular disease.</w:t>
                  </w:r>
                </w:p>
              </w:tc>
              <w:tc>
                <w:tcPr/>
                <w:p>
                  <w:pPr>
                    <w:pStyle w:val="Compact"/>
                    <w:jc w:val="left"/>
                    <w:jc w:val="center"/>
                  </w:pPr>
                  <w:r>
                    <w:t xml:space="preserve">Diabetes &amp; vascular disease research</w:t>
                  </w:r>
                </w:p>
              </w:tc>
              <w:tc>
                <w:tcPr/>
                <w:p>
                  <w:pPr>
                    <w:pStyle w:val="Compact"/>
                    <w:jc w:val="center"/>
                    <w:jc w:val="center"/>
                  </w:pPr>
                  <w:r>
                    <w:t xml:space="preserve">8</w:t>
                  </w:r>
                </w:p>
              </w:tc>
              <w:tc>
                <w:tcPr/>
                <w:p>
                  <w:pPr>
                    <w:pStyle w:val="Compact"/>
                    <w:jc w:val="center"/>
                    <w:jc w:val="center"/>
                  </w:pPr>
                  <w:r>
                    <w:t xml:space="preserve">1</w:t>
                  </w:r>
                </w:p>
              </w:tc>
              <w:tc>
                <w:tcPr/>
                <w:p>
                  <w:pPr>
                    <w:pStyle w:val="Compact"/>
                    <w:jc w:val="center"/>
                    <w:jc w:val="center"/>
                  </w:pPr>
                  <w:r>
                    <w:t xml:space="preserve">05/Nov</w:t>
                  </w:r>
                </w:p>
              </w:tc>
              <w:tc>
                <w:tcPr/>
                <w:p>
                  <w:pPr>
                    <w:pStyle w:val="Compact"/>
                    <w:jc w:val="left"/>
                    <w:jc w:val="center"/>
                  </w:pPr>
                  <w:r>
                    <w:t xml:space="preserve">10.11 77/14 79164 11038 8674</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Gordin D ; Ronnback M ; Forsblom C ; Makinen V ; Saraheimo M ; Groop P-H ;</w:t>
                  </w:r>
                </w:p>
              </w:tc>
              <w:tc>
                <w:tcPr/>
                <w:p>
                  <w:pPr>
                    <w:pStyle w:val="Compact"/>
                    <w:jc w:val="center"/>
                    <w:jc w:val="center"/>
                  </w:pPr>
                  <w:r>
                    <w:t xml:space="preserve">2008</w:t>
                  </w:r>
                </w:p>
              </w:tc>
              <w:tc>
                <w:tcPr/>
                <w:p>
                  <w:pPr>
                    <w:pStyle w:val="Compact"/>
                    <w:jc w:val="left"/>
                    <w:jc w:val="center"/>
                  </w:pPr>
                  <w:r>
                    <w:t xml:space="preserve">Glucose variability, blood pressure and arterial stiffness in type 1 diabetes.</w:t>
                  </w:r>
                </w:p>
              </w:tc>
              <w:tc>
                <w:tcPr/>
                <w:p>
                  <w:pPr>
                    <w:pStyle w:val="Compact"/>
                    <w:jc w:val="left"/>
                    <w:jc w:val="center"/>
                  </w:pPr>
                  <w:r>
                    <w:t xml:space="preserve">Diabetes research and clinical practice</w:t>
                  </w:r>
                </w:p>
              </w:tc>
              <w:tc>
                <w:tcPr/>
                <w:p>
                  <w:pPr>
                    <w:pStyle w:val="Compact"/>
                    <w:jc w:val="center"/>
                    <w:jc w:val="center"/>
                  </w:pPr>
                  <w:r>
                    <w:t xml:space="preserve">80</w:t>
                  </w:r>
                </w:p>
              </w:tc>
              <w:tc>
                <w:tcPr/>
                <w:p>
                  <w:pPr>
                    <w:pStyle w:val="Compact"/>
                    <w:jc w:val="center"/>
                    <w:jc w:val="center"/>
                  </w:pPr>
                  <w:r>
                    <w:t xml:space="preserve">3</w:t>
                  </w:r>
                </w:p>
              </w:tc>
              <w:tc>
                <w:tcPr/>
                <w:p>
                  <w:pPr>
                    <w:pStyle w:val="Compact"/>
                    <w:jc w:val="center"/>
                    <w:jc w:val="center"/>
                  </w:pPr>
                  <w:r>
                    <w:t xml:space="preserve">e4-7</w:t>
                  </w:r>
                </w:p>
              </w:tc>
              <w:tc>
                <w:tcPr/>
                <w:p>
                  <w:pPr>
                    <w:pStyle w:val="Compact"/>
                    <w:jc w:val="left"/>
                    <w:jc w:val="center"/>
                  </w:pPr>
                  <w:r>
                    <w:t xml:space="preserve">10.1016 /j.dia bres.2008 .01. 010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Guo Jinhui ; Wang Juan ; Zhao Zepeng ; Yu Lifang ;</w:t>
                  </w:r>
                </w:p>
              </w:tc>
              <w:tc>
                <w:tcPr/>
                <w:p>
                  <w:pPr>
                    <w:pStyle w:val="Compact"/>
                    <w:jc w:val="center"/>
                    <w:jc w:val="center"/>
                  </w:pPr>
                  <w:r>
                    <w:t xml:space="preserve">2021</w:t>
                  </w:r>
                </w:p>
              </w:tc>
              <w:tc>
                <w:tcPr/>
                <w:p>
                  <w:pPr>
                    <w:pStyle w:val="Compact"/>
                    <w:jc w:val="left"/>
                    <w:jc w:val="center"/>
                  </w:pPr>
                  <w:r>
                    <w:t xml:space="preserve">Association between glycemic control assessed by continuous glucose monitoring and stroke in patients with atrial fibrillation and diabetes mellitus.</w:t>
                  </w:r>
                </w:p>
              </w:tc>
              <w:tc>
                <w:tcPr/>
                <w:p>
                  <w:pPr>
                    <w:pStyle w:val="Compact"/>
                    <w:jc w:val="left"/>
                    <w:jc w:val="center"/>
                  </w:pPr>
                  <w:r>
                    <w:t xml:space="preserve">Annals of palliative medicine</w:t>
                  </w:r>
                </w:p>
              </w:tc>
              <w:tc>
                <w:tcPr/>
                <w:p>
                  <w:pPr>
                    <w:pStyle w:val="Compact"/>
                    <w:jc w:val="center"/>
                    <w:jc w:val="center"/>
                  </w:pPr>
                  <w:r>
                    <w:t xml:space="preserve">10</w:t>
                  </w:r>
                </w:p>
              </w:tc>
              <w:tc>
                <w:tcPr/>
                <w:p>
                  <w:pPr>
                    <w:pStyle w:val="Compact"/>
                    <w:jc w:val="center"/>
                    <w:jc w:val="center"/>
                  </w:pPr>
                  <w:r>
                    <w:t xml:space="preserve">8</w:t>
                  </w:r>
                </w:p>
              </w:tc>
              <w:tc>
                <w:tcPr/>
                <w:p>
                  <w:pPr>
                    <w:pStyle w:val="Compact"/>
                    <w:jc w:val="center"/>
                    <w:jc w:val="center"/>
                  </w:pPr>
                  <w:r>
                    <w:t xml:space="preserve">9157-9164</w:t>
                  </w:r>
                </w:p>
              </w:tc>
              <w:tc>
                <w:tcPr/>
                <w:p>
                  <w:pPr>
                    <w:pStyle w:val="Compact"/>
                    <w:jc w:val="left"/>
                    <w:jc w:val="center"/>
                  </w:pPr>
                  <w:r>
                    <w:t xml:space="preserve">10.2 1037/ap m-21- 2198</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He Ruibin ; Xuan Yingli ; Zhu Lingling ; Pang Shiqing ; Qin Li ; Tian Jingyan ; Yuan Jiangzi ;</w:t>
                  </w:r>
                </w:p>
              </w:tc>
              <w:tc>
                <w:tcPr/>
                <w:p>
                  <w:pPr>
                    <w:pStyle w:val="Compact"/>
                    <w:jc w:val="center"/>
                    <w:jc w:val="center"/>
                  </w:pPr>
                  <w:r>
                    <w:t xml:space="preserve">2023</w:t>
                  </w:r>
                </w:p>
              </w:tc>
              <w:tc>
                <w:tcPr/>
                <w:p>
                  <w:pPr>
                    <w:pStyle w:val="Compact"/>
                    <w:jc w:val="left"/>
                    <w:jc w:val="center"/>
                  </w:pPr>
                  <w:r>
                    <w:t xml:space="preserve">Low Blood Glucose Index Associated with Cardiovascular Events in Diabetic Hemodialysis Patients.</w:t>
                  </w:r>
                </w:p>
              </w:tc>
              <w:tc>
                <w:tcPr/>
                <w:p>
                  <w:pPr>
                    <w:pStyle w:val="Compact"/>
                    <w:jc w:val="left"/>
                    <w:jc w:val="center"/>
                  </w:pPr>
                  <w:r>
                    <w:t xml:space="preserve">Blood purification</w:t>
                  </w:r>
                </w:p>
              </w:tc>
              <w:tc>
                <w:tcPr/>
                <w:p>
                  <w:pPr>
                    <w:pStyle w:val="Compact"/>
                    <w:jc w:val="center"/>
                    <w:jc w:val="center"/>
                  </w:pPr>
                  <w:r>
                    <w:t xml:space="preserve">52</w:t>
                  </w:r>
                </w:p>
              </w:tc>
              <w:tc>
                <w:tcPr/>
                <w:p>
                  <w:pPr>
                    <w:pStyle w:val="Compact"/>
                    <w:jc w:val="center"/>
                    <w:jc w:val="center"/>
                  </w:pPr>
                  <w:r>
                    <w:t xml:space="preserve">####</w:t>
                  </w:r>
                </w:p>
              </w:tc>
              <w:tc>
                <w:tcPr/>
                <w:p>
                  <w:pPr>
                    <w:pStyle w:val="Compact"/>
                    <w:jc w:val="center"/>
                    <w:jc w:val="center"/>
                  </w:pPr>
                  <w:r>
                    <w:t xml:space="preserve">824-834</w:t>
                  </w:r>
                </w:p>
              </w:tc>
              <w:tc>
                <w:tcPr/>
                <w:p>
                  <w:pPr>
                    <w:pStyle w:val="Compact"/>
                    <w:jc w:val="left"/>
                    <w:jc w:val="center"/>
                  </w:pPr>
                  <w:r>
                    <w:t xml:space="preserve">10.11 59/00 05319 64</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Helleputte Simon ; Calders Patrick ; Rodenbach Arthur ; Marlier Joke ; Verroken Charlotte ; De Backer Tine ; Lapauw Bruno ;</w:t>
                  </w:r>
                </w:p>
              </w:tc>
              <w:tc>
                <w:tcPr/>
                <w:p>
                  <w:pPr>
                    <w:pStyle w:val="Compact"/>
                    <w:jc w:val="center"/>
                    <w:jc w:val="center"/>
                  </w:pPr>
                  <w:r>
                    <w:t xml:space="preserve">2022</w:t>
                  </w:r>
                </w:p>
              </w:tc>
              <w:tc>
                <w:tcPr/>
                <w:p>
                  <w:pPr>
                    <w:pStyle w:val="Compact"/>
                    <w:jc w:val="left"/>
                    <w:jc w:val="center"/>
                  </w:pPr>
                  <w:r>
                    <w:t xml:space="preserve">Time-varying parameters of glycemic control and glycation in relation to arterial stiffness in patients with type 1 diabetes.</w:t>
                  </w:r>
                </w:p>
              </w:tc>
              <w:tc>
                <w:tcPr/>
                <w:p>
                  <w:pPr>
                    <w:pStyle w:val="Compact"/>
                    <w:jc w:val="left"/>
                    <w:jc w:val="center"/>
                  </w:pPr>
                  <w:r>
                    <w:t xml:space="preserve">Cardiovascular diabetology</w:t>
                  </w:r>
                </w:p>
              </w:tc>
              <w:tc>
                <w:tcPr/>
                <w:p>
                  <w:pPr>
                    <w:pStyle w:val="Compact"/>
                    <w:jc w:val="center"/>
                    <w:jc w:val="center"/>
                  </w:pPr>
                  <w:r>
                    <w:t xml:space="preserve">21</w:t>
                  </w:r>
                </w:p>
              </w:tc>
              <w:tc>
                <w:tcPr/>
                <w:p>
                  <w:pPr>
                    <w:pStyle w:val="Compact"/>
                    <w:jc w:val="center"/>
                    <w:jc w:val="center"/>
                  </w:pPr>
                  <w:r>
                    <w:t xml:space="preserve">1</w:t>
                  </w:r>
                </w:p>
              </w:tc>
              <w:tc>
                <w:tcPr/>
                <w:p>
                  <w:pPr>
                    <w:pStyle w:val="Compact"/>
                    <w:jc w:val="center"/>
                    <w:jc w:val="center"/>
                  </w:pPr>
                  <w:r>
                    <w:t xml:space="preserve">277</w:t>
                  </w:r>
                </w:p>
              </w:tc>
              <w:tc>
                <w:tcPr/>
                <w:p>
                  <w:pPr>
                    <w:pStyle w:val="Compact"/>
                    <w:jc w:val="left"/>
                    <w:jc w:val="center"/>
                  </w:pPr>
                  <w:r>
                    <w:t xml:space="preserve">10.1 186/s1 2933 -022-0 1717-z</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Hoffman Robert P; Dye Amanda S; Huang Hong ; Bauer John A;</w:t>
                  </w:r>
                </w:p>
              </w:tc>
              <w:tc>
                <w:tcPr/>
                <w:p>
                  <w:pPr>
                    <w:pStyle w:val="Compact"/>
                    <w:jc w:val="center"/>
                    <w:jc w:val="center"/>
                  </w:pPr>
                  <w:r>
                    <w:t xml:space="preserve">2013</w:t>
                  </w:r>
                </w:p>
              </w:tc>
              <w:tc>
                <w:tcPr/>
                <w:p>
                  <w:pPr>
                    <w:pStyle w:val="Compact"/>
                    <w:jc w:val="left"/>
                    <w:jc w:val="center"/>
                  </w:pPr>
                  <w:r>
                    <w:t xml:space="preserve">Effects of glucose control and variability on endothelial function and repair in adolescents with type 1 diabetes.</w:t>
                  </w:r>
                </w:p>
              </w:tc>
              <w:tc>
                <w:tcPr/>
                <w:p>
                  <w:pPr>
                    <w:pStyle w:val="Compact"/>
                    <w:jc w:val="left"/>
                    <w:jc w:val="center"/>
                  </w:pPr>
                  <w:r>
                    <w:t xml:space="preserve">ISRN endocrinology</w:t>
                  </w:r>
                </w:p>
              </w:tc>
              <w:tc>
                <w:tcPr/>
                <w:p>
                  <w:pPr>
                    <w:pStyle w:val="Compact"/>
                    <w:jc w:val="center"/>
                    <w:jc w:val="center"/>
                  </w:pPr>
                  <w:r>
                    <w:t xml:space="preserve">2013</w:t>
                  </w:r>
                </w:p>
              </w:tc>
              <w:tc>
                <w:tcPr/>
                <w:p>
                  <w:pPr>
                    <w:pStyle w:val="Compact"/>
                  </w:pPr>
                </w:p>
              </w:tc>
              <w:tc>
                <w:tcPr/>
                <w:p>
                  <w:pPr>
                    <w:pStyle w:val="Compact"/>
                    <w:jc w:val="center"/>
                    <w:jc w:val="center"/>
                  </w:pPr>
                  <w:r>
                    <w:t xml:space="preserve">876547</w:t>
                  </w:r>
                </w:p>
              </w:tc>
              <w:tc>
                <w:tcPr/>
                <w:p>
                  <w:pPr>
                    <w:pStyle w:val="Compact"/>
                    <w:jc w:val="left"/>
                    <w:jc w:val="center"/>
                  </w:pPr>
                  <w:r>
                    <w:t xml:space="preserve">10.11 55/20 13/87 6547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Kakuta Kentaro ; Dohi Kaoru ; Miyoshi Miho ; Yamanaka Takashi ; Kawamura Masaki ; Masuda Jun ; Kurita Tairo ; Ogura Toru ; Yamada Norikazu ; Sumida Yasuhiro ; Ito Masaaki ;</w:t>
                  </w:r>
                </w:p>
              </w:tc>
              <w:tc>
                <w:tcPr/>
                <w:p>
                  <w:pPr>
                    <w:pStyle w:val="Compact"/>
                    <w:jc w:val="center"/>
                    <w:jc w:val="center"/>
                  </w:pPr>
                  <w:r>
                    <w:t xml:space="preserve">2017</w:t>
                  </w:r>
                </w:p>
              </w:tc>
              <w:tc>
                <w:tcPr/>
                <w:p>
                  <w:pPr>
                    <w:pStyle w:val="Compact"/>
                    <w:jc w:val="left"/>
                    <w:jc w:val="center"/>
                  </w:pPr>
                  <w:r>
                    <w:t xml:space="preserve">Impact of renal function on the underlying pathophysiology of coronary plaque composition in patients with type 2 diabetes mellitus.</w:t>
                  </w:r>
                </w:p>
              </w:tc>
              <w:tc>
                <w:tcPr/>
                <w:p>
                  <w:pPr>
                    <w:pStyle w:val="Compact"/>
                    <w:jc w:val="left"/>
                    <w:jc w:val="center"/>
                  </w:pPr>
                  <w:r>
                    <w:t xml:space="preserve">Cardiovascular diabetology</w:t>
                  </w:r>
                </w:p>
              </w:tc>
              <w:tc>
                <w:tcPr/>
                <w:p>
                  <w:pPr>
                    <w:pStyle w:val="Compact"/>
                    <w:jc w:val="center"/>
                    <w:jc w:val="center"/>
                  </w:pPr>
                  <w:r>
                    <w:t xml:space="preserve">16</w:t>
                  </w:r>
                </w:p>
              </w:tc>
              <w:tc>
                <w:tcPr/>
                <w:p>
                  <w:pPr>
                    <w:pStyle w:val="Compact"/>
                    <w:jc w:val="center"/>
                    <w:jc w:val="center"/>
                  </w:pPr>
                  <w:r>
                    <w:t xml:space="preserve">1</w:t>
                  </w:r>
                </w:p>
              </w:tc>
              <w:tc>
                <w:tcPr/>
                <w:p>
                  <w:pPr>
                    <w:pStyle w:val="Compact"/>
                    <w:jc w:val="center"/>
                    <w:jc w:val="center"/>
                  </w:pPr>
                  <w:r>
                    <w:t xml:space="preserve">131</w:t>
                  </w:r>
                </w:p>
              </w:tc>
              <w:tc>
                <w:tcPr/>
                <w:p>
                  <w:pPr>
                    <w:pStyle w:val="Compact"/>
                    <w:jc w:val="left"/>
                    <w:jc w:val="center"/>
                  </w:pPr>
                  <w:r>
                    <w:t xml:space="preserve">10.1186 /s1293 3-017-0 618-3</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Koroleva Elena A; Korbut Anton I; Bulumbaeva Dinara M; Klimontov Vadim V;</w:t>
                  </w:r>
                </w:p>
              </w:tc>
              <w:tc>
                <w:tcPr/>
                <w:p>
                  <w:pPr>
                    <w:pStyle w:val="Compact"/>
                    <w:jc w:val="center"/>
                    <w:jc w:val="center"/>
                  </w:pPr>
                  <w:r>
                    <w:t xml:space="preserve">2022</w:t>
                  </w:r>
                </w:p>
              </w:tc>
              <w:tc>
                <w:tcPr/>
                <w:p>
                  <w:pPr>
                    <w:pStyle w:val="Compact"/>
                    <w:jc w:val="left"/>
                    <w:jc w:val="center"/>
                  </w:pPr>
                  <w:r>
                    <w:t xml:space="preserve">Modeling of Risk Factors for Peripheral Artery Disease in Patients with Type 2 Diabetes</w:t>
                  </w:r>
                </w:p>
              </w:tc>
              <w:tc>
                <w:tcPr/>
                <w:p>
                  <w:pPr>
                    <w:pStyle w:val="Compact"/>
                    <w:jc w:val="left"/>
                    <w:jc w:val="center"/>
                  </w:pPr>
                  <w:r>
                    <w:t xml:space="preserve">2022 IEEE International Multi-Conference on Engineering, Computer and Information Sciences (SIBIRCON)</w:t>
                  </w:r>
                </w:p>
              </w:tc>
              <w:tc>
                <w:tcPr/>
                <w:p>
                  <w:pPr>
                    <w:pStyle w:val="Compact"/>
                    <w:jc w:val="center"/>
                    <w:jc w:val="center"/>
                  </w:pPr>
                  <w:r>
                    <w:t xml:space="preserve">NA</w:t>
                  </w:r>
                </w:p>
              </w:tc>
              <w:tc>
                <w:tcPr/>
                <w:p>
                  <w:pPr>
                    <w:pStyle w:val="Compact"/>
                    <w:jc w:val="center"/>
                    <w:jc w:val="center"/>
                  </w:pPr>
                  <w:r>
                    <w:t xml:space="preserve">NA</w:t>
                  </w:r>
                </w:p>
              </w:tc>
              <w:tc>
                <w:tcPr/>
                <w:p>
                  <w:pPr>
                    <w:pStyle w:val="Compact"/>
                    <w:jc w:val="center"/>
                    <w:jc w:val="center"/>
                  </w:pPr>
                  <w:r>
                    <w:t xml:space="preserve">200-205</w:t>
                  </w:r>
                </w:p>
              </w:tc>
              <w:tc>
                <w:tcPr/>
                <w:p>
                  <w:pPr>
                    <w:pStyle w:val="Compact"/>
                    <w:jc w:val="left"/>
                    <w:jc w:val="center"/>
                  </w:pPr>
                  <w:r>
                    <w:t xml:space="preserve">10.11 09/sibi rcon5 6155. 2022. 10017 018</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Li Jinfeng ; Li Ya ; Ma Weiguo ; Liu Yishan ; Yin Xiaohong ; Xie Chuanqing ; Bai Jiao ; Zhang Min ;</w:t>
                  </w:r>
                </w:p>
              </w:tc>
              <w:tc>
                <w:tcPr/>
                <w:p>
                  <w:pPr>
                    <w:pStyle w:val="Compact"/>
                    <w:jc w:val="center"/>
                    <w:jc w:val="center"/>
                  </w:pPr>
                  <w:r>
                    <w:t xml:space="preserve">2020</w:t>
                  </w:r>
                </w:p>
              </w:tc>
              <w:tc>
                <w:tcPr/>
                <w:p>
                  <w:pPr>
                    <w:pStyle w:val="Compact"/>
                    <w:jc w:val="left"/>
                    <w:jc w:val="center"/>
                  </w:pPr>
                  <w:r>
                    <w:t xml:space="preserve">Association of Time in Range levels with Lower Extremity Arterial Disease in patients with type 2 diabetes.</w:t>
                  </w:r>
                </w:p>
              </w:tc>
              <w:tc>
                <w:tcPr/>
                <w:p>
                  <w:pPr>
                    <w:pStyle w:val="Compact"/>
                    <w:jc w:val="left"/>
                    <w:jc w:val="center"/>
                  </w:pPr>
                  <w:r>
                    <w:t xml:space="preserve">Diabetes &amp; metabolic syndrome</w:t>
                  </w:r>
                </w:p>
              </w:tc>
              <w:tc>
                <w:tcPr/>
                <w:p>
                  <w:pPr>
                    <w:pStyle w:val="Compact"/>
                    <w:jc w:val="center"/>
                    <w:jc w:val="center"/>
                  </w:pPr>
                  <w:r>
                    <w:t xml:space="preserve">14</w:t>
                  </w:r>
                </w:p>
              </w:tc>
              <w:tc>
                <w:tcPr/>
                <w:p>
                  <w:pPr>
                    <w:pStyle w:val="Compact"/>
                    <w:jc w:val="center"/>
                    <w:jc w:val="center"/>
                  </w:pPr>
                  <w:r>
                    <w:t xml:space="preserve">6</w:t>
                  </w:r>
                </w:p>
              </w:tc>
              <w:tc>
                <w:tcPr/>
                <w:p>
                  <w:pPr>
                    <w:pStyle w:val="Compact"/>
                    <w:jc w:val="center"/>
                    <w:jc w:val="center"/>
                  </w:pPr>
                  <w:r>
                    <w:t xml:space="preserve">2081-2085</w:t>
                  </w:r>
                </w:p>
              </w:tc>
              <w:tc>
                <w:tcPr/>
                <w:p>
                  <w:pPr>
                    <w:pStyle w:val="Compact"/>
                    <w:jc w:val="left"/>
                    <w:jc w:val="center"/>
                  </w:pPr>
                  <w:r>
                    <w:t xml:space="preserve">10.10 16/j. dsx.2020. 09.028</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Lu Jingyi ; Ma Xiaojing ; Shen Yun ; Wu Qiang ; Wang Ren ; Zhang Lei ; Mo Yifei ; Lu Wei ; Zhu Wei ; Bao Yuqian ; Vigersky Robert A; Jia Weiping ; Zhou Jian ;</w:t>
                  </w:r>
                </w:p>
              </w:tc>
              <w:tc>
                <w:tcPr/>
                <w:p>
                  <w:pPr>
                    <w:pStyle w:val="Compact"/>
                    <w:jc w:val="center"/>
                    <w:jc w:val="center"/>
                  </w:pPr>
                  <w:r>
                    <w:t xml:space="preserve">2020</w:t>
                  </w:r>
                </w:p>
              </w:tc>
              <w:tc>
                <w:tcPr/>
                <w:p>
                  <w:pPr>
                    <w:pStyle w:val="Compact"/>
                    <w:jc w:val="left"/>
                    <w:jc w:val="center"/>
                  </w:pPr>
                  <w:r>
                    <w:t xml:space="preserve">Time in Range Is Associated with Carotid Intima-Media Thickness in Type 2 Diabetes.</w:t>
                  </w:r>
                </w:p>
              </w:tc>
              <w:tc>
                <w:tcPr/>
                <w:p>
                  <w:pPr>
                    <w:pStyle w:val="Compact"/>
                    <w:jc w:val="left"/>
                    <w:jc w:val="center"/>
                  </w:pPr>
                  <w:r>
                    <w:t xml:space="preserve">Diabetes technology &amp; therapeutics</w:t>
                  </w:r>
                </w:p>
              </w:tc>
              <w:tc>
                <w:tcPr/>
                <w:p>
                  <w:pPr>
                    <w:pStyle w:val="Compact"/>
                    <w:jc w:val="center"/>
                    <w:jc w:val="center"/>
                  </w:pPr>
                  <w:r>
                    <w:t xml:space="preserve">22</w:t>
                  </w:r>
                </w:p>
              </w:tc>
              <w:tc>
                <w:tcPr/>
                <w:p>
                  <w:pPr>
                    <w:pStyle w:val="Compact"/>
                    <w:jc w:val="center"/>
                    <w:jc w:val="center"/>
                  </w:pPr>
                  <w:r>
                    <w:t xml:space="preserve">2</w:t>
                  </w:r>
                </w:p>
              </w:tc>
              <w:tc>
                <w:tcPr/>
                <w:p>
                  <w:pPr>
                    <w:pStyle w:val="Compact"/>
                    <w:jc w:val="center"/>
                    <w:jc w:val="center"/>
                  </w:pPr>
                  <w:r>
                    <w:t xml:space="preserve">72-78</w:t>
                  </w:r>
                </w:p>
              </w:tc>
              <w:tc>
                <w:tcPr/>
                <w:p>
                  <w:pPr>
                    <w:pStyle w:val="Compact"/>
                    <w:jc w:val="left"/>
                    <w:jc w:val="center"/>
                  </w:pPr>
                  <w:r>
                    <w:t xml:space="preserve">10.1 089/di a.20 19.0251</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Lu Jingyi ; Wang Chunfang ; Shen Yun ; Chen Lei ; Zhang Lei ; Cai Jinghao ; Lu Wei ; Zhu Wei ; Hu Gang ; Xia Tian ; Zhou Jian ;</w:t>
                  </w:r>
                </w:p>
              </w:tc>
              <w:tc>
                <w:tcPr/>
                <w:p>
                  <w:pPr>
                    <w:pStyle w:val="Compact"/>
                    <w:jc w:val="center"/>
                    <w:jc w:val="center"/>
                  </w:pPr>
                  <w:r>
                    <w:t xml:space="preserve">2021</w:t>
                  </w:r>
                </w:p>
              </w:tc>
              <w:tc>
                <w:tcPr/>
                <w:p>
                  <w:pPr>
                    <w:pStyle w:val="Compact"/>
                    <w:jc w:val="left"/>
                    <w:jc w:val="center"/>
                  </w:pPr>
                  <w:r>
                    <w:t xml:space="preserve">Time in Range in Relation to All-Cause and Cardiovascular Mortality in Patients With Type 2 Diabetes: A Prospective Cohort Study.</w:t>
                  </w:r>
                </w:p>
              </w:tc>
              <w:tc>
                <w:tcPr/>
                <w:p>
                  <w:pPr>
                    <w:pStyle w:val="Compact"/>
                    <w:jc w:val="left"/>
                    <w:jc w:val="center"/>
                  </w:pPr>
                  <w:r>
                    <w:t xml:space="preserve">Comment in: Diabetes Care. 2021 Feb;44(2):319-320 PMID: 33472967 [https://www.ncbi.nlm.nih.gov/pubmed/33472967]</w:t>
                  </w:r>
                </w:p>
              </w:tc>
              <w:tc>
                <w:tcPr/>
                <w:p>
                  <w:pPr>
                    <w:pStyle w:val="Compact"/>
                    <w:jc w:val="center"/>
                    <w:jc w:val="center"/>
                  </w:pPr>
                  <w:r>
                    <w:t xml:space="preserve">44</w:t>
                  </w:r>
                </w:p>
              </w:tc>
              <w:tc>
                <w:tcPr/>
                <w:p>
                  <w:pPr>
                    <w:pStyle w:val="Compact"/>
                    <w:jc w:val="center"/>
                    <w:jc w:val="center"/>
                  </w:pPr>
                  <w:r>
                    <w:t xml:space="preserve">2</w:t>
                  </w:r>
                </w:p>
              </w:tc>
              <w:tc>
                <w:tcPr/>
                <w:p>
                  <w:pPr>
                    <w:pStyle w:val="Compact"/>
                    <w:jc w:val="center"/>
                    <w:jc w:val="center"/>
                  </w:pPr>
                  <w:r>
                    <w:t xml:space="preserve">549-555</w:t>
                  </w:r>
                </w:p>
              </w:tc>
              <w:tc>
                <w:tcPr/>
                <w:p>
                  <w:pPr>
                    <w:pStyle w:val="Compact"/>
                    <w:jc w:val="left"/>
                    <w:jc w:val="center"/>
                  </w:pPr>
                  <w:r>
                    <w:t xml:space="preserve">10.2 337/ dc2 0-1862</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Magri Caroline Jane; Mintoff Dillon ; Camilleri Liberato ; Xuereb Robert G; Galea Joseph ; Fava Stephen ;</w:t>
                  </w:r>
                </w:p>
              </w:tc>
              <w:tc>
                <w:tcPr/>
                <w:p>
                  <w:pPr>
                    <w:pStyle w:val="Compact"/>
                    <w:jc w:val="center"/>
                    <w:jc w:val="center"/>
                  </w:pPr>
                  <w:r>
                    <w:t xml:space="preserve">2018</w:t>
                  </w:r>
                </w:p>
              </w:tc>
              <w:tc>
                <w:tcPr/>
                <w:p>
                  <w:pPr>
                    <w:pStyle w:val="Compact"/>
                    <w:jc w:val="left"/>
                    <w:jc w:val="center"/>
                  </w:pPr>
                  <w:r>
                    <w:t xml:space="preserve">Relationship of Hyperglycaemia, Hypoglycaemia, and Glucose Variability to Atherosclerotic Disease in Type 2 Diabetes.</w:t>
                  </w:r>
                </w:p>
              </w:tc>
              <w:tc>
                <w:tcPr/>
                <w:p>
                  <w:pPr>
                    <w:pStyle w:val="Compact"/>
                    <w:jc w:val="left"/>
                    <w:jc w:val="center"/>
                  </w:pPr>
                  <w:r>
                    <w:t xml:space="preserve">Journal of diabetes research</w:t>
                  </w:r>
                </w:p>
              </w:tc>
              <w:tc>
                <w:tcPr/>
                <w:p>
                  <w:pPr>
                    <w:pStyle w:val="Compact"/>
                    <w:jc w:val="center"/>
                    <w:jc w:val="center"/>
                  </w:pPr>
                  <w:r>
                    <w:t xml:space="preserve">2018</w:t>
                  </w:r>
                </w:p>
              </w:tc>
              <w:tc>
                <w:tcPr/>
                <w:p>
                  <w:pPr>
                    <w:pStyle w:val="Compact"/>
                  </w:pPr>
                </w:p>
              </w:tc>
              <w:tc>
                <w:tcPr/>
                <w:p>
                  <w:pPr>
                    <w:pStyle w:val="Compact"/>
                    <w:jc w:val="center"/>
                    <w:jc w:val="center"/>
                  </w:pPr>
                  <w:r>
                    <w:t xml:space="preserve">7464320</w:t>
                  </w:r>
                </w:p>
              </w:tc>
              <w:tc>
                <w:tcPr/>
                <w:p>
                  <w:pPr>
                    <w:pStyle w:val="Compact"/>
                    <w:jc w:val="left"/>
                    <w:jc w:val="center"/>
                  </w:pPr>
                  <w:r>
                    <w:t xml:space="preserve">10.11 55/2 018/ 74643 20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Mesa Alex ; Gimenez Marga ; Pueyo Irene ; Perea Veronica ; Vinals Clara ; Blanco Jesus ; Vinagre Irene ; Seres-Noriega Tonet ; Boswell Laura ; Esmatjes Enric ; Conget Ignacio ; Amor Antonio J;</w:t>
                  </w:r>
                </w:p>
              </w:tc>
              <w:tc>
                <w:tcPr/>
                <w:p>
                  <w:pPr>
                    <w:pStyle w:val="Compact"/>
                    <w:jc w:val="center"/>
                    <w:jc w:val="center"/>
                  </w:pPr>
                  <w:r>
                    <w:t xml:space="preserve">2022</w:t>
                  </w:r>
                </w:p>
              </w:tc>
              <w:tc>
                <w:tcPr/>
                <w:p>
                  <w:pPr>
                    <w:pStyle w:val="Compact"/>
                    <w:jc w:val="left"/>
                    <w:jc w:val="center"/>
                  </w:pPr>
                  <w:r>
                    <w:t xml:space="preserve">Hyperglycemia and hypoglycemia exposure are differentially associated with micro- and macrovascular complications in adults with Type 1 Diabetes.</w:t>
                  </w:r>
                </w:p>
              </w:tc>
              <w:tc>
                <w:tcPr/>
                <w:p>
                  <w:pPr>
                    <w:pStyle w:val="Compact"/>
                    <w:jc w:val="left"/>
                    <w:jc w:val="center"/>
                  </w:pPr>
                  <w:r>
                    <w:t xml:space="preserve">Diabetes research and clinical practice</w:t>
                  </w:r>
                </w:p>
              </w:tc>
              <w:tc>
                <w:tcPr/>
                <w:p>
                  <w:pPr>
                    <w:pStyle w:val="Compact"/>
                    <w:jc w:val="center"/>
                    <w:jc w:val="center"/>
                  </w:pPr>
                  <w:r>
                    <w:t xml:space="preserve">189</w:t>
                  </w:r>
                </w:p>
              </w:tc>
              <w:tc>
                <w:tcPr/>
                <w:p>
                  <w:pPr>
                    <w:pStyle w:val="Compact"/>
                  </w:pPr>
                </w:p>
              </w:tc>
              <w:tc>
                <w:tcPr/>
                <w:p>
                  <w:pPr>
                    <w:pStyle w:val="Compact"/>
                    <w:jc w:val="center"/>
                    <w:jc w:val="center"/>
                  </w:pPr>
                  <w:r>
                    <w:t xml:space="preserve">109938</w:t>
                  </w:r>
                </w:p>
              </w:tc>
              <w:tc>
                <w:tcPr/>
                <w:p>
                  <w:pPr>
                    <w:pStyle w:val="Compact"/>
                    <w:jc w:val="left"/>
                    <w:jc w:val="center"/>
                  </w:pPr>
                  <w:r>
                    <w:t xml:space="preserve">10.1 016/ j.di bres.20 22.10 9938</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Mi Shu-Hua ; Su Gong ; Li Zhao ; Yang Hong-Xia ; Zheng Hong ; Tao Hong ; Zhou Yun ; Tian Lei ;</w:t>
                  </w:r>
                </w:p>
              </w:tc>
              <w:tc>
                <w:tcPr/>
                <w:p>
                  <w:pPr>
                    <w:pStyle w:val="Compact"/>
                    <w:jc w:val="center"/>
                    <w:jc w:val="center"/>
                  </w:pPr>
                  <w:r>
                    <w:t xml:space="preserve">2012</w:t>
                  </w:r>
                </w:p>
              </w:tc>
              <w:tc>
                <w:tcPr/>
                <w:p>
                  <w:pPr>
                    <w:pStyle w:val="Compact"/>
                    <w:jc w:val="left"/>
                    <w:jc w:val="center"/>
                  </w:pPr>
                  <w:r>
                    <w:t xml:space="preserve">Comparison of glycemic variability and glycated hemoglobin as risk factors of coronary artery disease in patients with undiagnosed diabetes.</w:t>
                  </w:r>
                </w:p>
              </w:tc>
              <w:tc>
                <w:tcPr/>
                <w:p>
                  <w:pPr>
                    <w:pStyle w:val="Compact"/>
                    <w:jc w:val="left"/>
                    <w:jc w:val="center"/>
                  </w:pPr>
                  <w:r>
                    <w:t xml:space="preserve">Chinese medical journal</w:t>
                  </w:r>
                </w:p>
              </w:tc>
              <w:tc>
                <w:tcPr/>
                <w:p>
                  <w:pPr>
                    <w:pStyle w:val="Compact"/>
                    <w:jc w:val="center"/>
                    <w:jc w:val="center"/>
                  </w:pPr>
                  <w:r>
                    <w:t xml:space="preserve">125</w:t>
                  </w:r>
                </w:p>
              </w:tc>
              <w:tc>
                <w:tcPr/>
                <w:p>
                  <w:pPr>
                    <w:pStyle w:val="Compact"/>
                    <w:jc w:val="center"/>
                    <w:jc w:val="center"/>
                  </w:pPr>
                  <w:r>
                    <w:t xml:space="preserve">1</w:t>
                  </w:r>
                </w:p>
              </w:tc>
              <w:tc>
                <w:tcPr/>
                <w:p>
                  <w:pPr>
                    <w:pStyle w:val="Compact"/>
                    <w:jc w:val="center"/>
                    <w:jc w:val="center"/>
                  </w:pPr>
                  <w:r>
                    <w:t xml:space="preserve">38-43</w:t>
                  </w:r>
                </w:p>
              </w:tc>
              <w:tc>
                <w:tcPr/>
                <w:p>
                  <w:pPr>
                    <w:pStyle w:val="Compact"/>
                    <w:jc w:val="left"/>
                    <w:jc w:val="center"/>
                  </w:pPr>
                  <w:r>
                    <w:t xml:space="preserve">10.376 0/c ma.j.iss n.0366- 6999 .2012. 01.008</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Mita Tomoya ; Katakami Naoto ; Okada Yosuke ; Yoshii Hidenori ; Osonoi Takeshi ; Nishida Keiko ; Shiraiwa Toshihiko ; Kurozumi Akira ; Taya Naohiro ; Wakasugi Satomi ; Sato Fumiya ; Ishii Ryota ; Gosho Masahiko ; Shimomura Iichiro ; Watada Hirotaka ;</w:t>
                  </w:r>
                </w:p>
              </w:tc>
              <w:tc>
                <w:tcPr/>
                <w:p>
                  <w:pPr>
                    <w:pStyle w:val="Compact"/>
                    <w:jc w:val="center"/>
                    <w:jc w:val="center"/>
                  </w:pPr>
                  <w:r>
                    <w:t xml:space="preserve">2023</w:t>
                  </w:r>
                </w:p>
              </w:tc>
              <w:tc>
                <w:tcPr/>
                <w:p>
                  <w:pPr>
                    <w:pStyle w:val="Compact"/>
                    <w:jc w:val="left"/>
                    <w:jc w:val="center"/>
                  </w:pPr>
                  <w:r>
                    <w:t xml:space="preserve">Continuous glucose monitoring-derived time in range and CV are associated with altered tissue characteristics of the carotid artery wall in people with type 2 diabetes.</w:t>
                  </w:r>
                </w:p>
              </w:tc>
              <w:tc>
                <w:tcPr/>
                <w:p>
                  <w:pPr>
                    <w:pStyle w:val="Compact"/>
                    <w:jc w:val="left"/>
                    <w:jc w:val="center"/>
                  </w:pPr>
                  <w:r>
                    <w:t xml:space="preserve">Diabetologia</w:t>
                  </w:r>
                </w:p>
              </w:tc>
              <w:tc>
                <w:tcPr/>
                <w:p>
                  <w:pPr>
                    <w:pStyle w:val="Compact"/>
                    <w:jc w:val="center"/>
                    <w:jc w:val="center"/>
                  </w:pPr>
                  <w:r>
                    <w:t xml:space="preserve">66</w:t>
                  </w:r>
                </w:p>
              </w:tc>
              <w:tc>
                <w:tcPr/>
                <w:p>
                  <w:pPr>
                    <w:pStyle w:val="Compact"/>
                    <w:jc w:val="center"/>
                    <w:jc w:val="center"/>
                  </w:pPr>
                  <w:r>
                    <w:t xml:space="preserve">12</w:t>
                  </w:r>
                </w:p>
              </w:tc>
              <w:tc>
                <w:tcPr/>
                <w:p>
                  <w:pPr>
                    <w:pStyle w:val="Compact"/>
                    <w:jc w:val="center"/>
                    <w:jc w:val="center"/>
                  </w:pPr>
                  <w:r>
                    <w:t xml:space="preserve">2356-2367</w:t>
                  </w:r>
                </w:p>
              </w:tc>
              <w:tc>
                <w:tcPr/>
                <w:p>
                  <w:pPr>
                    <w:pStyle w:val="Compact"/>
                    <w:jc w:val="left"/>
                    <w:jc w:val="center"/>
                  </w:pPr>
                  <w:r>
                    <w:t xml:space="preserve">10.1 007/s0 0125 -023-0 6013-3</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Mo Yifei ; Zhou Jian ; Li Mei ; Wang Yuwei ; Bao Yuqian ; Ma Xiaojing ; Li Ding ; Lu Wei ; Hu Cheng ; Li Minghua ; Jia Weiping ;</w:t>
                  </w:r>
                </w:p>
              </w:tc>
              <w:tc>
                <w:tcPr/>
                <w:p>
                  <w:pPr>
                    <w:pStyle w:val="Compact"/>
                    <w:jc w:val="center"/>
                    <w:jc w:val="center"/>
                  </w:pPr>
                  <w:r>
                    <w:t xml:space="preserve">2013</w:t>
                  </w:r>
                </w:p>
              </w:tc>
              <w:tc>
                <w:tcPr/>
                <w:p>
                  <w:pPr>
                    <w:pStyle w:val="Compact"/>
                    <w:jc w:val="left"/>
                    <w:jc w:val="center"/>
                  </w:pPr>
                  <w:r>
                    <w:t xml:space="preserve">Glycemic variability is associated with subclinical atherosclerosis in Chinese type 2 diabetic patients.</w:t>
                  </w:r>
                </w:p>
              </w:tc>
              <w:tc>
                <w:tcPr/>
                <w:p>
                  <w:pPr>
                    <w:pStyle w:val="Compact"/>
                    <w:jc w:val="left"/>
                    <w:jc w:val="center"/>
                  </w:pPr>
                  <w:r>
                    <w:t xml:space="preserve">Cardiovascular diabetology</w:t>
                  </w:r>
                </w:p>
              </w:tc>
              <w:tc>
                <w:tcPr/>
                <w:p>
                  <w:pPr>
                    <w:pStyle w:val="Compact"/>
                    <w:jc w:val="center"/>
                    <w:jc w:val="center"/>
                  </w:pPr>
                  <w:r>
                    <w:t xml:space="preserve">12</w:t>
                  </w:r>
                </w:p>
              </w:tc>
              <w:tc>
                <w:tcPr/>
                <w:p>
                  <w:pPr>
                    <w:pStyle w:val="Compact"/>
                  </w:pPr>
                </w:p>
              </w:tc>
              <w:tc>
                <w:tcPr/>
                <w:p>
                  <w:pPr>
                    <w:pStyle w:val="Compact"/>
                    <w:jc w:val="center"/>
                    <w:jc w:val="center"/>
                  </w:pPr>
                  <w:r>
                    <w:t xml:space="preserve">15</w:t>
                  </w:r>
                </w:p>
              </w:tc>
              <w:tc>
                <w:tcPr/>
                <w:p>
                  <w:pPr>
                    <w:pStyle w:val="Compact"/>
                    <w:jc w:val="left"/>
                    <w:jc w:val="center"/>
                  </w:pPr>
                  <w:r>
                    <w:t xml:space="preserve">10.118 6/1 475 -2840- 12-15</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Morandi Anita ; Piona Claudia ; Corradi Massimiliano ; Marigliano Marco ; Giontella Alice ; Orsi Silvia ; Emiliani Federica ; Tagetti Angela ; Marcon Denise ; Fava Cristiano ; Maffeis Claudio ;</w:t>
                  </w:r>
                </w:p>
              </w:tc>
              <w:tc>
                <w:tcPr/>
                <w:p>
                  <w:pPr>
                    <w:pStyle w:val="Compact"/>
                    <w:jc w:val="center"/>
                    <w:jc w:val="center"/>
                  </w:pPr>
                  <w:r>
                    <w:t xml:space="preserve">2023</w:t>
                  </w:r>
                </w:p>
              </w:tc>
              <w:tc>
                <w:tcPr/>
                <w:p>
                  <w:pPr>
                    <w:pStyle w:val="Compact"/>
                    <w:jc w:val="left"/>
                    <w:jc w:val="center"/>
                  </w:pPr>
                  <w:r>
                    <w:t xml:space="preserve">Risk factors for pre-clinical atherosclerosis in adolescents with type 1 diabetes.</w:t>
                  </w:r>
                </w:p>
              </w:tc>
              <w:tc>
                <w:tcPr/>
                <w:p>
                  <w:pPr>
                    <w:pStyle w:val="Compact"/>
                    <w:jc w:val="left"/>
                    <w:jc w:val="center"/>
                  </w:pPr>
                  <w:r>
                    <w:t xml:space="preserve">Diabetes research and clinical practice</w:t>
                  </w:r>
                </w:p>
              </w:tc>
              <w:tc>
                <w:tcPr/>
                <w:p>
                  <w:pPr>
                    <w:pStyle w:val="Compact"/>
                    <w:jc w:val="center"/>
                    <w:jc w:val="center"/>
                  </w:pPr>
                  <w:r>
                    <w:t xml:space="preserve">198</w:t>
                  </w:r>
                </w:p>
              </w:tc>
              <w:tc>
                <w:tcPr/>
                <w:p>
                  <w:pPr>
                    <w:pStyle w:val="Compact"/>
                  </w:pPr>
                </w:p>
              </w:tc>
              <w:tc>
                <w:tcPr/>
                <w:p>
                  <w:pPr>
                    <w:pStyle w:val="Compact"/>
                    <w:jc w:val="center"/>
                    <w:jc w:val="center"/>
                  </w:pPr>
                  <w:r>
                    <w:t xml:space="preserve">110618</w:t>
                  </w:r>
                </w:p>
              </w:tc>
              <w:tc>
                <w:tcPr/>
                <w:p>
                  <w:pPr>
                    <w:pStyle w:val="Compact"/>
                    <w:jc w:val="left"/>
                    <w:jc w:val="center"/>
                  </w:pPr>
                  <w:r>
                    <w:t xml:space="preserve">10.1016/ j.dia bres.2023. 110618</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Pena Alexia S; Couper Jennifer J; Harrington Jennifer ; Gent Roger ; Fairchild Jan ; Tham Elaine ; Baghurst Peter ;</w:t>
                  </w:r>
                </w:p>
              </w:tc>
              <w:tc>
                <w:tcPr/>
                <w:p>
                  <w:pPr>
                    <w:pStyle w:val="Compact"/>
                    <w:jc w:val="center"/>
                    <w:jc w:val="center"/>
                  </w:pPr>
                  <w:r>
                    <w:t xml:space="preserve">2012</w:t>
                  </w:r>
                </w:p>
              </w:tc>
              <w:tc>
                <w:tcPr/>
                <w:p>
                  <w:pPr>
                    <w:pStyle w:val="Compact"/>
                    <w:jc w:val="left"/>
                    <w:jc w:val="center"/>
                  </w:pPr>
                  <w:r>
                    <w:t xml:space="preserve">Hypoglycemia, but not glucose variability, relates to vascular function in children with type 1 diabetes.</w:t>
                  </w:r>
                </w:p>
              </w:tc>
              <w:tc>
                <w:tcPr/>
                <w:p>
                  <w:pPr>
                    <w:pStyle w:val="Compact"/>
                    <w:jc w:val="left"/>
                    <w:jc w:val="center"/>
                  </w:pPr>
                  <w:r>
                    <w:t xml:space="preserve">Diabetes technology &amp; therapeutics</w:t>
                  </w:r>
                </w:p>
              </w:tc>
              <w:tc>
                <w:tcPr/>
                <w:p>
                  <w:pPr>
                    <w:pStyle w:val="Compact"/>
                    <w:jc w:val="center"/>
                    <w:jc w:val="center"/>
                  </w:pPr>
                  <w:r>
                    <w:t xml:space="preserve">14</w:t>
                  </w:r>
                </w:p>
              </w:tc>
              <w:tc>
                <w:tcPr/>
                <w:p>
                  <w:pPr>
                    <w:pStyle w:val="Compact"/>
                    <w:jc w:val="center"/>
                    <w:jc w:val="center"/>
                  </w:pPr>
                  <w:r>
                    <w:t xml:space="preserve">6</w:t>
                  </w:r>
                </w:p>
              </w:tc>
              <w:tc>
                <w:tcPr/>
                <w:p>
                  <w:pPr>
                    <w:pStyle w:val="Compact"/>
                    <w:jc w:val="center"/>
                    <w:jc w:val="center"/>
                  </w:pPr>
                  <w:r>
                    <w:t xml:space="preserve">457-62</w:t>
                  </w:r>
                </w:p>
              </w:tc>
              <w:tc>
                <w:tcPr/>
                <w:p>
                  <w:pPr>
                    <w:pStyle w:val="Compact"/>
                    <w:jc w:val="left"/>
                    <w:jc w:val="center"/>
                  </w:pPr>
                  <w:r>
                    <w:t xml:space="preserve">10.10 89/dia. 2011. 0229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Pertseva N ; Moshenets K ;</w:t>
                  </w:r>
                </w:p>
              </w:tc>
              <w:tc>
                <w:tcPr/>
                <w:p>
                  <w:pPr>
                    <w:pStyle w:val="Compact"/>
                    <w:jc w:val="center"/>
                    <w:jc w:val="center"/>
                  </w:pPr>
                  <w:r>
                    <w:t xml:space="preserve">2023</w:t>
                  </w:r>
                </w:p>
              </w:tc>
              <w:tc>
                <w:tcPr/>
                <w:p>
                  <w:pPr>
                    <w:pStyle w:val="Compact"/>
                    <w:jc w:val="left"/>
                    <w:jc w:val="center"/>
                  </w:pPr>
                  <w:r>
                    <w:t xml:space="preserve">Definition of the relationships between ambulatory blood pressure characteristics and blood glucose levels in type 2 diabetes patients with well-controlled arterial hypertension</w:t>
                  </w:r>
                </w:p>
              </w:tc>
              <w:tc>
                <w:tcPr/>
                <w:p>
                  <w:pPr>
                    <w:pStyle w:val="Compact"/>
                    <w:jc w:val="left"/>
                    <w:jc w:val="center"/>
                  </w:pPr>
                  <w:r>
                    <w:t xml:space="preserve">Romanian Journal of Diabetes, Nutrition and Metabolic Diseases</w:t>
                  </w:r>
                </w:p>
              </w:tc>
              <w:tc>
                <w:tcPr/>
                <w:p>
                  <w:pPr>
                    <w:pStyle w:val="Compact"/>
                    <w:jc w:val="center"/>
                    <w:jc w:val="center"/>
                  </w:pPr>
                  <w:r>
                    <w:t xml:space="preserve">30</w:t>
                  </w:r>
                </w:p>
              </w:tc>
              <w:tc>
                <w:tcPr/>
                <w:p>
                  <w:pPr>
                    <w:pStyle w:val="Compact"/>
                    <w:jc w:val="center"/>
                    <w:jc w:val="center"/>
                  </w:pPr>
                  <w:r>
                    <w:t xml:space="preserve">2</w:t>
                  </w:r>
                </w:p>
              </w:tc>
              <w:tc>
                <w:tcPr/>
                <w:p>
                  <w:pPr>
                    <w:pStyle w:val="Compact"/>
                    <w:jc w:val="center"/>
                    <w:jc w:val="center"/>
                  </w:pPr>
                  <w:r>
                    <w:t xml:space="preserve">215-221</w:t>
                  </w:r>
                </w:p>
              </w:tc>
              <w:tc>
                <w:tcPr/>
                <w:p>
                  <w:pPr>
                    <w:pStyle w:val="Compact"/>
                    <w:jc w:val="left"/>
                    <w:jc w:val="center"/>
                  </w:pPr>
                  <w:r>
                    <w:t xml:space="preserve">10.463 89/ rjd-20 23-12 90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Piona Claudia ; Marigliano Marco ; Mancioppi Valentina ; Mozzillo Enza ; Occhiati Luisa ; Zanfardino Angela ; Iafusco Dario ; Maltoni Giulio ; Zucchini Stefano ; Delvecchio Maurizio ; Passanisi Stefano ; Lombardo Fortunato ; Maffeis Claudio ;</w:t>
                  </w:r>
                </w:p>
              </w:tc>
              <w:tc>
                <w:tcPr/>
                <w:p>
                  <w:pPr>
                    <w:pStyle w:val="Compact"/>
                    <w:jc w:val="center"/>
                    <w:jc w:val="center"/>
                  </w:pPr>
                  <w:r>
                    <w:t xml:space="preserve">2023</w:t>
                  </w:r>
                </w:p>
              </w:tc>
              <w:tc>
                <w:tcPr/>
                <w:p>
                  <w:pPr>
                    <w:pStyle w:val="Compact"/>
                    <w:jc w:val="left"/>
                    <w:jc w:val="center"/>
                  </w:pPr>
                  <w:r>
                    <w:t xml:space="preserve">Glycemic variability and Time in range are associated with the risk of overweight and high LDL-cholesterol in children and youths with Type 1 Diabetes.</w:t>
                  </w:r>
                </w:p>
              </w:tc>
              <w:tc>
                <w:tcPr/>
                <w:p>
                  <w:pPr>
                    <w:pStyle w:val="Compact"/>
                    <w:jc w:val="left"/>
                    <w:jc w:val="center"/>
                  </w:pPr>
                  <w:r>
                    <w:t xml:space="preserve">Hormone research in paediatrics</w:t>
                  </w:r>
                </w:p>
              </w:tc>
              <w:tc>
                <w:tcPr/>
                <w:p>
                  <w:pPr>
                    <w:pStyle w:val="Compact"/>
                  </w:pPr>
                </w:p>
              </w:tc>
              <w:tc>
                <w:tcPr/>
                <w:p>
                  <w:pPr>
                    <w:pStyle w:val="Compact"/>
                  </w:pPr>
                </w:p>
              </w:tc>
              <w:tc>
                <w:tcPr/>
                <w:p>
                  <w:pPr>
                    <w:pStyle w:val="Compact"/>
                  </w:pPr>
                </w:p>
              </w:tc>
              <w:tc>
                <w:tcPr/>
                <w:p>
                  <w:pPr>
                    <w:pStyle w:val="Compact"/>
                    <w:jc w:val="left"/>
                    <w:jc w:val="center"/>
                  </w:pPr>
                  <w:r>
                    <w:t xml:space="preserve">10.11 59/000 5355 54</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Pulkkinen Mari-Anne ; Tuomaala Anna-Kaisa ; Hero Matti ; Gordin Daniel ; Sarkola Taisto ;</w:t>
                  </w:r>
                </w:p>
              </w:tc>
              <w:tc>
                <w:tcPr/>
                <w:p>
                  <w:pPr>
                    <w:pStyle w:val="Compact"/>
                    <w:jc w:val="center"/>
                    <w:jc w:val="center"/>
                  </w:pPr>
                  <w:r>
                    <w:t xml:space="preserve">2020</w:t>
                  </w:r>
                </w:p>
              </w:tc>
              <w:tc>
                <w:tcPr/>
                <w:p>
                  <w:pPr>
                    <w:pStyle w:val="Compact"/>
                    <w:jc w:val="left"/>
                    <w:jc w:val="center"/>
                  </w:pPr>
                  <w:r>
                    <w:t xml:space="preserve">Motivational Interview to improve vascular health in Adolescents with poorly controlled type 1 Diabetes (MIAD): a randomized controlled trial.</w:t>
                  </w:r>
                </w:p>
              </w:tc>
              <w:tc>
                <w:tcPr/>
                <w:p>
                  <w:pPr>
                    <w:pStyle w:val="Compact"/>
                    <w:jc w:val="left"/>
                    <w:jc w:val="center"/>
                  </w:pPr>
                  <w:r>
                    <w:t xml:space="preserve">BMJ open diabetes research &amp; care</w:t>
                  </w:r>
                </w:p>
              </w:tc>
              <w:tc>
                <w:tcPr/>
                <w:p>
                  <w:pPr>
                    <w:pStyle w:val="Compact"/>
                    <w:jc w:val="center"/>
                    <w:jc w:val="center"/>
                  </w:pPr>
                  <w:r>
                    <w:t xml:space="preserve">8</w:t>
                  </w:r>
                </w:p>
              </w:tc>
              <w:tc>
                <w:tcPr/>
                <w:p>
                  <w:pPr>
                    <w:pStyle w:val="Compact"/>
                    <w:jc w:val="center"/>
                    <w:jc w:val="center"/>
                  </w:pPr>
                  <w:r>
                    <w:t xml:space="preserve">1</w:t>
                  </w:r>
                </w:p>
              </w:tc>
              <w:tc>
                <w:tcPr/>
                <w:p>
                  <w:pPr>
                    <w:pStyle w:val="Compact"/>
                  </w:pPr>
                </w:p>
              </w:tc>
              <w:tc>
                <w:tcPr/>
                <w:p>
                  <w:pPr>
                    <w:pStyle w:val="Compact"/>
                    <w:jc w:val="left"/>
                    <w:jc w:val="center"/>
                  </w:pPr>
                  <w:r>
                    <w:t xml:space="preserve">10.113 6/bmj drc-2 020-001 216</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Sheng Xia ; Li Ting ; Hu Yi ; Xiong Cheng-Shun ; Hu Ling ;</w:t>
                  </w:r>
                </w:p>
              </w:tc>
              <w:tc>
                <w:tcPr/>
                <w:p>
                  <w:pPr>
                    <w:pStyle w:val="Compact"/>
                    <w:jc w:val="center"/>
                    <w:jc w:val="center"/>
                  </w:pPr>
                  <w:r>
                    <w:t xml:space="preserve">2023</w:t>
                  </w:r>
                </w:p>
              </w:tc>
              <w:tc>
                <w:tcPr/>
                <w:p>
                  <w:pPr>
                    <w:pStyle w:val="Compact"/>
                    <w:jc w:val="left"/>
                    <w:jc w:val="center"/>
                  </w:pPr>
                  <w:r>
                    <w:t xml:space="preserve">Correlation Between Blood Glucose Indexes Generated by the Flash Glucose Monitoring System and Diabetic Vascular Complications.</w:t>
                  </w:r>
                </w:p>
              </w:tc>
              <w:tc>
                <w:tcPr/>
                <w:p>
                  <w:pPr>
                    <w:pStyle w:val="Compact"/>
                    <w:jc w:val="left"/>
                    <w:jc w:val="center"/>
                  </w:pPr>
                  <w:r>
                    <w:t xml:space="preserve">Diabetes, metabolic syndrome and obesity : targets and therapy</w:t>
                  </w:r>
                </w:p>
              </w:tc>
              <w:tc>
                <w:tcPr/>
                <w:p>
                  <w:pPr>
                    <w:pStyle w:val="Compact"/>
                    <w:jc w:val="center"/>
                    <w:jc w:val="center"/>
                  </w:pPr>
                  <w:r>
                    <w:t xml:space="preserve">16</w:t>
                  </w:r>
                </w:p>
              </w:tc>
              <w:tc>
                <w:tcPr/>
                <w:p>
                  <w:pPr>
                    <w:pStyle w:val="Compact"/>
                  </w:pPr>
                </w:p>
              </w:tc>
              <w:tc>
                <w:tcPr/>
                <w:p>
                  <w:pPr>
                    <w:pStyle w:val="Compact"/>
                    <w:jc w:val="center"/>
                    <w:jc w:val="center"/>
                  </w:pPr>
                  <w:r>
                    <w:t xml:space="preserve">2447-2456</w:t>
                  </w:r>
                </w:p>
              </w:tc>
              <w:tc>
                <w:tcPr/>
                <w:p>
                  <w:pPr>
                    <w:pStyle w:val="Compact"/>
                    <w:jc w:val="left"/>
                    <w:jc w:val="center"/>
                  </w:pPr>
                  <w:r>
                    <w:t xml:space="preserve">10.21 47/DMS O.S418 224</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Snell-Bergeon J K; Roman R ; Rodbard D ; Garg S ; Maahs D M; Schauer I E; Bergman B C; Kinney G L; Rewers M ;</w:t>
                  </w:r>
                </w:p>
              </w:tc>
              <w:tc>
                <w:tcPr/>
                <w:p>
                  <w:pPr>
                    <w:pStyle w:val="Compact"/>
                    <w:jc w:val="center"/>
                    <w:jc w:val="center"/>
                  </w:pPr>
                  <w:r>
                    <w:t xml:space="preserve">2010</w:t>
                  </w:r>
                </w:p>
              </w:tc>
              <w:tc>
                <w:tcPr/>
                <w:p>
                  <w:pPr>
                    <w:pStyle w:val="Compact"/>
                    <w:jc w:val="left"/>
                    <w:jc w:val="center"/>
                  </w:pPr>
                  <w:r>
                    <w:t xml:space="preserve">Glycaemic variability is associated with coronary artery calcium in men with Type 1 diabetes: the Coronary Artery Calcification in Type 1 Diabetes study.</w:t>
                  </w:r>
                </w:p>
              </w:tc>
              <w:tc>
                <w:tcPr/>
                <w:p>
                  <w:pPr>
                    <w:pStyle w:val="Compact"/>
                    <w:jc w:val="left"/>
                    <w:jc w:val="center"/>
                  </w:pPr>
                  <w:r>
                    <w:t xml:space="preserve">Diabetic medicine : a journal of the British Diabetic Association</w:t>
                  </w:r>
                </w:p>
              </w:tc>
              <w:tc>
                <w:tcPr/>
                <w:p>
                  <w:pPr>
                    <w:pStyle w:val="Compact"/>
                    <w:jc w:val="center"/>
                    <w:jc w:val="center"/>
                  </w:pPr>
                  <w:r>
                    <w:t xml:space="preserve">27</w:t>
                  </w:r>
                </w:p>
              </w:tc>
              <w:tc>
                <w:tcPr/>
                <w:p>
                  <w:pPr>
                    <w:pStyle w:val="Compact"/>
                    <w:jc w:val="center"/>
                    <w:jc w:val="center"/>
                  </w:pPr>
                  <w:r>
                    <w:t xml:space="preserve">12</w:t>
                  </w:r>
                </w:p>
              </w:tc>
              <w:tc>
                <w:tcPr/>
                <w:p>
                  <w:pPr>
                    <w:pStyle w:val="Compact"/>
                    <w:jc w:val="center"/>
                    <w:jc w:val="center"/>
                  </w:pPr>
                  <w:r>
                    <w:t xml:space="preserve">1436-42</w:t>
                  </w:r>
                </w:p>
              </w:tc>
              <w:tc>
                <w:tcPr/>
                <w:p>
                  <w:pPr>
                    <w:pStyle w:val="Compact"/>
                    <w:jc w:val="left"/>
                    <w:jc w:val="center"/>
                  </w:pPr>
                  <w:r>
                    <w:t xml:space="preserve">10.111 1/j.146 4-549 1.201 0.031 27.x</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Su Gong ; Mi Shuhua ; Tao Hong ; Li Zhao ; Yang Hongxia ; Zheng Hong ; Zhou Yun ; Ma Changsheng ;</w:t>
                  </w:r>
                </w:p>
              </w:tc>
              <w:tc>
                <w:tcPr/>
                <w:p>
                  <w:pPr>
                    <w:pStyle w:val="Compact"/>
                    <w:jc w:val="center"/>
                    <w:jc w:val="center"/>
                  </w:pPr>
                  <w:r>
                    <w:t xml:space="preserve">2011</w:t>
                  </w:r>
                </w:p>
              </w:tc>
              <w:tc>
                <w:tcPr/>
                <w:p>
                  <w:pPr>
                    <w:pStyle w:val="Compact"/>
                    <w:jc w:val="left"/>
                    <w:jc w:val="center"/>
                  </w:pPr>
                  <w:r>
                    <w:t xml:space="preserve">Association of glycemic variability and the presence and severity of coronary artery disease in patients with type 2 diabetes.</w:t>
                  </w:r>
                </w:p>
              </w:tc>
              <w:tc>
                <w:tcPr/>
                <w:p>
                  <w:pPr>
                    <w:pStyle w:val="Compact"/>
                    <w:jc w:val="left"/>
                    <w:jc w:val="center"/>
                  </w:pPr>
                  <w:r>
                    <w:t xml:space="preserve">Cardiovascular diabetology</w:t>
                  </w:r>
                </w:p>
              </w:tc>
              <w:tc>
                <w:tcPr/>
                <w:p>
                  <w:pPr>
                    <w:pStyle w:val="Compact"/>
                    <w:jc w:val="center"/>
                    <w:jc w:val="center"/>
                  </w:pPr>
                  <w:r>
                    <w:t xml:space="preserve">10</w:t>
                  </w:r>
                </w:p>
              </w:tc>
              <w:tc>
                <w:tcPr/>
                <w:p>
                  <w:pPr>
                    <w:pStyle w:val="Compact"/>
                  </w:pPr>
                </w:p>
              </w:tc>
              <w:tc>
                <w:tcPr/>
                <w:p>
                  <w:pPr>
                    <w:pStyle w:val="Compact"/>
                    <w:jc w:val="center"/>
                    <w:jc w:val="center"/>
                  </w:pPr>
                  <w:r>
                    <w:t xml:space="preserve">19</w:t>
                  </w:r>
                </w:p>
              </w:tc>
              <w:tc>
                <w:tcPr/>
                <w:p>
                  <w:pPr>
                    <w:pStyle w:val="Compact"/>
                    <w:jc w:val="left"/>
                    <w:jc w:val="center"/>
                  </w:pPr>
                  <w:r>
                    <w:t xml:space="preserve">10.11 86/14 75-2 840-10 -19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Taya Naohiro ; Katakami Naoto ; Mita Tomoya ; Okada Yosuke ; Wakasugi Satomi ; Yoshii Hidenori ; Shiraiwa Toshihiko ; Otsuka Akihito ; Umayahara Yutaka ; Ryomoto Kayoko ; Hatazaki Masahiro ; Yasuda Tetsuyuki ; Yamamoto Tsunehiko ; Gosho Masahiko ; Shimomura Iichiro ; Watada Hirotaka ;</w:t>
                  </w:r>
                </w:p>
              </w:tc>
              <w:tc>
                <w:tcPr/>
                <w:p>
                  <w:pPr>
                    <w:pStyle w:val="Compact"/>
                    <w:jc w:val="center"/>
                    <w:jc w:val="center"/>
                  </w:pPr>
                  <w:r>
                    <w:t xml:space="preserve">2021</w:t>
                  </w:r>
                </w:p>
              </w:tc>
              <w:tc>
                <w:tcPr/>
                <w:p>
                  <w:pPr>
                    <w:pStyle w:val="Compact"/>
                    <w:jc w:val="left"/>
                    <w:jc w:val="center"/>
                  </w:pPr>
                  <w:r>
                    <w:t xml:space="preserve">Associations of continuous glucose monitoring-assessed glucose variability with intima-media thickness and ultrasonic tissue characteristics of the carotid arteries: a cross-sectional analysis in patients with type 2 diabetes.</w:t>
                  </w:r>
                </w:p>
              </w:tc>
              <w:tc>
                <w:tcPr/>
                <w:p>
                  <w:pPr>
                    <w:pStyle w:val="Compact"/>
                    <w:jc w:val="left"/>
                    <w:jc w:val="center"/>
                  </w:pPr>
                  <w:r>
                    <w:t xml:space="preserve">Cardiovascular diabetology</w:t>
                  </w:r>
                </w:p>
              </w:tc>
              <w:tc>
                <w:tcPr/>
                <w:p>
                  <w:pPr>
                    <w:pStyle w:val="Compact"/>
                    <w:jc w:val="center"/>
                    <w:jc w:val="center"/>
                  </w:pPr>
                  <w:r>
                    <w:t xml:space="preserve">20</w:t>
                  </w:r>
                </w:p>
              </w:tc>
              <w:tc>
                <w:tcPr/>
                <w:p>
                  <w:pPr>
                    <w:pStyle w:val="Compact"/>
                    <w:jc w:val="center"/>
                    <w:jc w:val="center"/>
                  </w:pPr>
                  <w:r>
                    <w:t xml:space="preserve">1</w:t>
                  </w:r>
                </w:p>
              </w:tc>
              <w:tc>
                <w:tcPr/>
                <w:p>
                  <w:pPr>
                    <w:pStyle w:val="Compact"/>
                    <w:jc w:val="center"/>
                    <w:jc w:val="center"/>
                  </w:pPr>
                  <w:r>
                    <w:t xml:space="preserve">95</w:t>
                  </w:r>
                </w:p>
              </w:tc>
              <w:tc>
                <w:tcPr/>
                <w:p>
                  <w:pPr>
                    <w:pStyle w:val="Compact"/>
                    <w:jc w:val="left"/>
                    <w:jc w:val="center"/>
                  </w:pPr>
                  <w:r>
                    <w:t xml:space="preserve">10.11 86/s1 2933- 021- 0128 8-5</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Torimoto Keiichi ; Okada Yosuke ; Mita Tomoya ; Tanaka Kenichi ; Sato Fumiya ; Katakami Naoto ; Yoshii Hidenori ; Nishida Keiko ; Tanaka Yoshiya ; Ishii Ryota ; Gosho Masahiko ; Shimomura Iichiro ; Watada Hirotaka ;</w:t>
                  </w:r>
                </w:p>
              </w:tc>
              <w:tc>
                <w:tcPr/>
                <w:p>
                  <w:pPr>
                    <w:pStyle w:val="Compact"/>
                    <w:jc w:val="center"/>
                    <w:jc w:val="center"/>
                  </w:pPr>
                  <w:r>
                    <w:t xml:space="preserve">2025</w:t>
                  </w:r>
                </w:p>
              </w:tc>
              <w:tc>
                <w:tcPr/>
                <w:p>
                  <w:pPr>
                    <w:pStyle w:val="Compact"/>
                    <w:jc w:val="left"/>
                    <w:jc w:val="center"/>
                  </w:pPr>
                  <w:r>
                    <w:t xml:space="preserve">Association of Glycaemia Risk Index With Indices of Atherosclerosis: A Cross-Sectional Study.</w:t>
                  </w:r>
                </w:p>
              </w:tc>
              <w:tc>
                <w:tcPr/>
                <w:p>
                  <w:pPr>
                    <w:pStyle w:val="Compact"/>
                    <w:jc w:val="left"/>
                    <w:jc w:val="center"/>
                  </w:pPr>
                  <w:r>
                    <w:t xml:space="preserve">Journal of diabetes</w:t>
                  </w:r>
                </w:p>
              </w:tc>
              <w:tc>
                <w:tcPr/>
                <w:p>
                  <w:pPr>
                    <w:pStyle w:val="Compact"/>
                    <w:jc w:val="center"/>
                    <w:jc w:val="center"/>
                  </w:pPr>
                  <w:r>
                    <w:t xml:space="preserve">17</w:t>
                  </w:r>
                </w:p>
              </w:tc>
              <w:tc>
                <w:tcPr/>
                <w:p>
                  <w:pPr>
                    <w:pStyle w:val="Compact"/>
                    <w:jc w:val="center"/>
                    <w:jc w:val="center"/>
                  </w:pPr>
                  <w:r>
                    <w:t xml:space="preserve">3</w:t>
                  </w:r>
                </w:p>
              </w:tc>
              <w:tc>
                <w:tcPr/>
                <w:p>
                  <w:pPr>
                    <w:pStyle w:val="Compact"/>
                    <w:jc w:val="center"/>
                    <w:jc w:val="center"/>
                  </w:pPr>
                  <w:r>
                    <w:t xml:space="preserve">e70065</w:t>
                  </w:r>
                </w:p>
              </w:tc>
              <w:tc>
                <w:tcPr/>
                <w:p>
                  <w:pPr>
                    <w:pStyle w:val="Compact"/>
                    <w:jc w:val="left"/>
                    <w:jc w:val="center"/>
                  </w:pPr>
                  <w:r>
                    <w:t xml:space="preserve">10.1111/ 1753- 0407. 70065</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Wakasugi Satomi ; Mita Tomoya ; Katakami Naoto ; Okada Yosuke ; Yoshii Hidenori ; Osonoi Takeshi ; Kuribayashi Nobuichi ; Taneda Yoshinobu ; Kojima Yuichi ; Gosho Masahiko ; Shimomura Iichiro ; Watada Hirotaka ;</w:t>
                  </w:r>
                </w:p>
              </w:tc>
              <w:tc>
                <w:tcPr/>
                <w:p>
                  <w:pPr>
                    <w:pStyle w:val="Compact"/>
                    <w:jc w:val="center"/>
                    <w:jc w:val="center"/>
                  </w:pPr>
                  <w:r>
                    <w:t xml:space="preserve">2021</w:t>
                  </w:r>
                </w:p>
              </w:tc>
              <w:tc>
                <w:tcPr/>
                <w:p>
                  <w:pPr>
                    <w:pStyle w:val="Compact"/>
                    <w:jc w:val="left"/>
                    <w:jc w:val="center"/>
                  </w:pPr>
                  <w:r>
                    <w:t xml:space="preserve">Associations between continuous glucose monitoring-derived metrics and arterial stiffness in Japanese patients with type 2 diabetes.</w:t>
                  </w:r>
                </w:p>
              </w:tc>
              <w:tc>
                <w:tcPr/>
                <w:p>
                  <w:pPr>
                    <w:pStyle w:val="Compact"/>
                    <w:jc w:val="left"/>
                    <w:jc w:val="center"/>
                  </w:pPr>
                  <w:r>
                    <w:t xml:space="preserve">Cardiovascular diabetology</w:t>
                  </w:r>
                </w:p>
              </w:tc>
              <w:tc>
                <w:tcPr/>
                <w:p>
                  <w:pPr>
                    <w:pStyle w:val="Compact"/>
                    <w:jc w:val="center"/>
                    <w:jc w:val="center"/>
                  </w:pPr>
                  <w:r>
                    <w:t xml:space="preserve">20</w:t>
                  </w:r>
                </w:p>
              </w:tc>
              <w:tc>
                <w:tcPr/>
                <w:p>
                  <w:pPr>
                    <w:pStyle w:val="Compact"/>
                    <w:jc w:val="center"/>
                    <w:jc w:val="center"/>
                  </w:pPr>
                  <w:r>
                    <w:t xml:space="preserve">1</w:t>
                  </w:r>
                </w:p>
              </w:tc>
              <w:tc>
                <w:tcPr/>
                <w:p>
                  <w:pPr>
                    <w:pStyle w:val="Compact"/>
                    <w:jc w:val="center"/>
                    <w:jc w:val="center"/>
                  </w:pPr>
                  <w:r>
                    <w:t xml:space="preserve">15</w:t>
                  </w:r>
                </w:p>
              </w:tc>
              <w:tc>
                <w:tcPr/>
                <w:p>
                  <w:pPr>
                    <w:pStyle w:val="Compact"/>
                    <w:jc w:val="left"/>
                    <w:jc w:val="center"/>
                  </w:pPr>
                  <w:r>
                    <w:t xml:space="preserve">10.118 6/s129 33-020- 011 94-2</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Watanabe Makoto ; Kawai Yasuyuki ; Kitayama Michihiko ; Akao Hironubu ; Motoyama Atsushi ; Wakasa Minoru ; Saito Ryuhei ; Aoki Hirofumi ; Fujibayashi Kousuke ; Tsuchiya Taketsugu ; Nakanishi Hiroaki ; Saito Kazuyuki ; Takeuchi Masayoshi ; Kajinami Kouji ;</w:t>
                  </w:r>
                </w:p>
              </w:tc>
              <w:tc>
                <w:tcPr/>
                <w:p>
                  <w:pPr>
                    <w:pStyle w:val="Compact"/>
                    <w:jc w:val="center"/>
                    <w:jc w:val="center"/>
                  </w:pPr>
                  <w:r>
                    <w:t xml:space="preserve">2017</w:t>
                  </w:r>
                </w:p>
              </w:tc>
              <w:tc>
                <w:tcPr/>
                <w:p>
                  <w:pPr>
                    <w:pStyle w:val="Compact"/>
                    <w:jc w:val="left"/>
                    <w:jc w:val="center"/>
                  </w:pPr>
                  <w:r>
                    <w:t xml:space="preserve">Diurnal glycemic fluctuation is associated with severity of coronary artery disease in prediabetic patients: Possible role of nitrotyrosine and glyceraldehyde-derived advanced glycation end products.</w:t>
                  </w:r>
                </w:p>
              </w:tc>
              <w:tc>
                <w:tcPr/>
                <w:p>
                  <w:pPr>
                    <w:pStyle w:val="Compact"/>
                    <w:jc w:val="left"/>
                    <w:jc w:val="center"/>
                  </w:pPr>
                  <w:r>
                    <w:t xml:space="preserve">Journal of cardiology</w:t>
                  </w:r>
                </w:p>
              </w:tc>
              <w:tc>
                <w:tcPr/>
                <w:p>
                  <w:pPr>
                    <w:pStyle w:val="Compact"/>
                    <w:jc w:val="center"/>
                    <w:jc w:val="center"/>
                  </w:pPr>
                  <w:r>
                    <w:t xml:space="preserve">69</w:t>
                  </w:r>
                </w:p>
              </w:tc>
              <w:tc>
                <w:tcPr/>
                <w:p>
                  <w:pPr>
                    <w:pStyle w:val="Compact"/>
                    <w:jc w:val="center"/>
                    <w:jc w:val="center"/>
                  </w:pPr>
                  <w:r>
                    <w:t xml:space="preserve">4</w:t>
                  </w:r>
                </w:p>
              </w:tc>
              <w:tc>
                <w:tcPr/>
                <w:p>
                  <w:pPr>
                    <w:pStyle w:val="Compact"/>
                    <w:jc w:val="center"/>
                    <w:jc w:val="center"/>
                  </w:pPr>
                  <w:r>
                    <w:t xml:space="preserve">625-631</w:t>
                  </w:r>
                </w:p>
              </w:tc>
              <w:tc>
                <w:tcPr/>
                <w:p>
                  <w:pPr>
                    <w:pStyle w:val="Compact"/>
                    <w:jc w:val="left"/>
                    <w:jc w:val="center"/>
                  </w:pPr>
                  <w:r>
                    <w:t xml:space="preserve">10.101 6/j.j jcc.2 016.07. 001</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Wei Wei ; Zhao Shi ; Fu Sha-Li ; Yi Lan ; Mao Hong ; Tan Qin ; Xu Pan ; Yang Guo-Liang ;</w:t>
                  </w:r>
                </w:p>
              </w:tc>
              <w:tc>
                <w:tcPr/>
                <w:p>
                  <w:pPr>
                    <w:pStyle w:val="Compact"/>
                    <w:jc w:val="center"/>
                    <w:jc w:val="center"/>
                  </w:pPr>
                  <w:r>
                    <w:t xml:space="preserve">2019</w:t>
                  </w:r>
                </w:p>
              </w:tc>
              <w:tc>
                <w:tcPr/>
                <w:p>
                  <w:pPr>
                    <w:pStyle w:val="Compact"/>
                    <w:jc w:val="left"/>
                    <w:jc w:val="center"/>
                  </w:pPr>
                  <w:r>
                    <w:t xml:space="preserve">The Association of Hypoglycemia Assessed by Continuous Glucose Monitoring With Cardiovascular Outcomes and Mortality in Patients With Type 2 Diabetes.</w:t>
                  </w:r>
                </w:p>
              </w:tc>
              <w:tc>
                <w:tcPr/>
                <w:p>
                  <w:pPr>
                    <w:pStyle w:val="Compact"/>
                    <w:jc w:val="left"/>
                    <w:jc w:val="center"/>
                  </w:pPr>
                  <w:r>
                    <w:t xml:space="preserve">Frontiers in endocrinology</w:t>
                  </w:r>
                </w:p>
              </w:tc>
              <w:tc>
                <w:tcPr/>
                <w:p>
                  <w:pPr>
                    <w:pStyle w:val="Compact"/>
                    <w:jc w:val="center"/>
                    <w:jc w:val="center"/>
                  </w:pPr>
                  <w:r>
                    <w:t xml:space="preserve">10</w:t>
                  </w:r>
                </w:p>
              </w:tc>
              <w:tc>
                <w:tcPr/>
                <w:p>
                  <w:pPr>
                    <w:pStyle w:val="Compact"/>
                  </w:pPr>
                </w:p>
              </w:tc>
              <w:tc>
                <w:tcPr/>
                <w:p>
                  <w:pPr>
                    <w:pStyle w:val="Compact"/>
                    <w:jc w:val="center"/>
                    <w:jc w:val="center"/>
                  </w:pPr>
                  <w:r>
                    <w:t xml:space="preserve">536</w:t>
                  </w:r>
                </w:p>
              </w:tc>
              <w:tc>
                <w:tcPr/>
                <w:p>
                  <w:pPr>
                    <w:pStyle w:val="Compact"/>
                    <w:jc w:val="left"/>
                    <w:jc w:val="center"/>
                  </w:pPr>
                  <w:r>
                    <w:t xml:space="preserve">10.33 89/fe ndo.2 019.00 536</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Wei Yinghua ; Liu Chunyan ; Liu Yanyu ; Zhang Zhen ; Feng Zhouqin ; Yang Xinyi ; Liu Juan ; Lei Haiyan ; Zhou Hui ; Shen Qiuyue ; Lu Bin ; Gu Ping ; Shao Jiaqing ;</w:t>
                  </w:r>
                </w:p>
              </w:tc>
              <w:tc>
                <w:tcPr/>
                <w:p>
                  <w:pPr>
                    <w:pStyle w:val="Compact"/>
                    <w:jc w:val="center"/>
                    <w:jc w:val="center"/>
                  </w:pPr>
                  <w:r>
                    <w:t xml:space="preserve">2022</w:t>
                  </w:r>
                </w:p>
              </w:tc>
              <w:tc>
                <w:tcPr/>
                <w:p>
                  <w:pPr>
                    <w:pStyle w:val="Compact"/>
                    <w:jc w:val="left"/>
                    <w:jc w:val="center"/>
                  </w:pPr>
                  <w:r>
                    <w:t xml:space="preserve">The association between time in the glucose target range and abnormal ankle-brachial index: a cross-sectional analysis.</w:t>
                  </w:r>
                </w:p>
              </w:tc>
              <w:tc>
                <w:tcPr/>
                <w:p>
                  <w:pPr>
                    <w:pStyle w:val="Compact"/>
                    <w:jc w:val="left"/>
                    <w:jc w:val="center"/>
                  </w:pPr>
                  <w:r>
                    <w:t xml:space="preserve">Cardiovascular diabetology</w:t>
                  </w:r>
                </w:p>
              </w:tc>
              <w:tc>
                <w:tcPr/>
                <w:p>
                  <w:pPr>
                    <w:pStyle w:val="Compact"/>
                    <w:jc w:val="center"/>
                    <w:jc w:val="center"/>
                  </w:pPr>
                  <w:r>
                    <w:t xml:space="preserve">21</w:t>
                  </w:r>
                </w:p>
              </w:tc>
              <w:tc>
                <w:tcPr/>
                <w:p>
                  <w:pPr>
                    <w:pStyle w:val="Compact"/>
                    <w:jc w:val="center"/>
                    <w:jc w:val="center"/>
                  </w:pPr>
                  <w:r>
                    <w:t xml:space="preserve">1</w:t>
                  </w:r>
                </w:p>
              </w:tc>
              <w:tc>
                <w:tcPr/>
                <w:p>
                  <w:pPr>
                    <w:pStyle w:val="Compact"/>
                    <w:jc w:val="center"/>
                    <w:jc w:val="center"/>
                  </w:pPr>
                  <w:r>
                    <w:t xml:space="preserve">281</w:t>
                  </w:r>
                </w:p>
              </w:tc>
              <w:tc>
                <w:tcPr/>
                <w:p>
                  <w:pPr>
                    <w:pStyle w:val="Compact"/>
                    <w:jc w:val="left"/>
                    <w:jc w:val="center"/>
                  </w:pPr>
                  <w:r>
                    <w:t xml:space="preserve">10.1186/s12 933-022 -0171 8-y</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Yano Yuichiro ; Hayakawa Manabu ; Kuroki Kazuo ; Ueno Hiroaki ; Yamagishi Sho-ichi ; Takeuchi Masayoshi ; Eto Takuma ; Nagata Naoto ; Nakazato Masamitsu ; Shimada Kazuyuki ; Kario Kazuomi ;</w:t>
                  </w:r>
                </w:p>
              </w:tc>
              <w:tc>
                <w:tcPr/>
                <w:p>
                  <w:pPr>
                    <w:pStyle w:val="Compact"/>
                    <w:jc w:val="center"/>
                    <w:jc w:val="center"/>
                  </w:pPr>
                  <w:r>
                    <w:t xml:space="preserve">2013</w:t>
                  </w:r>
                </w:p>
              </w:tc>
              <w:tc>
                <w:tcPr/>
                <w:p>
                  <w:pPr>
                    <w:pStyle w:val="Compact"/>
                    <w:jc w:val="left"/>
                    <w:jc w:val="center"/>
                  </w:pPr>
                  <w:r>
                    <w:t xml:space="preserve">Nighttime blood pressure, nighttime glucose values, and target-organ damages in treated type 2 diabetes patients.</w:t>
                  </w:r>
                </w:p>
              </w:tc>
              <w:tc>
                <w:tcPr/>
                <w:p>
                  <w:pPr>
                    <w:pStyle w:val="Compact"/>
                    <w:jc w:val="left"/>
                    <w:jc w:val="center"/>
                  </w:pPr>
                  <w:r>
                    <w:t xml:space="preserve">Atherosclerosis</w:t>
                  </w:r>
                </w:p>
              </w:tc>
              <w:tc>
                <w:tcPr/>
                <w:p>
                  <w:pPr>
                    <w:pStyle w:val="Compact"/>
                    <w:jc w:val="center"/>
                    <w:jc w:val="center"/>
                  </w:pPr>
                  <w:r>
                    <w:t xml:space="preserve">227</w:t>
                  </w:r>
                </w:p>
              </w:tc>
              <w:tc>
                <w:tcPr/>
                <w:p>
                  <w:pPr>
                    <w:pStyle w:val="Compact"/>
                    <w:jc w:val="center"/>
                    <w:jc w:val="center"/>
                  </w:pPr>
                  <w:r>
                    <w:t xml:space="preserve">1</w:t>
                  </w:r>
                </w:p>
              </w:tc>
              <w:tc>
                <w:tcPr/>
                <w:p>
                  <w:pPr>
                    <w:pStyle w:val="Compact"/>
                    <w:jc w:val="center"/>
                    <w:jc w:val="center"/>
                  </w:pPr>
                  <w:r>
                    <w:t xml:space="preserve">135-9</w:t>
                  </w:r>
                </w:p>
              </w:tc>
              <w:tc>
                <w:tcPr/>
                <w:p>
                  <w:pPr>
                    <w:pStyle w:val="Compact"/>
                    <w:jc w:val="left"/>
                    <w:jc w:val="center"/>
                  </w:pPr>
                  <w:r>
                    <w:t xml:space="preserve">10.10 16/j. athe roscl erosis. 2012.12. 006</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Yokota Shun ; Tanaka Hidekazu ; Mochizuki Yasuhide ; Soga Fumitaka ; Yamashita Kentaro ; Tanaka Yusuke ; Shono Ayu ; Suzuki Makiko ; Sumimoto Keiko ; Mukai Jun ; Suto Makiko ; Takada Hiroki ; Matsumoto Kensuke ; Hirota Yushi ; Ogawa Wataru ; Hirata Ken-Ichi ;</w:t>
                  </w:r>
                </w:p>
              </w:tc>
              <w:tc>
                <w:tcPr/>
                <w:p>
                  <w:pPr>
                    <w:pStyle w:val="Compact"/>
                    <w:jc w:val="center"/>
                    <w:jc w:val="center"/>
                  </w:pPr>
                  <w:r>
                    <w:t xml:space="preserve">2019</w:t>
                  </w:r>
                </w:p>
              </w:tc>
              <w:tc>
                <w:tcPr/>
                <w:p>
                  <w:pPr>
                    <w:pStyle w:val="Compact"/>
                    <w:jc w:val="left"/>
                    <w:jc w:val="center"/>
                  </w:pPr>
                  <w:r>
                    <w:t xml:space="preserve">Association of glycemic variability with left ventricular diastolic function in type 2 diabetes mellitus.</w:t>
                  </w:r>
                </w:p>
              </w:tc>
              <w:tc>
                <w:tcPr/>
                <w:p>
                  <w:pPr>
                    <w:pStyle w:val="Compact"/>
                    <w:jc w:val="left"/>
                    <w:jc w:val="center"/>
                  </w:pPr>
                  <w:r>
                    <w:t xml:space="preserve">Cardiovascular diabetology</w:t>
                  </w:r>
                </w:p>
              </w:tc>
              <w:tc>
                <w:tcPr/>
                <w:p>
                  <w:pPr>
                    <w:pStyle w:val="Compact"/>
                    <w:jc w:val="center"/>
                    <w:jc w:val="center"/>
                  </w:pPr>
                  <w:r>
                    <w:t xml:space="preserve">18</w:t>
                  </w:r>
                </w:p>
              </w:tc>
              <w:tc>
                <w:tcPr/>
                <w:p>
                  <w:pPr>
                    <w:pStyle w:val="Compact"/>
                    <w:jc w:val="center"/>
                    <w:jc w:val="center"/>
                  </w:pPr>
                  <w:r>
                    <w:t xml:space="preserve">1</w:t>
                  </w:r>
                </w:p>
              </w:tc>
              <w:tc>
                <w:tcPr/>
                <w:p>
                  <w:pPr>
                    <w:pStyle w:val="Compact"/>
                    <w:jc w:val="center"/>
                    <w:jc w:val="center"/>
                  </w:pPr>
                  <w:r>
                    <w:t xml:space="preserve">166</w:t>
                  </w:r>
                </w:p>
              </w:tc>
              <w:tc>
                <w:tcPr/>
                <w:p>
                  <w:pPr>
                    <w:pStyle w:val="Compact"/>
                    <w:jc w:val="left"/>
                    <w:jc w:val="center"/>
                  </w:pPr>
                  <w:r>
                    <w:t xml:space="preserve">10.11 86/s12 933-01 9-0971 -5</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Zhang Xingguang ; Xu Xiuping ; Jiao Xiumin ; Wu Jinxiao ; Zhou Shujing ; Lv Xiaofeng ;</w:t>
                  </w:r>
                </w:p>
              </w:tc>
              <w:tc>
                <w:tcPr/>
                <w:p>
                  <w:pPr>
                    <w:pStyle w:val="Compact"/>
                    <w:jc w:val="center"/>
                    <w:jc w:val="center"/>
                  </w:pPr>
                  <w:r>
                    <w:t xml:space="preserve">2013</w:t>
                  </w:r>
                </w:p>
              </w:tc>
              <w:tc>
                <w:tcPr/>
                <w:p>
                  <w:pPr>
                    <w:pStyle w:val="Compact"/>
                    <w:jc w:val="left"/>
                    <w:jc w:val="center"/>
                  </w:pPr>
                  <w:r>
                    <w:t xml:space="preserve">The effects of glucose fluctuation on the severity of coronary artery disease in type 2 diabetes mellitus.</w:t>
                  </w:r>
                </w:p>
              </w:tc>
              <w:tc>
                <w:tcPr/>
                <w:p>
                  <w:pPr>
                    <w:pStyle w:val="Compact"/>
                    <w:jc w:val="left"/>
                    <w:jc w:val="center"/>
                  </w:pPr>
                  <w:r>
                    <w:t xml:space="preserve">Journal of diabetes research</w:t>
                  </w:r>
                </w:p>
              </w:tc>
              <w:tc>
                <w:tcPr/>
                <w:p>
                  <w:pPr>
                    <w:pStyle w:val="Compact"/>
                    <w:jc w:val="center"/>
                    <w:jc w:val="center"/>
                  </w:pPr>
                  <w:r>
                    <w:t xml:space="preserve">2013</w:t>
                  </w:r>
                </w:p>
              </w:tc>
              <w:tc>
                <w:tcPr/>
                <w:p>
                  <w:pPr>
                    <w:pStyle w:val="Compact"/>
                  </w:pPr>
                </w:p>
              </w:tc>
              <w:tc>
                <w:tcPr/>
                <w:p>
                  <w:pPr>
                    <w:pStyle w:val="Compact"/>
                    <w:jc w:val="center"/>
                    <w:jc w:val="center"/>
                  </w:pPr>
                  <w:r>
                    <w:t xml:space="preserve">576916</w:t>
                  </w:r>
                </w:p>
              </w:tc>
              <w:tc>
                <w:tcPr/>
                <w:p>
                  <w:pPr>
                    <w:pStyle w:val="Compact"/>
                    <w:jc w:val="left"/>
                    <w:jc w:val="center"/>
                  </w:pPr>
                  <w:r>
                    <w:t xml:space="preserve">10.11 55/201 3/576 916</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Zhang X-G ; Zhang Y-Q ; Zhao D-K ; Wu J-X ; Zhao J ; Jiao X-M ; Chen B ; Lv X-F ;</w:t>
                  </w:r>
                </w:p>
              </w:tc>
              <w:tc>
                <w:tcPr/>
                <w:p>
                  <w:pPr>
                    <w:pStyle w:val="Compact"/>
                    <w:jc w:val="center"/>
                    <w:jc w:val="center"/>
                  </w:pPr>
                  <w:r>
                    <w:t xml:space="preserve">2014</w:t>
                  </w:r>
                </w:p>
              </w:tc>
              <w:tc>
                <w:tcPr/>
                <w:p>
                  <w:pPr>
                    <w:pStyle w:val="Compact"/>
                    <w:jc w:val="left"/>
                    <w:jc w:val="center"/>
                  </w:pPr>
                  <w:r>
                    <w:t xml:space="preserve">Relationship between blood glucose fluctuation and macrovascular endothelial dysfunction in type 2 diabetic patients with coronary heart disease.</w:t>
                  </w:r>
                </w:p>
              </w:tc>
              <w:tc>
                <w:tcPr/>
                <w:p>
                  <w:pPr>
                    <w:pStyle w:val="Compact"/>
                    <w:jc w:val="left"/>
                    <w:jc w:val="center"/>
                  </w:pPr>
                  <w:r>
                    <w:t xml:space="preserve">European review for medical and pharmacological sciences</w:t>
                  </w:r>
                </w:p>
              </w:tc>
              <w:tc>
                <w:tcPr/>
                <w:p>
                  <w:pPr>
                    <w:pStyle w:val="Compact"/>
                    <w:jc w:val="center"/>
                    <w:jc w:val="center"/>
                  </w:pPr>
                  <w:r>
                    <w:t xml:space="preserve">18</w:t>
                  </w:r>
                </w:p>
              </w:tc>
              <w:tc>
                <w:tcPr/>
                <w:p>
                  <w:pPr>
                    <w:pStyle w:val="Compact"/>
                    <w:jc w:val="center"/>
                    <w:jc w:val="center"/>
                  </w:pPr>
                  <w:r>
                    <w:t xml:space="preserve">23</w:t>
                  </w:r>
                </w:p>
              </w:tc>
              <w:tc>
                <w:tcPr/>
                <w:p>
                  <w:pPr>
                    <w:pStyle w:val="Compact"/>
                    <w:jc w:val="center"/>
                    <w:jc w:val="center"/>
                  </w:pPr>
                  <w:r>
                    <w:t xml:space="preserve">3593-600</w:t>
                  </w:r>
                </w:p>
              </w:tc>
              <w:tc>
                <w:tcPr/>
                <w:p>
                  <w:pPr>
                    <w:pStyle w:val="Compact"/>
                    <w:jc w:val="left"/>
                    <w:jc w:val="center"/>
                  </w:pPr>
                  <w:r>
                    <w:t xml:space="preserve">https:// www.europe anreview .org/wp /wp-conte nt/uplo ads/3593- 3600.pdf</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Zhang Chuangbiao ; Tang Meili ; Lu Xiaohua ; Zhou Yan ; Zhao Wane ; Liu Yu ; Liu Yan ; Guo Xiujie ;</w:t>
                  </w:r>
                </w:p>
              </w:tc>
              <w:tc>
                <w:tcPr/>
                <w:p>
                  <w:pPr>
                    <w:pStyle w:val="Compact"/>
                    <w:jc w:val="center"/>
                    <w:jc w:val="center"/>
                  </w:pPr>
                  <w:r>
                    <w:t xml:space="preserve">2020</w:t>
                  </w:r>
                </w:p>
              </w:tc>
              <w:tc>
                <w:tcPr/>
                <w:p>
                  <w:pPr>
                    <w:pStyle w:val="Compact"/>
                    <w:jc w:val="left"/>
                    <w:jc w:val="center"/>
                  </w:pPr>
                  <w:r>
                    <w:t xml:space="preserve">Relationship of ankle-brachial index, vibration perception threshold, and current perception threshold to glycemic variability in type 2 diabetes.</w:t>
                  </w:r>
                </w:p>
              </w:tc>
              <w:tc>
                <w:tcPr/>
                <w:p>
                  <w:pPr>
                    <w:pStyle w:val="Compact"/>
                    <w:jc w:val="left"/>
                    <w:jc w:val="center"/>
                  </w:pPr>
                  <w:r>
                    <w:t xml:space="preserve">Medicine</w:t>
                  </w:r>
                </w:p>
              </w:tc>
              <w:tc>
                <w:tcPr/>
                <w:p>
                  <w:pPr>
                    <w:pStyle w:val="Compact"/>
                    <w:jc w:val="center"/>
                    <w:jc w:val="center"/>
                  </w:pPr>
                  <w:r>
                    <w:t xml:space="preserve">99</w:t>
                  </w:r>
                </w:p>
              </w:tc>
              <w:tc>
                <w:tcPr/>
                <w:p>
                  <w:pPr>
                    <w:pStyle w:val="Compact"/>
                    <w:jc w:val="center"/>
                    <w:jc w:val="center"/>
                  </w:pPr>
                  <w:r>
                    <w:t xml:space="preserve">12</w:t>
                  </w:r>
                </w:p>
              </w:tc>
              <w:tc>
                <w:tcPr/>
                <w:p>
                  <w:pPr>
                    <w:pStyle w:val="Compact"/>
                    <w:jc w:val="center"/>
                    <w:jc w:val="center"/>
                  </w:pPr>
                  <w:r>
                    <w:t xml:space="preserve">e19374</w:t>
                  </w:r>
                </w:p>
              </w:tc>
              <w:tc>
                <w:tcPr/>
                <w:p>
                  <w:pPr>
                    <w:pStyle w:val="Compact"/>
                    <w:jc w:val="left"/>
                    <w:jc w:val="center"/>
                  </w:pPr>
                  <w:r>
                    <w:t xml:space="preserve">10.1 097/M D.0000 00000 0019374</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Zhou Hui ; Wang Wei ; Shen Qiuyue ; Feng Zhouqin ; Zhang Zhen ; Lei Haiyan ; Yang Xinyi ; Liu Jun ; Lu Bin ; Shao Jiaqing ; Gu Ping ;</w:t>
                  </w:r>
                </w:p>
              </w:tc>
              <w:tc>
                <w:tcPr/>
                <w:p>
                  <w:pPr>
                    <w:pStyle w:val="Compact"/>
                    <w:jc w:val="center"/>
                    <w:jc w:val="center"/>
                  </w:pPr>
                  <w:r>
                    <w:t xml:space="preserve">2022</w:t>
                  </w:r>
                </w:p>
              </w:tc>
              <w:tc>
                <w:tcPr/>
                <w:p>
                  <w:pPr>
                    <w:pStyle w:val="Compact"/>
                    <w:jc w:val="left"/>
                    <w:jc w:val="center"/>
                  </w:pPr>
                  <w:r>
                    <w:t xml:space="preserve">Time in range, assessed with continuous glucose monitoring, is associated with brachial-ankle pulse wave velocity in type 2 diabetes: A retrospective single-center analysis.</w:t>
                  </w:r>
                </w:p>
              </w:tc>
              <w:tc>
                <w:tcPr/>
                <w:p>
                  <w:pPr>
                    <w:pStyle w:val="Compact"/>
                    <w:jc w:val="left"/>
                    <w:jc w:val="center"/>
                  </w:pPr>
                  <w:r>
                    <w:t xml:space="preserve">Frontiers in endocrinology</w:t>
                  </w:r>
                </w:p>
              </w:tc>
              <w:tc>
                <w:tcPr/>
                <w:p>
                  <w:pPr>
                    <w:pStyle w:val="Compact"/>
                    <w:jc w:val="center"/>
                    <w:jc w:val="center"/>
                  </w:pPr>
                  <w:r>
                    <w:t xml:space="preserve">13</w:t>
                  </w:r>
                </w:p>
              </w:tc>
              <w:tc>
                <w:tcPr/>
                <w:p>
                  <w:pPr>
                    <w:pStyle w:val="Compact"/>
                  </w:pPr>
                </w:p>
              </w:tc>
              <w:tc>
                <w:tcPr/>
                <w:p>
                  <w:pPr>
                    <w:pStyle w:val="Compact"/>
                    <w:jc w:val="center"/>
                    <w:jc w:val="center"/>
                  </w:pPr>
                  <w:r>
                    <w:t xml:space="preserve">1014568</w:t>
                  </w:r>
                </w:p>
              </w:tc>
              <w:tc>
                <w:tcPr/>
                <w:p>
                  <w:pPr>
                    <w:pStyle w:val="Compact"/>
                    <w:jc w:val="left"/>
                    <w:jc w:val="center"/>
                  </w:pPr>
                  <w:r>
                    <w:t xml:space="preserve">10.3389/ fendo. 2022.101 4568</w:t>
                  </w:r>
                </w:p>
              </w:tc>
            </w:tr>
          </w:tbl>
          <w:p>
            <w:pPr>
              <w:jc w:val="center"/>
            </w:pPr>
            <w:r>
              <w:t xml:space="preserve">Note. Table shows included studies identified in the review. Ovid export links and reference type fields were omitted to improve readability. DOI values are shown where available.</w:t>
            </w:r>
          </w:p>
          <w:bookmarkEnd w:id="442"/>
        </w:tc>
      </w:tr>
    </w:tbl>
    <w:bookmarkEnd w:id="443"/>
    <w:p>
      <w:pPr>
        <w:sectPr>
          <w:pgSz w:h="11906" w:w="16838" w:orient="landscape"/>
        </w:sectPr>
      </w:pPr>
    </w:p>
    <w:tbl>
      <w:tblPr>
        <w:tblStyle w:val="Table"/>
        <w:tblW w:type="pct" w:w="5000"/>
        <w:tblLayout w:type="fixed"/>
        <w:tblLook w:firstRow="0" w:lastRow="0" w:firstColumn="0" w:lastColumn="0" w:noHBand="0" w:noVBand="0" w:val="0000"/>
      </w:tblPr>
      <w:tblGrid>
        <w:gridCol w:w="7920"/>
      </w:tblGrid>
      <w:tr>
        <w:tc>
          <w:tcPr/>
          <w:bookmarkStart w:id="444" w:name="tbl-excluded"/>
          <w:p>
            <w:pPr>
              <w:jc w:val="center"/>
            </w:pPr>
            <w:pPr>
              <w:jc w:val="left"/>
              <w:spacing w:before="200"/>
              <w:pStyle w:val="ImageCaption"/>
            </w:pPr>
            <w:r>
              <w:t xml:space="preserve">Table B.2: Excluded records from database searches.</w:t>
            </w:r>
          </w:p>
          <w:tbl>
            <w:tblPr>
              <w:tblStyle w:val="Table"/>
              <w:tblW w:type="pct" w:w="5000"/>
              <w:tblLayout w:type="fixed"/>
              <w:tblLook w:firstRow="1" w:lastRow="0" w:firstColumn="0" w:lastColumn="0" w:noHBand="0" w:noVBand="0" w:val="0020"/>
            </w:tblPr>
            <w:tblGrid>
              <w:gridCol w:w="6336"/>
              <w:gridCol w:w="1584"/>
            </w:tblGrid>
            <w:tr>
              <w:trPr>
                <w:tblHeader w:val="on"/>
              </w:trPr>
              <w:tc>
                <w:tcPr/>
                <w:p>
                  <w:pPr>
                    <w:pStyle w:val="Compact"/>
                    <w:jc w:val="center"/>
                  </w:pPr>
                  <w:r>
                    <w:t xml:space="preserve">Reference</w:t>
                  </w:r>
                </w:p>
              </w:tc>
              <w:tc>
                <w:tcPr/>
                <w:p>
                  <w:pPr>
                    <w:pStyle w:val="Compact"/>
                    <w:jc w:val="center"/>
                  </w:pPr>
                  <w:r>
                    <w:t xml:space="preserve">Reason for exclusion</w:t>
                  </w:r>
                </w:p>
              </w:tc>
            </w:tr>
            <w:tr>
              <w:tc>
                <w:tcPr/>
                <w:p>
                  <w:pPr>
                    <w:pStyle w:val="Compact"/>
                    <w:jc w:val="center"/>
                  </w:pPr>
                  <w:r>
                    <w:t xml:space="preserve">Barbieri M, Rizzo MR, Marfella R, Boccardi V, Esposito A, Pansini A, Paolisso G. Decreased carotid atherosclerotic process by control of daily acute glucose fluctuations in diabetic patients treated by DPP-IV inhibitors. Atherosclerosis. 2013 Apr;227(2):349-54.</w:t>
                  </w:r>
                </w:p>
              </w:tc>
              <w:tc>
                <w:tcPr/>
                <w:p>
                  <w:pPr>
                    <w:pStyle w:val="Compact"/>
                    <w:jc w:val="center"/>
                  </w:pPr>
                  <w:r>
                    <w:t xml:space="preserve">Not CGM metric</w:t>
                  </w:r>
                </w:p>
              </w:tc>
            </w:tr>
            <w:tr>
              <w:tc>
                <w:tcPr/>
                <w:p>
                  <w:pPr>
                    <w:pStyle w:val="Compact"/>
                  </w:pPr>
                </w:p>
              </w:tc>
              <w:tc>
                <w:tcPr/>
                <w:p>
                  <w:pPr>
                    <w:pStyle w:val="Compact"/>
                  </w:pPr>
                </w:p>
              </w:tc>
            </w:tr>
            <w:tr>
              <w:tc>
                <w:tcPr/>
                <w:p>
                  <w:pPr>
                    <w:pStyle w:val="Compact"/>
                    <w:jc w:val="center"/>
                  </w:pPr>
                  <w:r>
                    <w:t xml:space="preserve">Cai J, Liu J, Lu J, Ni J, Wang C, Chen L, Lu W, Zhu W, Xia T, Zhou J. Impact of time in tight range on all-cause and cardiovascular mortality in type 2 diabetes: A prospective cohort study. Diabetes Obes Metab. 2025 Apr;27(4):2154-62.</w:t>
                  </w:r>
                </w:p>
              </w:tc>
              <w:tc>
                <w:tcPr/>
                <w:p>
                  <w:pPr>
                    <w:pStyle w:val="Compact"/>
                    <w:jc w:val="center"/>
                  </w:pPr>
                  <w:r>
                    <w:t xml:space="preserve">Studies post-surgery</w:t>
                  </w:r>
                </w:p>
              </w:tc>
            </w:tr>
            <w:tr>
              <w:tc>
                <w:tcPr/>
                <w:p>
                  <w:pPr>
                    <w:pStyle w:val="Compact"/>
                  </w:pPr>
                </w:p>
              </w:tc>
              <w:tc>
                <w:tcPr/>
                <w:p>
                  <w:pPr>
                    <w:pStyle w:val="Compact"/>
                  </w:pPr>
                </w:p>
              </w:tc>
            </w:tr>
            <w:tr>
              <w:tc>
                <w:tcPr/>
                <w:p>
                  <w:pPr>
                    <w:pStyle w:val="Compact"/>
                    <w:jc w:val="center"/>
                  </w:pPr>
                  <w:r>
                    <w:t xml:space="preserve">Catargi B, Gerbaud E. Glucose fluctuations and hypoglycemia as new cardiovascular risk factors in diabetes. Ann Endocrinol (Paris). 2021 Jun;82(3-4):144-5.</w:t>
                  </w:r>
                </w:p>
              </w:tc>
              <w:tc>
                <w:tcPr/>
                <w:p>
                  <w:pPr>
                    <w:pStyle w:val="Compact"/>
                    <w:jc w:val="center"/>
                  </w:pPr>
                  <w:r>
                    <w:t xml:space="preserve">Not original article</w:t>
                  </w:r>
                </w:p>
              </w:tc>
            </w:tr>
            <w:tr>
              <w:tc>
                <w:tcPr/>
                <w:p>
                  <w:pPr>
                    <w:pStyle w:val="Compact"/>
                  </w:pPr>
                </w:p>
              </w:tc>
              <w:tc>
                <w:tcPr/>
                <w:p>
                  <w:pPr>
                    <w:pStyle w:val="Compact"/>
                  </w:pPr>
                </w:p>
              </w:tc>
            </w:tr>
            <w:tr>
              <w:tc>
                <w:tcPr/>
                <w:p>
                  <w:pPr>
                    <w:pStyle w:val="Compact"/>
                    <w:jc w:val="center"/>
                  </w:pPr>
                  <w:r>
                    <w:t xml:space="preserve">Chernikova NA, Kamynina LL, Ametov AS. [The сardiometabolic assessment of the glycemic variability in patients with diabetes mellitus: the role of the glucocardiomonitoring]. Kardiologiia. 2020 Jun 3;60(5):902.</w:t>
                  </w:r>
                </w:p>
              </w:tc>
              <w:tc>
                <w:tcPr/>
                <w:p>
                  <w:pPr>
                    <w:pStyle w:val="Compact"/>
                    <w:jc w:val="center"/>
                  </w:pPr>
                  <w:r>
                    <w:t xml:space="preserve">Not CVD outcome</w:t>
                  </w:r>
                </w:p>
              </w:tc>
            </w:tr>
            <w:tr>
              <w:tc>
                <w:tcPr/>
                <w:p>
                  <w:pPr>
                    <w:pStyle w:val="Compact"/>
                  </w:pPr>
                </w:p>
              </w:tc>
              <w:tc>
                <w:tcPr/>
                <w:p>
                  <w:pPr>
                    <w:pStyle w:val="Compact"/>
                  </w:pPr>
                </w:p>
              </w:tc>
            </w:tr>
            <w:tr>
              <w:tc>
                <w:tcPr/>
                <w:p>
                  <w:pPr>
                    <w:pStyle w:val="Compact"/>
                    <w:jc w:val="center"/>
                  </w:pPr>
                  <w:r>
                    <w:t xml:space="preserve">Costantino S, Paneni F, Battista R, Castello L, Capretti G, Chiandotto S, Tanese L, Russo G, Pitocco D, Lanza GA, Volpe M, Lüscher TF, Cosentino F. Impact of Glycemic Variability on Chromatin Remodeling, Oxidative Stress, and Endothelial Dysfunction in Patients With Type 2 Diabetes and With Target HbA1c Levels. Diabetes. 2017 Sep;66(9):2472-82.</w:t>
                  </w:r>
                </w:p>
              </w:tc>
              <w:tc>
                <w:tcPr/>
                <w:p>
                  <w:pPr>
                    <w:pStyle w:val="Compact"/>
                    <w:jc w:val="center"/>
                  </w:pPr>
                  <w:r>
                    <w:t xml:space="preserve">Not CVD outcome</w:t>
                  </w:r>
                </w:p>
              </w:tc>
            </w:tr>
            <w:tr>
              <w:tc>
                <w:tcPr/>
                <w:p>
                  <w:pPr>
                    <w:pStyle w:val="Compact"/>
                  </w:pPr>
                </w:p>
              </w:tc>
              <w:tc>
                <w:tcPr/>
                <w:p>
                  <w:pPr>
                    <w:pStyle w:val="Compact"/>
                  </w:pPr>
                </w:p>
              </w:tc>
            </w:tr>
            <w:tr>
              <w:tc>
                <w:tcPr/>
                <w:p>
                  <w:pPr>
                    <w:pStyle w:val="Compact"/>
                    <w:jc w:val="center"/>
                  </w:pPr>
                  <w:r>
                    <w:t xml:space="preserve">Ehrmann D, Chatwin H, Schmitt A, Soeholm U, Kulzer B, Axelsen JL, Broadley M, Haak T, Pouwer F, Hermanns N. Reduced heart rate variability in people with type 1 diabetes and elevated diabetes distress: Results from the longitudinal observational DIA-LINK1 study. Diabet Med. 2023 Apr;40(4):e15040.</w:t>
                  </w:r>
                </w:p>
              </w:tc>
              <w:tc>
                <w:tcPr/>
                <w:p>
                  <w:pPr>
                    <w:pStyle w:val="Compact"/>
                    <w:jc w:val="center"/>
                  </w:pPr>
                  <w:r>
                    <w:t xml:space="preserve">Not CVD outcome</w:t>
                  </w:r>
                </w:p>
              </w:tc>
            </w:tr>
            <w:tr>
              <w:tc>
                <w:tcPr/>
                <w:p>
                  <w:pPr>
                    <w:pStyle w:val="Compact"/>
                  </w:pPr>
                </w:p>
              </w:tc>
              <w:tc>
                <w:tcPr/>
                <w:p>
                  <w:pPr>
                    <w:pStyle w:val="Compact"/>
                  </w:pPr>
                </w:p>
              </w:tc>
            </w:tr>
            <w:tr>
              <w:tc>
                <w:tcPr/>
                <w:p>
                  <w:pPr>
                    <w:pStyle w:val="Compact"/>
                    <w:jc w:val="center"/>
                  </w:pPr>
                  <w:r>
                    <w:t xml:space="preserve">Howsawi AA, Alem MM. Clinical implications and pharmacological considerations of glycemic variability in patients with type 2 diabetes mellitus. Sci Rep. 2024 Oct 14;14(1):24062.</w:t>
                  </w:r>
                </w:p>
              </w:tc>
              <w:tc>
                <w:tcPr/>
                <w:p>
                  <w:pPr>
                    <w:pStyle w:val="Compact"/>
                    <w:jc w:val="center"/>
                  </w:pPr>
                  <w:r>
                    <w:t xml:space="preserve">Not CGM metric</w:t>
                  </w:r>
                </w:p>
              </w:tc>
            </w:tr>
            <w:tr>
              <w:tc>
                <w:tcPr/>
                <w:p>
                  <w:pPr>
                    <w:pStyle w:val="Compact"/>
                  </w:pPr>
                </w:p>
              </w:tc>
              <w:tc>
                <w:tcPr/>
                <w:p>
                  <w:pPr>
                    <w:pStyle w:val="Compact"/>
                  </w:pPr>
                </w:p>
              </w:tc>
            </w:tr>
            <w:tr>
              <w:tc>
                <w:tcPr/>
                <w:p>
                  <w:pPr>
                    <w:pStyle w:val="Compact"/>
                    <w:jc w:val="center"/>
                  </w:pPr>
                  <w:r>
                    <w:t xml:space="preserve">Huang J, Zhang X, Li J, Tang L, Jiao X, Lv X. Impact of glucose fluctuation on acute cerebral infarction in type 2 diabetes. Can J Neurol Sci. 2014 Jul;41(4):486-92.</w:t>
                  </w:r>
                </w:p>
              </w:tc>
              <w:tc>
                <w:tcPr/>
                <w:p>
                  <w:pPr>
                    <w:pStyle w:val="Compact"/>
                    <w:jc w:val="center"/>
                  </w:pPr>
                  <w:r>
                    <w:t xml:space="preserve">Studies post-surgery</w:t>
                  </w:r>
                </w:p>
              </w:tc>
            </w:tr>
            <w:tr>
              <w:tc>
                <w:tcPr/>
                <w:p>
                  <w:pPr>
                    <w:pStyle w:val="Compact"/>
                  </w:pPr>
                </w:p>
              </w:tc>
              <w:tc>
                <w:tcPr/>
                <w:p>
                  <w:pPr>
                    <w:pStyle w:val="Compact"/>
                  </w:pPr>
                </w:p>
              </w:tc>
            </w:tr>
            <w:tr>
              <w:tc>
                <w:tcPr/>
                <w:p>
                  <w:pPr>
                    <w:pStyle w:val="Compact"/>
                    <w:jc w:val="center"/>
                  </w:pPr>
                  <w:r>
                    <w:t xml:space="preserve">Inaba Y, Tsutsumi C, Haseda F, Fujisawa R, Mitsui S, Sano H, Terasaki J, Hanafusa T, Imagawa A. Impact of glycemic variability on the levels of endothelial progenitor cells in patients with type 1 diabetes. Diabetol Int. 2017 Sep 4;9(2):113-20.</w:t>
                  </w:r>
                </w:p>
              </w:tc>
              <w:tc>
                <w:tcPr/>
                <w:p>
                  <w:pPr>
                    <w:pStyle w:val="Compact"/>
                    <w:jc w:val="center"/>
                  </w:pPr>
                  <w:r>
                    <w:t xml:space="preserve">Not CVD outcome</w:t>
                  </w:r>
                </w:p>
              </w:tc>
            </w:tr>
            <w:tr>
              <w:tc>
                <w:tcPr/>
                <w:p>
                  <w:pPr>
                    <w:pStyle w:val="Compact"/>
                  </w:pPr>
                </w:p>
              </w:tc>
              <w:tc>
                <w:tcPr/>
                <w:p>
                  <w:pPr>
                    <w:pStyle w:val="Compact"/>
                  </w:pPr>
                </w:p>
              </w:tc>
            </w:tr>
            <w:tr>
              <w:tc>
                <w:tcPr/>
                <w:p>
                  <w:pPr>
                    <w:pStyle w:val="Compact"/>
                    <w:jc w:val="center"/>
                  </w:pPr>
                  <w:r>
                    <w:t xml:space="preserve">Ito T, Ichihashi T, Fujita H, Sugiura T, Yamamoto J, Kitada S, Nakasuka K, Kawada Y, Ohte N. The impact of intraday glucose variability on coronary artery spasm in patients with dysglycemia. Heart Vessels. 2019 Aug;34(8):1250-7.</w:t>
                  </w:r>
                </w:p>
              </w:tc>
              <w:tc>
                <w:tcPr/>
                <w:p>
                  <w:pPr>
                    <w:pStyle w:val="Compact"/>
                    <w:jc w:val="center"/>
                  </w:pPr>
                  <w:r>
                    <w:t xml:space="preserve">Studies post-surgery</w:t>
                  </w:r>
                </w:p>
              </w:tc>
            </w:tr>
            <w:tr>
              <w:tc>
                <w:tcPr/>
                <w:p>
                  <w:pPr>
                    <w:pStyle w:val="Compact"/>
                  </w:pPr>
                </w:p>
              </w:tc>
              <w:tc>
                <w:tcPr/>
                <w:p>
                  <w:pPr>
                    <w:pStyle w:val="Compact"/>
                  </w:pPr>
                </w:p>
              </w:tc>
            </w:tr>
            <w:tr>
              <w:tc>
                <w:tcPr/>
                <w:p>
                  <w:pPr>
                    <w:pStyle w:val="Compact"/>
                    <w:jc w:val="center"/>
                  </w:pPr>
                  <w:r>
                    <w:t xml:space="preserve">Karnebeek K, Rijks JM, Dorenbos E, Gerver WM, Plat J, Vreugdenhil ACE. Changes in Free-Living Glycemic Profiles after 12 Months of Lifestyle Intervention in Children with Overweight and with Obesity. Nutrients. 2020 Apr 26;12(5):1228.</w:t>
                  </w:r>
                </w:p>
              </w:tc>
              <w:tc>
                <w:tcPr/>
                <w:p>
                  <w:pPr>
                    <w:pStyle w:val="Compact"/>
                    <w:jc w:val="center"/>
                  </w:pPr>
                  <w:r>
                    <w:t xml:space="preserve">Not CVD outcome</w:t>
                  </w:r>
                </w:p>
              </w:tc>
            </w:tr>
            <w:tr>
              <w:tc>
                <w:tcPr/>
                <w:p>
                  <w:pPr>
                    <w:pStyle w:val="Compact"/>
                  </w:pPr>
                </w:p>
              </w:tc>
              <w:tc>
                <w:tcPr/>
                <w:p>
                  <w:pPr>
                    <w:pStyle w:val="Compact"/>
                  </w:pPr>
                </w:p>
              </w:tc>
            </w:tr>
            <w:tr>
              <w:tc>
                <w:tcPr/>
                <w:p>
                  <w:pPr>
                    <w:pStyle w:val="Compact"/>
                    <w:jc w:val="center"/>
                  </w:pPr>
                  <w:r>
                    <w:t xml:space="preserve">Kietsiriroje N, Pearson SM, O’Mahoney LL, West DJ, Ariëns RA, Ajjan RA, Campbell MD. Glucose variability is associated with an adverse vascular profile but only in the presence of insulin resistance in individuals with type 1 diabetes: An observational study. Diab Vasc Dis Res. 2022 May-Jun;19(3):14791641221103217.</w:t>
                  </w:r>
                </w:p>
              </w:tc>
              <w:tc>
                <w:tcPr/>
                <w:p>
                  <w:pPr>
                    <w:pStyle w:val="Compact"/>
                    <w:jc w:val="center"/>
                  </w:pPr>
                  <w:r>
                    <w:t xml:space="preserve">Not CVD outcome</w:t>
                  </w:r>
                </w:p>
              </w:tc>
            </w:tr>
            <w:tr>
              <w:tc>
                <w:tcPr/>
                <w:p>
                  <w:pPr>
                    <w:pStyle w:val="Compact"/>
                  </w:pPr>
                </w:p>
              </w:tc>
              <w:tc>
                <w:tcPr/>
                <w:p>
                  <w:pPr>
                    <w:pStyle w:val="Compact"/>
                  </w:pPr>
                </w:p>
              </w:tc>
            </w:tr>
            <w:tr>
              <w:tc>
                <w:tcPr/>
                <w:p>
                  <w:pPr>
                    <w:pStyle w:val="Compact"/>
                    <w:jc w:val="center"/>
                  </w:pPr>
                  <w:r>
                    <w:t xml:space="preserve">Klimontov VV, Koroleva EA, Khapaev RS, Korbut AI, Lykov AP. Carotid Artery Disease in Subjects with Type 2 Diabetes: Risk Factors and Biomarkers. J Clin Med. 2021 Dec 24;11(1):72.</w:t>
                  </w:r>
                </w:p>
              </w:tc>
              <w:tc>
                <w:tcPr/>
                <w:p>
                  <w:pPr>
                    <w:pStyle w:val="Compact"/>
                    <w:jc w:val="center"/>
                  </w:pPr>
                  <w:r>
                    <w:t xml:space="preserve">Not CGM metric</w:t>
                  </w:r>
                </w:p>
              </w:tc>
            </w:tr>
            <w:tr>
              <w:tc>
                <w:tcPr/>
                <w:p>
                  <w:pPr>
                    <w:pStyle w:val="Compact"/>
                  </w:pPr>
                </w:p>
              </w:tc>
              <w:tc>
                <w:tcPr/>
                <w:p>
                  <w:pPr>
                    <w:pStyle w:val="Compact"/>
                  </w:pPr>
                </w:p>
              </w:tc>
            </w:tr>
            <w:tr>
              <w:tc>
                <w:tcPr/>
                <w:p>
                  <w:pPr>
                    <w:pStyle w:val="Compact"/>
                    <w:jc w:val="center"/>
                  </w:pPr>
                  <w:r>
                    <w:t xml:space="preserve">Koroleva EA, Khapaev RS, Lykov AP, Korbut AI, Klimontov VV. Association of carotid atherosclerosis and peripheral artery disease in patients with type 2 diabetes: risk factors and biomarkers. Diabetes Mellitus. 2023;26(2):172-81. Russian.</w:t>
                  </w:r>
                </w:p>
              </w:tc>
              <w:tc>
                <w:tcPr/>
                <w:p>
                  <w:pPr>
                    <w:pStyle w:val="Compact"/>
                    <w:jc w:val="center"/>
                  </w:pPr>
                  <w:r>
                    <w:t xml:space="preserve">Language not understood</w:t>
                  </w:r>
                </w:p>
              </w:tc>
            </w:tr>
            <w:tr>
              <w:tc>
                <w:tcPr/>
                <w:p>
                  <w:pPr>
                    <w:pStyle w:val="Compact"/>
                  </w:pPr>
                </w:p>
              </w:tc>
              <w:tc>
                <w:tcPr/>
                <w:p>
                  <w:pPr>
                    <w:pStyle w:val="Compact"/>
                  </w:pPr>
                </w:p>
              </w:tc>
            </w:tr>
            <w:tr>
              <w:tc>
                <w:tcPr/>
                <w:p>
                  <w:pPr>
                    <w:pStyle w:val="Compact"/>
                    <w:jc w:val="center"/>
                  </w:pPr>
                  <w:r>
                    <w:t xml:space="preserve">Maiorino MI, Della Volpe E, Olita L, Bellastella G, Giugliano D, Esposito K. Glucose variability inversely associates with endothelial progenitor cells in type 1 diabetes. Endocrine. 2015 Feb;48(1):342-5.</w:t>
                  </w:r>
                </w:p>
              </w:tc>
              <w:tc>
                <w:tcPr/>
                <w:p>
                  <w:pPr>
                    <w:pStyle w:val="Compact"/>
                    <w:jc w:val="center"/>
                  </w:pPr>
                  <w:r>
                    <w:t xml:space="preserve">Not CVD outcome</w:t>
                  </w:r>
                </w:p>
              </w:tc>
            </w:tr>
            <w:tr>
              <w:tc>
                <w:tcPr/>
                <w:p>
                  <w:pPr>
                    <w:pStyle w:val="Compact"/>
                  </w:pPr>
                </w:p>
              </w:tc>
              <w:tc>
                <w:tcPr/>
                <w:p>
                  <w:pPr>
                    <w:pStyle w:val="Compact"/>
                  </w:pPr>
                </w:p>
              </w:tc>
            </w:tr>
            <w:tr>
              <w:tc>
                <w:tcPr/>
                <w:p>
                  <w:pPr>
                    <w:pStyle w:val="Compact"/>
                    <w:jc w:val="center"/>
                  </w:pPr>
                  <w:r>
                    <w:t xml:space="preserve">Musurakis C, Poudel B, Chitrakar S, Qureshi F, Gilden JL. Evaluation Of Glucose Variability By Continuous Glucose Monitoring In Patients With Diabetes Mellitus And History Of Stroke. J Endocr Soc. 2023 Oct-Nov;7(Suppl 1): bvad114.970.</w:t>
                  </w:r>
                </w:p>
              </w:tc>
              <w:tc>
                <w:tcPr/>
                <w:p>
                  <w:pPr>
                    <w:pStyle w:val="Compact"/>
                    <w:jc w:val="center"/>
                  </w:pPr>
                  <w:r>
                    <w:t xml:space="preserve">Not original article</w:t>
                  </w:r>
                </w:p>
              </w:tc>
            </w:tr>
            <w:tr>
              <w:tc>
                <w:tcPr/>
                <w:p>
                  <w:pPr>
                    <w:pStyle w:val="Compact"/>
                  </w:pPr>
                </w:p>
              </w:tc>
              <w:tc>
                <w:tcPr/>
                <w:p>
                  <w:pPr>
                    <w:pStyle w:val="Compact"/>
                  </w:pPr>
                </w:p>
              </w:tc>
            </w:tr>
            <w:tr>
              <w:tc>
                <w:tcPr/>
                <w:p>
                  <w:pPr>
                    <w:pStyle w:val="Compact"/>
                    <w:jc w:val="center"/>
                  </w:pPr>
                  <w:r>
                    <w:t xml:space="preserve">Singh S, Singh DP, Singh SS, Srivastava AK. High Glycaemic Variability is a Pro-arrhythmic Factor in Patient of Type-2 Diabetes Mellitus With Heart Failure. Int J Diabetes Dev Ctries. 2019 Nov;39(Suppl 1):S1-S42.</w:t>
                  </w:r>
                </w:p>
              </w:tc>
              <w:tc>
                <w:tcPr/>
                <w:p>
                  <w:pPr>
                    <w:pStyle w:val="Compact"/>
                    <w:jc w:val="center"/>
                  </w:pPr>
                  <w:r>
                    <w:t xml:space="preserve">Not original article</w:t>
                  </w:r>
                </w:p>
              </w:tc>
            </w:tr>
            <w:tr>
              <w:tc>
                <w:tcPr/>
                <w:p>
                  <w:pPr>
                    <w:pStyle w:val="Compact"/>
                  </w:pPr>
                </w:p>
              </w:tc>
              <w:tc>
                <w:tcPr/>
                <w:p>
                  <w:pPr>
                    <w:pStyle w:val="Compact"/>
                  </w:pPr>
                </w:p>
              </w:tc>
            </w:tr>
            <w:tr>
              <w:tc>
                <w:tcPr/>
                <w:p>
                  <w:pPr>
                    <w:pStyle w:val="Compact"/>
                    <w:jc w:val="center"/>
                  </w:pPr>
                  <w:r>
                    <w:t xml:space="preserve">Stahn A, Pistrosch F, Ganz X, Teige M, Koehler C, Bornstein S, Hanefeld M. Relationship between hypoglycemic episodes and ventricular arrhythmias in patients with type 2 diabetes and cardiovascular diseases: silent hypoglycemias and silent arrhythmias. Diabetes Care. 2014 Feb;37(2):516-20.</w:t>
                  </w:r>
                </w:p>
              </w:tc>
              <w:tc>
                <w:tcPr/>
                <w:p>
                  <w:pPr>
                    <w:pStyle w:val="Compact"/>
                    <w:jc w:val="center"/>
                  </w:pPr>
                  <w:r>
                    <w:t xml:space="preserve">Not CVD outcome</w:t>
                  </w:r>
                </w:p>
              </w:tc>
            </w:tr>
            <w:tr>
              <w:tc>
                <w:tcPr/>
                <w:p>
                  <w:pPr>
                    <w:pStyle w:val="Compact"/>
                  </w:pPr>
                </w:p>
              </w:tc>
              <w:tc>
                <w:tcPr/>
                <w:p>
                  <w:pPr>
                    <w:pStyle w:val="Compact"/>
                  </w:pPr>
                </w:p>
              </w:tc>
            </w:tr>
            <w:tr>
              <w:tc>
                <w:tcPr/>
                <w:p>
                  <w:pPr>
                    <w:pStyle w:val="Compact"/>
                    <w:jc w:val="center"/>
                  </w:pPr>
                  <w:r>
                    <w:t xml:space="preserve">Sugimoto T, Saji N, Omura T, Tokuda H, Miura H, Kawashima S, Ando T, Nakamura A, Uchida K, Matsumoto N, Fujita K, Kuroda Y, Crane PK, Sakurai T. Cross-sectional association of continuous glucose monitoring-derived metrics with cerebral small vessel disease in older adults with type 2 diabetes. Diabetes Obes Metab. 2024 Aug;26(8):3318-27.</w:t>
                  </w:r>
                </w:p>
              </w:tc>
              <w:tc>
                <w:tcPr/>
                <w:p>
                  <w:pPr>
                    <w:pStyle w:val="Compact"/>
                    <w:jc w:val="center"/>
                  </w:pPr>
                  <w:r>
                    <w:t xml:space="preserve">Not CVD outcome</w:t>
                  </w:r>
                </w:p>
              </w:tc>
            </w:tr>
            <w:tr>
              <w:tc>
                <w:tcPr/>
                <w:p>
                  <w:pPr>
                    <w:pStyle w:val="Compact"/>
                  </w:pPr>
                </w:p>
              </w:tc>
              <w:tc>
                <w:tcPr/>
                <w:p>
                  <w:pPr>
                    <w:pStyle w:val="Compact"/>
                  </w:pPr>
                </w:p>
              </w:tc>
            </w:tr>
            <w:tr>
              <w:tc>
                <w:tcPr/>
                <w:p>
                  <w:pPr>
                    <w:pStyle w:val="Compact"/>
                    <w:jc w:val="center"/>
                  </w:pPr>
                  <w:r>
                    <w:t xml:space="preserve">Tang X, Li S, Wang Y, Wang M, Yin Q, Mu P, Lin S, Qian X, Ye X, Chen Y. Glycemic variability evaluated by continuous glucose monitoring system is associated with the 10-y cardiovascular risk of diabetic patients with well-controlled HbA1c. Clin Chim Acta. 2016 Oct 1;461:146-50.</w:t>
                  </w:r>
                </w:p>
              </w:tc>
              <w:tc>
                <w:tcPr/>
                <w:p>
                  <w:pPr>
                    <w:pStyle w:val="Compact"/>
                    <w:jc w:val="center"/>
                  </w:pPr>
                  <w:r>
                    <w:t xml:space="preserve">Not CVD outcome</w:t>
                  </w:r>
                </w:p>
              </w:tc>
            </w:tr>
            <w:tr>
              <w:tc>
                <w:tcPr/>
                <w:p>
                  <w:pPr>
                    <w:pStyle w:val="Compact"/>
                  </w:pPr>
                </w:p>
              </w:tc>
              <w:tc>
                <w:tcPr/>
                <w:p>
                  <w:pPr>
                    <w:pStyle w:val="Compact"/>
                  </w:pPr>
                </w:p>
              </w:tc>
            </w:tr>
            <w:tr>
              <w:tc>
                <w:tcPr/>
                <w:p>
                  <w:pPr>
                    <w:pStyle w:val="Compact"/>
                    <w:jc w:val="center"/>
                  </w:pPr>
                  <w:r>
                    <w:t xml:space="preserve">Tateishi K, Saito Y, Kitahara H, Kobayashi Y. Impact of glycemic variability on coronary and peripheral endothelial dysfunction in patients with coronary artery disease. J Cardiol. 2022 Jan;79(1):65-70.</w:t>
                  </w:r>
                </w:p>
              </w:tc>
              <w:tc>
                <w:tcPr/>
                <w:p>
                  <w:pPr>
                    <w:pStyle w:val="Compact"/>
                    <w:jc w:val="center"/>
                  </w:pPr>
                  <w:r>
                    <w:t xml:space="preserve">Not CVD outcome</w:t>
                  </w:r>
                </w:p>
              </w:tc>
            </w:tr>
            <w:tr>
              <w:tc>
                <w:tcPr/>
                <w:p>
                  <w:pPr>
                    <w:pStyle w:val="Compact"/>
                  </w:pPr>
                </w:p>
              </w:tc>
              <w:tc>
                <w:tcPr/>
                <w:p>
                  <w:pPr>
                    <w:pStyle w:val="Compact"/>
                  </w:pPr>
                </w:p>
              </w:tc>
            </w:tr>
            <w:tr>
              <w:tc>
                <w:tcPr/>
                <w:p>
                  <w:pPr>
                    <w:pStyle w:val="Compact"/>
                    <w:jc w:val="center"/>
                  </w:pPr>
                  <w:r>
                    <w:t xml:space="preserve">Tong L, Chi C, Zhang Z. Association of various glycemic variability indices and vascular outcomes in type-2 diabetes patients: A retrospective study. Medicine (Baltimore). 2018 May;97(21):e10860.</w:t>
                  </w:r>
                </w:p>
              </w:tc>
              <w:tc>
                <w:tcPr/>
                <w:p>
                  <w:pPr>
                    <w:pStyle w:val="Compact"/>
                    <w:jc w:val="center"/>
                  </w:pPr>
                  <w:r>
                    <w:t xml:space="preserve">Not CGM metric</w:t>
                  </w:r>
                </w:p>
              </w:tc>
            </w:tr>
            <w:tr>
              <w:tc>
                <w:tcPr/>
                <w:p>
                  <w:pPr>
                    <w:pStyle w:val="Compact"/>
                  </w:pPr>
                </w:p>
              </w:tc>
              <w:tc>
                <w:tcPr/>
                <w:p>
                  <w:pPr>
                    <w:pStyle w:val="Compact"/>
                  </w:pPr>
                </w:p>
              </w:tc>
            </w:tr>
            <w:tr>
              <w:tc>
                <w:tcPr/>
                <w:p>
                  <w:pPr>
                    <w:pStyle w:val="Compact"/>
                    <w:jc w:val="center"/>
                  </w:pPr>
                  <w:r>
                    <w:t xml:space="preserve">Wang X, Zhao X, Dorje T, Yan H, Qian J, Ge J. Glycemic variability predicts cardiovascular complications in acute myocardial infarction patients with type 2 diabetes mellitus. Int J Cardiol. 2014 Mar 15;172(2):498-500.</w:t>
                  </w:r>
                </w:p>
              </w:tc>
              <w:tc>
                <w:tcPr/>
                <w:p>
                  <w:pPr>
                    <w:pStyle w:val="Compact"/>
                    <w:jc w:val="center"/>
                  </w:pPr>
                  <w:r>
                    <w:t xml:space="preserve">Studies post-surgery</w:t>
                  </w:r>
                </w:p>
              </w:tc>
            </w:tr>
            <w:tr>
              <w:tc>
                <w:tcPr/>
                <w:p>
                  <w:pPr>
                    <w:pStyle w:val="Compact"/>
                    <w:jc w:val="center"/>
                  </w:pPr>
                  <w:r>
                    <w:t xml:space="preserve">Xia J, Xu J, Hu S, Hao H, Yin C, Xu D. Impact of glycemic variability on the occurrence of periprocedural myocardial infarction and major adverse cardiovascular events (MACE) after coronary intervention in patients with stable angina pectoris at 6months follow-up. Clin Chim Acta. 2017 Aug;471:196-200.</w:t>
                  </w:r>
                </w:p>
              </w:tc>
              <w:tc>
                <w:tcPr/>
                <w:p>
                  <w:pPr>
                    <w:pStyle w:val="Compact"/>
                    <w:jc w:val="center"/>
                  </w:pPr>
                  <w:r>
                    <w:t xml:space="preserve">Not CGM metric</w:t>
                  </w:r>
                </w:p>
              </w:tc>
            </w:tr>
            <w:tr>
              <w:tc>
                <w:tcPr/>
                <w:p>
                  <w:pPr>
                    <w:pStyle w:val="Compact"/>
                  </w:pPr>
                </w:p>
              </w:tc>
              <w:tc>
                <w:tcPr/>
                <w:p>
                  <w:pPr>
                    <w:pStyle w:val="Compact"/>
                  </w:pPr>
                </w:p>
              </w:tc>
            </w:tr>
            <w:tr>
              <w:tc>
                <w:tcPr/>
                <w:p>
                  <w:pPr>
                    <w:pStyle w:val="Compact"/>
                    <w:jc w:val="center"/>
                  </w:pPr>
                  <w:r>
                    <w:t xml:space="preserve">Yamamoto K, Ito T, Nagasato T, Shinnakasu A, Kurano M, Arimura A, Arimura H, Hashiguchi H, Deguchi T, Maruyama I, Nishio Y. Effects of glycemic control and hypoglycemia on Thrombus formation assessed using automated microchip flow chamber system: an exploratory observational study. Thromb J. 2019 Sep 2;17:17.</w:t>
                  </w:r>
                </w:p>
              </w:tc>
              <w:tc>
                <w:tcPr/>
                <w:p>
                  <w:pPr>
                    <w:pStyle w:val="Compact"/>
                    <w:jc w:val="center"/>
                  </w:pPr>
                  <w:r>
                    <w:t xml:space="preserve">Not CVD outcome</w:t>
                  </w:r>
                </w:p>
              </w:tc>
            </w:tr>
            <w:tr>
              <w:tc>
                <w:tcPr/>
                <w:p>
                  <w:pPr>
                    <w:pStyle w:val="Compact"/>
                  </w:pPr>
                </w:p>
              </w:tc>
              <w:tc>
                <w:tcPr/>
                <w:p>
                  <w:pPr>
                    <w:pStyle w:val="Compact"/>
                  </w:pPr>
                </w:p>
              </w:tc>
            </w:tr>
            <w:tr>
              <w:tc>
                <w:tcPr/>
                <w:p>
                  <w:pPr>
                    <w:pStyle w:val="Compact"/>
                    <w:jc w:val="center"/>
                  </w:pPr>
                  <w:r>
                    <w:t xml:space="preserve">Yang XJ, He H, Lü XF, Wen XR, Wang C, Chen DW, Li XJ, Ran XW. [Association of glycaemic variability and carotid intima-media thickness in patients with type 2 diabetes mellitus]. Sichuan Da Xue Xue Bao Yi Xue Ban. 2012 Sep;43(5):734-8. Chinese.</w:t>
                  </w:r>
                </w:p>
              </w:tc>
              <w:tc>
                <w:tcPr/>
                <w:p>
                  <w:pPr>
                    <w:pStyle w:val="Compact"/>
                    <w:jc w:val="center"/>
                  </w:pPr>
                  <w:r>
                    <w:t xml:space="preserve">Language not understood</w:t>
                  </w:r>
                </w:p>
              </w:tc>
            </w:tr>
            <w:tr>
              <w:tc>
                <w:tcPr/>
                <w:p>
                  <w:pPr>
                    <w:pStyle w:val="Compact"/>
                  </w:pPr>
                </w:p>
              </w:tc>
              <w:tc>
                <w:tcPr/>
                <w:p>
                  <w:pPr>
                    <w:pStyle w:val="Compact"/>
                  </w:pPr>
                </w:p>
              </w:tc>
            </w:tr>
            <w:tr>
              <w:tc>
                <w:tcPr/>
                <w:p>
                  <w:pPr>
                    <w:pStyle w:val="Compact"/>
                    <w:jc w:val="center"/>
                  </w:pPr>
                  <w:r>
                    <w:t xml:space="preserve">Yang X, Su G, Zhang T, Yang H, Tao H, Du X, Dong J. Comparison of admission glycemic variability and glycosylated hemoglobin in predicting major adverse cardiac events among type 2 diabetes patients with heart failure following acute ST-segment elevation myocardial infarction. J Transl Int Med. 2024 May 21;12(2):188-196.</w:t>
                  </w:r>
                </w:p>
              </w:tc>
              <w:tc>
                <w:tcPr/>
                <w:p>
                  <w:pPr>
                    <w:pStyle w:val="Compact"/>
                    <w:jc w:val="center"/>
                  </w:pPr>
                  <w:r>
                    <w:t xml:space="preserve">Studies post-surgery</w:t>
                  </w:r>
                </w:p>
              </w:tc>
            </w:tr>
            <w:tr>
              <w:tc>
                <w:tcPr/>
                <w:p>
                  <w:pPr>
                    <w:pStyle w:val="Compact"/>
                  </w:pPr>
                </w:p>
              </w:tc>
              <w:tc>
                <w:tcPr/>
                <w:p>
                  <w:pPr>
                    <w:pStyle w:val="Compact"/>
                  </w:pPr>
                </w:p>
              </w:tc>
            </w:tr>
            <w:tr>
              <w:tc>
                <w:tcPr/>
                <w:p>
                  <w:pPr>
                    <w:pStyle w:val="Compact"/>
                    <w:jc w:val="center"/>
                  </w:pPr>
                  <w:r>
                    <w:t xml:space="preserve">Yu MG, Jangolla SVT, Ziemniak N, Viebranz E, Chokshi T, Park K, Wu IH, Shah H, King GL. Cardiac Imaging And Metabolomics Studies Suggest Differential Risk And Protective Biomarkers For Cardiovascular Disease In Renoprotected, Long-Duration Type 1 Diabetes. J Endocr Soc. 2024 Oct-Nov;8(Suppl 1):bvae163.691.</w:t>
                  </w:r>
                </w:p>
              </w:tc>
              <w:tc>
                <w:tcPr/>
                <w:p>
                  <w:pPr>
                    <w:pStyle w:val="Compact"/>
                    <w:jc w:val="center"/>
                  </w:pPr>
                  <w:r>
                    <w:t xml:space="preserve">Other reason (not yet published)</w:t>
                  </w:r>
                </w:p>
              </w:tc>
            </w:tr>
            <w:tr>
              <w:tc>
                <w:tcPr/>
                <w:p>
                  <w:pPr>
                    <w:pStyle w:val="Compact"/>
                  </w:pPr>
                </w:p>
              </w:tc>
              <w:tc>
                <w:tcPr/>
                <w:p>
                  <w:pPr>
                    <w:pStyle w:val="Compact"/>
                  </w:pPr>
                </w:p>
              </w:tc>
            </w:tr>
            <w:tr>
              <w:tc>
                <w:tcPr/>
                <w:p>
                  <w:pPr>
                    <w:pStyle w:val="Compact"/>
                    <w:jc w:val="center"/>
                  </w:pPr>
                  <w:r>
                    <w:t xml:space="preserve">Zhang J, Li L, Zhai H, Chen H, Wang L, Li N, Liu R, Xia Y. Impact of blood glucose fluctuation on endothelial dysfunction and severity of stenosis in aged acute coronary syndrome patients. Int J Clin Exp Med. 2016;9(11):2210-9.</w:t>
                  </w:r>
                </w:p>
              </w:tc>
              <w:tc>
                <w:tcPr/>
                <w:p>
                  <w:pPr>
                    <w:pStyle w:val="Compact"/>
                    <w:jc w:val="center"/>
                  </w:pPr>
                  <w:r>
                    <w:t xml:space="preserve">Studies post-surgery</w:t>
                  </w:r>
                </w:p>
              </w:tc>
            </w:tr>
            <w:tr>
              <w:tc>
                <w:tcPr/>
                <w:p>
                  <w:pPr>
                    <w:pStyle w:val="Compact"/>
                  </w:pPr>
                </w:p>
              </w:tc>
              <w:tc>
                <w:tcPr/>
                <w:p>
                  <w:pPr>
                    <w:pStyle w:val="Compact"/>
                  </w:pPr>
                </w:p>
              </w:tc>
            </w:tr>
            <w:tr>
              <w:tc>
                <w:tcPr/>
                <w:p>
                  <w:pPr>
                    <w:pStyle w:val="Compact"/>
                    <w:jc w:val="center"/>
                  </w:pPr>
                  <w:r>
                    <w:t xml:space="preserve">Zhang J, Yang J, Liu L, Li L, Cui J, Wu S, Tang K. Significant abnormal glycemic variability increased the risk for arrhythmias in elderly type 2 diabetic patients. BMC Endocr Disord. 2021 Apr 27;21(1):83.</w:t>
                  </w:r>
                </w:p>
              </w:tc>
              <w:tc>
                <w:tcPr/>
                <w:p>
                  <w:pPr>
                    <w:pStyle w:val="Compact"/>
                    <w:jc w:val="center"/>
                  </w:pPr>
                  <w:r>
                    <w:t xml:space="preserve">Not CVD outcome</w:t>
                  </w:r>
                </w:p>
              </w:tc>
            </w:tr>
            <w:tr>
              <w:tc>
                <w:tcPr/>
                <w:p>
                  <w:pPr>
                    <w:pStyle w:val="Compact"/>
                  </w:pPr>
                </w:p>
              </w:tc>
              <w:tc>
                <w:tcPr/>
                <w:p>
                  <w:pPr>
                    <w:pStyle w:val="Compact"/>
                  </w:pPr>
                </w:p>
              </w:tc>
            </w:tr>
          </w:tbl>
          <w:bookmarkEnd w:id="44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45" w:name="tbl-excluded2"/>
          <w:p>
            <w:pPr>
              <w:jc w:val="center"/>
            </w:pPr>
            <w:pPr>
              <w:jc w:val="left"/>
              <w:spacing w:before="200"/>
              <w:pStyle w:val="ImageCaption"/>
            </w:pPr>
            <w:r>
              <w:t xml:space="preserve">Table B.3: Excluded records from citation search</w:t>
            </w:r>
          </w:p>
          <w:tbl>
            <w:tblPr>
              <w:tblStyle w:val="Table"/>
              <w:tblW w:type="pct" w:w="5000"/>
              <w:tblLayout w:type="fixed"/>
              <w:tblLook w:firstRow="1" w:lastRow="0" w:firstColumn="0" w:lastColumn="0" w:noHBand="0" w:noVBand="0" w:val="0020"/>
            </w:tblPr>
            <w:tblGrid>
              <w:gridCol w:w="6336"/>
              <w:gridCol w:w="1584"/>
            </w:tblGrid>
            <w:tr>
              <w:trPr>
                <w:tblHeader w:val="on"/>
              </w:trPr>
              <w:tc>
                <w:tcPr/>
                <w:p>
                  <w:pPr>
                    <w:pStyle w:val="Compact"/>
                    <w:jc w:val="center"/>
                  </w:pPr>
                  <w:r>
                    <w:t xml:space="preserve">Reference</w:t>
                  </w:r>
                </w:p>
              </w:tc>
              <w:tc>
                <w:tcPr/>
                <w:p>
                  <w:pPr>
                    <w:pStyle w:val="Compact"/>
                    <w:jc w:val="center"/>
                  </w:pPr>
                  <w:r>
                    <w:t xml:space="preserve">Reason for exclusion</w:t>
                  </w:r>
                </w:p>
              </w:tc>
            </w:tr>
            <w:tr>
              <w:tc>
                <w:tcPr/>
                <w:p>
                  <w:pPr>
                    <w:pStyle w:val="Compact"/>
                    <w:jc w:val="center"/>
                  </w:pPr>
                  <w:r>
                    <w:t xml:space="preserve">Gohbara M, Hibi K, Mitsuhashi T, Maejima N, Iwahashi N, Kataoka S, Akiyama E, Tsukahara K, Kosuge M, Ebina T, Umemura S, Kimura K. Glycemic Variability on Continuous Glucose Monitoring System Correlates With Non-Culprit Vessel Coronary Plaque Vulnerability in Patients With First-Episode Acute Coronary Syndrome - Optical Coherence Tomography Study. Circ J. 2016;80(1):202-10.</w:t>
                  </w:r>
                </w:p>
              </w:tc>
              <w:tc>
                <w:tcPr/>
                <w:p>
                  <w:pPr>
                    <w:pStyle w:val="Compact"/>
                    <w:jc w:val="center"/>
                  </w:pPr>
                  <w:r>
                    <w:t xml:space="preserve">Studies post-surgery</w:t>
                  </w:r>
                </w:p>
              </w:tc>
            </w:tr>
            <w:tr>
              <w:tc>
                <w:tcPr/>
                <w:p>
                  <w:pPr>
                    <w:pStyle w:val="Compact"/>
                  </w:pPr>
                </w:p>
              </w:tc>
              <w:tc>
                <w:tcPr/>
                <w:p>
                  <w:pPr>
                    <w:pStyle w:val="Compact"/>
                    <w:jc w:val="center"/>
                  </w:pPr>
                  <w:r>
                    <w:t xml:space="preserve"> </w:t>
                  </w:r>
                </w:p>
              </w:tc>
            </w:tr>
            <w:tr>
              <w:tc>
                <w:tcPr/>
                <w:p>
                  <w:pPr>
                    <w:pStyle w:val="Compact"/>
                    <w:jc w:val="center"/>
                  </w:pPr>
                  <w:r>
                    <w:t xml:space="preserve">Jin SM, Kim TH, Bae JC, Hur KY, Lee MS, Lee MK, Kim JH. Clinical factors associated with absolute and relative measures of glycemic variability determined by continuous glucose monitoring: an analysis of 480 subjects. Diabetes Res Clin Pract. 2014 May;104(2):266-72.</w:t>
                  </w:r>
                </w:p>
              </w:tc>
              <w:tc>
                <w:tcPr/>
                <w:p>
                  <w:pPr>
                    <w:pStyle w:val="Compact"/>
                    <w:jc w:val="center"/>
                  </w:pPr>
                  <w:r>
                    <w:t xml:space="preserve">CGM metric as outcome</w:t>
                  </w:r>
                </w:p>
              </w:tc>
            </w:tr>
            <w:tr>
              <w:tc>
                <w:tcPr/>
                <w:p>
                  <w:pPr>
                    <w:pStyle w:val="Compact"/>
                  </w:pPr>
                </w:p>
              </w:tc>
              <w:tc>
                <w:tcPr/>
                <w:p>
                  <w:pPr>
                    <w:pStyle w:val="Compact"/>
                    <w:jc w:val="center"/>
                  </w:pPr>
                  <w:r>
                    <w:t xml:space="preserve"> </w:t>
                  </w:r>
                </w:p>
              </w:tc>
            </w:tr>
            <w:tr>
              <w:tc>
                <w:tcPr/>
                <w:p>
                  <w:pPr>
                    <w:pStyle w:val="Compact"/>
                    <w:jc w:val="center"/>
                  </w:pPr>
                  <w:r>
                    <w:t xml:space="preserve">Kataoka S, Gohbara M, Iwahashi N, Sakamaki K, Nakachi T, Akiyama E, Maejima N, Tsukahara K, Hibi K, Kosuge M, Ebina T, Umemura S, Kimura K. Glycemic Variability on Continuous Glucose Monitoring System Predicts Rapid Progression of Non-Culprit Lesions in Patients With Acute Coronary Syndrome. Circ J. 2015;79(10):2246-54.</w:t>
                  </w:r>
                </w:p>
              </w:tc>
              <w:tc>
                <w:tcPr/>
                <w:p>
                  <w:pPr>
                    <w:pStyle w:val="Compact"/>
                    <w:jc w:val="center"/>
                  </w:pPr>
                  <w:r>
                    <w:t xml:space="preserve">Studies post-surgery</w:t>
                  </w:r>
                </w:p>
              </w:tc>
            </w:tr>
            <w:tr>
              <w:tc>
                <w:tcPr/>
                <w:p>
                  <w:pPr>
                    <w:pStyle w:val="Compact"/>
                  </w:pPr>
                </w:p>
              </w:tc>
              <w:tc>
                <w:tcPr/>
                <w:p>
                  <w:pPr>
                    <w:pStyle w:val="Compact"/>
                    <w:jc w:val="center"/>
                  </w:pPr>
                  <w:r>
                    <w:t xml:space="preserve"> </w:t>
                  </w:r>
                </w:p>
              </w:tc>
            </w:tr>
            <w:tr>
              <w:tc>
                <w:tcPr/>
                <w:p>
                  <w:pPr>
                    <w:pStyle w:val="Compact"/>
                    <w:jc w:val="center"/>
                  </w:pPr>
                  <w:r>
                    <w:t xml:space="preserve">Sugimoto H, Hironaka K, Yamada T, Otowa-Suematsu N, Hirota Y, Otake H, Hirata K, Sakaguchi K, Ogawa W, Kuroda S. Three components of glucose dynamics – value, variability, and autocorrelation – are independently associated with coronary plaque vulnerability. medRxiv 2023.11.21.23298816.</w:t>
                  </w:r>
                </w:p>
              </w:tc>
              <w:tc>
                <w:tcPr/>
                <w:p>
                  <w:pPr>
                    <w:pStyle w:val="Compact"/>
                    <w:jc w:val="center"/>
                  </w:pPr>
                  <w:r>
                    <w:t xml:space="preserve">Other reason (preprint)</w:t>
                  </w:r>
                </w:p>
              </w:tc>
            </w:tr>
            <w:tr>
              <w:tc>
                <w:tcPr/>
                <w:p>
                  <w:pPr>
                    <w:pStyle w:val="Compact"/>
                  </w:pPr>
                </w:p>
              </w:tc>
              <w:tc>
                <w:tcPr/>
                <w:p>
                  <w:pPr>
                    <w:pStyle w:val="Compact"/>
                    <w:jc w:val="center"/>
                  </w:pPr>
                  <w:r>
                    <w:t xml:space="preserve"> </w:t>
                  </w:r>
                </w:p>
              </w:tc>
            </w:tr>
          </w:tbl>
          <w:bookmarkEnd w:id="445"/>
          <w:p/>
        </w:tc>
      </w:tr>
    </w:tbl>
    <w:bookmarkEnd w:id="446"/>
    <w:bookmarkStart w:id="452" w:name="sec-suppl-geo-map"/>
    <w:p>
      <w:pPr>
        <w:pStyle w:val="Heading1"/>
      </w:pPr>
      <w:r>
        <w:t xml:space="preserve">Appendix A — Study I: Geographical Location</w:t>
      </w:r>
    </w:p>
    <w:p>
      <w:pPr>
        <w:pStyle w:val="FirstParagraph"/>
      </w:pPr>
      <w:r>
        <w:t xml:space="preserve">Asia (n=27)</w:t>
      </w:r>
    </w:p>
    <w:p>
      <w:pPr>
        <w:pStyle w:val="Compact"/>
        <w:numPr>
          <w:ilvl w:val="0"/>
          <w:numId w:val="1003"/>
        </w:numPr>
      </w:pPr>
      <w:r>
        <w:t xml:space="preserve">China (n=19)</w:t>
      </w:r>
    </w:p>
    <w:p>
      <w:pPr>
        <w:pStyle w:val="Compact"/>
        <w:numPr>
          <w:ilvl w:val="0"/>
          <w:numId w:val="1003"/>
        </w:numPr>
      </w:pPr>
      <w:r>
        <w:t xml:space="preserve">Japan (n=8)</w:t>
      </w:r>
    </w:p>
    <w:p>
      <w:pPr>
        <w:pStyle w:val="FirstParagraph"/>
      </w:pPr>
      <w:r>
        <w:t xml:space="preserve">Europe (n=22)</w:t>
      </w:r>
    </w:p>
    <w:p>
      <w:pPr>
        <w:pStyle w:val="Compact"/>
        <w:numPr>
          <w:ilvl w:val="0"/>
          <w:numId w:val="1004"/>
        </w:numPr>
      </w:pPr>
      <w:r>
        <w:t xml:space="preserve">Italy (n=7)</w:t>
      </w:r>
    </w:p>
    <w:p>
      <w:pPr>
        <w:pStyle w:val="Compact"/>
        <w:numPr>
          <w:ilvl w:val="0"/>
          <w:numId w:val="1004"/>
        </w:numPr>
      </w:pPr>
      <w:r>
        <w:t xml:space="preserve">Belgium (n=3)</w:t>
      </w:r>
    </w:p>
    <w:p>
      <w:pPr>
        <w:pStyle w:val="Compact"/>
        <w:numPr>
          <w:ilvl w:val="0"/>
          <w:numId w:val="1004"/>
        </w:numPr>
      </w:pPr>
      <w:r>
        <w:t xml:space="preserve">Ukraine (n=2)</w:t>
      </w:r>
    </w:p>
    <w:p>
      <w:pPr>
        <w:pStyle w:val="Compact"/>
        <w:numPr>
          <w:ilvl w:val="0"/>
          <w:numId w:val="1004"/>
        </w:numPr>
      </w:pPr>
      <w:r>
        <w:t xml:space="preserve">Finland (n=2)</w:t>
      </w:r>
    </w:p>
    <w:p>
      <w:pPr>
        <w:pStyle w:val="Compact"/>
        <w:numPr>
          <w:ilvl w:val="0"/>
          <w:numId w:val="1004"/>
        </w:numPr>
      </w:pPr>
      <w:r>
        <w:t xml:space="preserve">Spain (n=2)</w:t>
      </w:r>
    </w:p>
    <w:p>
      <w:pPr>
        <w:pStyle w:val="Compact"/>
        <w:numPr>
          <w:ilvl w:val="0"/>
          <w:numId w:val="1004"/>
        </w:numPr>
      </w:pPr>
      <w:r>
        <w:t xml:space="preserve">Greece (n=1)</w:t>
      </w:r>
    </w:p>
    <w:p>
      <w:pPr>
        <w:pStyle w:val="Compact"/>
        <w:numPr>
          <w:ilvl w:val="0"/>
          <w:numId w:val="1004"/>
        </w:numPr>
      </w:pPr>
      <w:r>
        <w:t xml:space="preserve">Malta (n=1)</w:t>
      </w:r>
    </w:p>
    <w:p>
      <w:pPr>
        <w:pStyle w:val="Compact"/>
        <w:numPr>
          <w:ilvl w:val="0"/>
          <w:numId w:val="1004"/>
        </w:numPr>
      </w:pPr>
      <w:r>
        <w:t xml:space="preserve">Sweden (n=1)</w:t>
      </w:r>
    </w:p>
    <w:p>
      <w:pPr>
        <w:pStyle w:val="Compact"/>
        <w:numPr>
          <w:ilvl w:val="0"/>
          <w:numId w:val="1004"/>
        </w:numPr>
      </w:pPr>
      <w:r>
        <w:t xml:space="preserve">The Netherlands (n=1)</w:t>
      </w:r>
    </w:p>
    <w:p>
      <w:pPr>
        <w:pStyle w:val="Compact"/>
        <w:numPr>
          <w:ilvl w:val="0"/>
          <w:numId w:val="1004"/>
        </w:numPr>
      </w:pPr>
      <w:r>
        <w:t xml:space="preserve">Portugal (n=1)</w:t>
      </w:r>
    </w:p>
    <w:p>
      <w:pPr>
        <w:pStyle w:val="Compact"/>
        <w:numPr>
          <w:ilvl w:val="0"/>
          <w:numId w:val="1004"/>
        </w:numPr>
      </w:pPr>
      <w:r>
        <w:t xml:space="preserve">Russia (n=1)</w:t>
      </w:r>
    </w:p>
    <w:p>
      <w:pPr>
        <w:pStyle w:val="FirstParagraph"/>
      </w:pPr>
      <w:r>
        <w:t xml:space="preserve">North America (n=2)</w:t>
      </w:r>
    </w:p>
    <w:p>
      <w:pPr>
        <w:pStyle w:val="Compact"/>
        <w:numPr>
          <w:ilvl w:val="0"/>
          <w:numId w:val="1005"/>
        </w:numPr>
      </w:pPr>
      <w:r>
        <w:t xml:space="preserve">USA (n=2)</w:t>
      </w:r>
    </w:p>
    <w:p>
      <w:pPr>
        <w:pStyle w:val="FirstParagraph"/>
      </w:pPr>
      <w:r>
        <w:t xml:space="preserve">Australia / Oceania (n=1)</w:t>
      </w:r>
    </w:p>
    <w:p>
      <w:pPr>
        <w:pStyle w:val="Compact"/>
        <w:numPr>
          <w:ilvl w:val="0"/>
          <w:numId w:val="1006"/>
        </w:numPr>
      </w:pPr>
      <w:r>
        <w:t xml:space="preserve">Australia (n=1)</w:t>
      </w:r>
    </w:p>
    <w:p>
      <w:pPr>
        <w:pStyle w:val="FirstParagraph"/>
      </w:pPr>
      <w:r>
        <w:t xml:space="preserve">Borg 2011(ADAG study) had study centers in:</w:t>
      </w:r>
    </w:p>
    <w:p>
      <w:pPr>
        <w:pStyle w:val="Compact"/>
        <w:numPr>
          <w:ilvl w:val="0"/>
          <w:numId w:val="1007"/>
        </w:numPr>
      </w:pPr>
      <w:r>
        <w:t xml:space="preserve">Europe: Netherlands, Denmark, Italy</w:t>
      </w:r>
    </w:p>
    <w:p>
      <w:pPr>
        <w:pStyle w:val="Compact"/>
        <w:numPr>
          <w:ilvl w:val="0"/>
          <w:numId w:val="1007"/>
        </w:numPr>
      </w:pPr>
      <w:r>
        <w:t xml:space="preserve">Africa: 2011</w:t>
      </w:r>
    </w:p>
    <w:p>
      <w:pPr>
        <w:pStyle w:val="Compact"/>
        <w:numPr>
          <w:ilvl w:val="0"/>
          <w:numId w:val="1007"/>
        </w:numPr>
      </w:pPr>
      <w:r>
        <w:t xml:space="preserve">North America: USA</w:t>
      </w:r>
    </w:p>
    <w:p>
      <w:pPr>
        <w:pStyle w:val="FirstParagraph"/>
      </w:pPr>
      <w:r>
        <w:t xml:space="preserve">Borg R, Kuenen J C, Carstensen B, Zheng H, Nathan D M, Heine R J, et al. HbA1(c) and</w:t>
      </w:r>
      <w:r>
        <w:t xml:space="preserve"> </w:t>
      </w:r>
      <w:r>
        <w:t xml:space="preserve">mean blood glucose show stronger associations with cardiovascular disease risk factors than do postprandial glycaemia or glucose variability in persons with diabetes: the A1C-Derived Average Glucose (ADAG) study. 2011; ADAG Study Group, editor. Diabetologia. 54: 69–72. doi:10.1007/s00125-010-1918-2</w:t>
      </w:r>
    </w:p>
    <w:p>
      <w:pPr>
        <w:sectPr/>
      </w:pPr>
    </w:p>
    <w:bookmarkStart w:id="448" w:name="sec-suppl-subclin-results"/>
    <w:p>
      <w:pPr>
        <w:pStyle w:val="Heading1"/>
      </w:pPr>
      <w:r>
        <w:t xml:space="preserve">Appendix A — Study I: Clinical and Subclinical Results</w:t>
      </w:r>
    </w:p>
    <w:tbl>
      <w:tblPr>
        <w:tblStyle w:val="Table"/>
        <w:tblW w:type="pct" w:w="5000"/>
        <w:tblLayout w:type="fixed"/>
        <w:tblLook w:firstRow="0" w:lastRow="0" w:firstColumn="0" w:lastColumn="0" w:noHBand="0" w:noVBand="0" w:val="0000"/>
      </w:tblPr>
      <w:tblGrid>
        <w:gridCol w:w="7920"/>
      </w:tblGrid>
      <w:tr>
        <w:tc>
          <w:tcPr/>
          <w:bookmarkStart w:id="447" w:name="tbl-study1-clinical-overview"/>
          <w:p>
            <w:pPr>
              <w:jc w:val="center"/>
            </w:pPr>
            <w:pPr>
              <w:jc w:val="left"/>
              <w:spacing w:before="200"/>
              <w:pStyle w:val="ImageCaption"/>
            </w:pPr>
            <w:r>
              <w:t xml:space="preserve">Table D.1: Study design and demographics of the clinical outcome studies.</w:t>
            </w:r>
          </w:p>
          <w:tbl>
            <w:tblPr>
              <w:tblStyle w:val="Table"/>
              <w:tblW w:type="pct" w:w="5000"/>
              <w:tblLayout w:type="fixed"/>
              <w:tblLook w:firstRow="1" w:lastRow="0" w:firstColumn="0" w:lastColumn="0" w:noHBand="0" w:noVBand="0" w:val="0020"/>
            </w:tblPr>
            <w:tblGrid>
              <w:gridCol w:w="712"/>
              <w:gridCol w:w="1108"/>
              <w:gridCol w:w="1584"/>
              <w:gridCol w:w="396"/>
              <w:gridCol w:w="1108"/>
              <w:gridCol w:w="1108"/>
              <w:gridCol w:w="1108"/>
              <w:gridCol w:w="792"/>
            </w:tblGrid>
            <w:tr>
              <w:trPr>
                <w:tblHeader w:val="on"/>
              </w:trPr>
              <w:tc>
                <w:tcPr/>
                <w:p>
                  <w:pPr>
                    <w:pStyle w:val="Compact"/>
                    <w:jc w:val="left"/>
                    <w:jc w:val="center"/>
                  </w:pPr>
                  <w:r>
                    <w:t xml:space="preserve">Author, year</w:t>
                  </w:r>
                </w:p>
              </w:tc>
              <w:tc>
                <w:tcPr/>
                <w:p>
                  <w:pPr>
                    <w:pStyle w:val="Compact"/>
                    <w:jc w:val="left"/>
                    <w:jc w:val="center"/>
                  </w:pPr>
                  <w:r>
                    <w:t xml:space="preserve">Study Design</w:t>
                  </w:r>
                </w:p>
              </w:tc>
              <w:tc>
                <w:tcPr/>
                <w:p>
                  <w:pPr>
                    <w:pStyle w:val="Compact"/>
                    <w:jc w:val="left"/>
                    <w:jc w:val="center"/>
                  </w:pPr>
                  <w:r>
                    <w:t xml:space="preserve">Population</w:t>
                  </w:r>
                </w:p>
              </w:tc>
              <w:tc>
                <w:tcPr/>
                <w:p>
                  <w:pPr>
                    <w:pStyle w:val="Compact"/>
                    <w:jc w:val="center"/>
                    <w:jc w:val="center"/>
                  </w:pPr>
                  <w:r>
                    <w:t xml:space="preserve">Size</w:t>
                  </w:r>
                </w:p>
              </w:tc>
              <w:tc>
                <w:tcPr/>
                <w:p>
                  <w:pPr>
                    <w:pStyle w:val="Compact"/>
                    <w:jc w:val="left"/>
                    <w:jc w:val="center"/>
                  </w:pPr>
                  <w:r>
                    <w:t xml:space="preserve">Age (Years)</w:t>
                  </w:r>
                </w:p>
              </w:tc>
              <w:tc>
                <w:tcPr/>
                <w:p>
                  <w:pPr>
                    <w:pStyle w:val="Compact"/>
                    <w:jc w:val="left"/>
                    <w:jc w:val="center"/>
                  </w:pPr>
                  <w:r>
                    <w:t xml:space="preserve">Diabetes duration (Years)</w:t>
                  </w:r>
                </w:p>
              </w:tc>
              <w:tc>
                <w:tcPr/>
                <w:p>
                  <w:pPr>
                    <w:pStyle w:val="Compact"/>
                    <w:jc w:val="left"/>
                    <w:jc w:val="center"/>
                  </w:pPr>
                  <w:r>
                    <w:t xml:space="preserve">HbA1c, mmol/mol (%)</w:t>
                  </w:r>
                </w:p>
              </w:tc>
              <w:tc>
                <w:tcPr/>
                <w:p>
                  <w:pPr>
                    <w:pStyle w:val="Compact"/>
                    <w:jc w:val="left"/>
                    <w:jc w:val="center"/>
                  </w:pPr>
                  <w:r>
                    <w:t xml:space="preserve">CGM duration</w:t>
                  </w:r>
                </w:p>
              </w:tc>
            </w:tr>
            <w:tr>
              <w:tc>
                <w:tcPr/>
                <w:p>
                  <w:pPr>
                    <w:pStyle w:val="Compact"/>
                    <w:jc w:val="left"/>
                    <w:jc w:val="center"/>
                  </w:pPr>
                  <w:r>
                    <w:t xml:space="preserve">Chen, 2020</w:t>
                  </w:r>
                  <m:oMath>
                    <m:sSup>
                      <m:e>
                        <m:r>
                          <m:t>​</m:t>
                        </m:r>
                      </m:e>
                      <m:sup>
                        <m:r>
                          <m:rPr>
                            <m:sty m:val="p"/>
                          </m:rPr>
                          <m:t>†</m:t>
                        </m:r>
                      </m:sup>
                    </m:sSup>
                  </m:oMath>
                </w:p>
              </w:tc>
              <w:tc>
                <w:tcPr/>
                <w:p>
                  <w:pPr>
                    <w:pStyle w:val="Compact"/>
                    <w:jc w:val="left"/>
                    <w:jc w:val="center"/>
                  </w:pPr>
                  <w:r>
                    <w:t xml:space="preserve">Longitudinal (prospective) and cross-sectional (retrospective)</w:t>
                  </w:r>
                  <w:r>
                    <w:t xml:space="preserve">FU: in-hospital or within 3 months after discharge from hospital</w:t>
                  </w:r>
                </w:p>
              </w:tc>
              <w:tc>
                <w:tcPr/>
                <w:p>
                  <w:pPr>
                    <w:pStyle w:val="Compact"/>
                    <w:jc w:val="left"/>
                    <w:jc w:val="center"/>
                  </w:pPr>
                  <w:r>
                    <w:t xml:space="preserve">T2D with CAD (Only male)</w:t>
                  </w:r>
                  <w:r>
                    <w:t xml:space="preserve">BG control, n = 90</w:t>
                  </w:r>
                  <w:r>
                    <w:t xml:space="preserve">BG fluctuation, n = 120</w:t>
                  </w:r>
                </w:p>
              </w:tc>
              <w:tc>
                <w:tcPr/>
                <w:p>
                  <w:pPr>
                    <w:pStyle w:val="Compact"/>
                    <w:jc w:val="center"/>
                    <w:jc w:val="center"/>
                  </w:pPr>
                  <w:r>
                    <w:t xml:space="preserve">210</w:t>
                  </w:r>
                </w:p>
              </w:tc>
              <w:tc>
                <w:tcPr/>
                <w:p>
                  <w:pPr>
                    <w:pStyle w:val="Compact"/>
                    <w:jc w:val="left"/>
                    <w:jc w:val="center"/>
                  </w:pPr>
                  <w:r>
                    <w:t xml:space="preserve">BG controls: 55.53</w:t>
                  </w:r>
                  <w:r>
                    <w:t xml:space="preserve"> </w:t>
                  </w:r>
                  <m:oMath>
                    <m:r>
                      <m:rPr>
                        <m:sty m:val="p"/>
                      </m:rPr>
                      <m:t>±</m:t>
                    </m:r>
                  </m:oMath>
                  <w:r>
                    <w:t xml:space="preserve"> </w:t>
                  </w:r>
                  <w:r>
                    <w:t xml:space="preserve">7.30</w:t>
                  </w:r>
                  <w:r>
                    <w:t xml:space="preserve">BG fluctuation: 56.41</w:t>
                  </w:r>
                  <w:r>
                    <w:t xml:space="preserve"> </w:t>
                  </w:r>
                  <m:oMath>
                    <m:r>
                      <m:rPr>
                        <m:sty m:val="p"/>
                      </m:rPr>
                      <m:t>±</m:t>
                    </m:r>
                  </m:oMath>
                  <w:r>
                    <w:t xml:space="preserve"> </w:t>
                  </w:r>
                  <w:r>
                    <w:t xml:space="preserve">7.67</w:t>
                  </w:r>
                </w:p>
              </w:tc>
              <w:tc>
                <w:tcPr/>
                <w:p>
                  <w:pPr>
                    <w:pStyle w:val="Compact"/>
                    <w:jc w:val="left"/>
                    <w:jc w:val="center"/>
                  </w:pPr>
                  <w:r>
                    <w:t xml:space="preserve">BG controls: 6.59</w:t>
                  </w:r>
                  <w:r>
                    <w:t xml:space="preserve"> </w:t>
                  </w:r>
                  <m:oMath>
                    <m:r>
                      <m:rPr>
                        <m:sty m:val="p"/>
                      </m:rPr>
                      <m:t>±</m:t>
                    </m:r>
                  </m:oMath>
                  <w:r>
                    <w:t xml:space="preserve"> </w:t>
                  </w:r>
                  <w:r>
                    <w:t xml:space="preserve">2.30</w:t>
                  </w:r>
                  <w:r>
                    <w:t xml:space="preserve">BG fluctuation group: 6.92</w:t>
                  </w:r>
                  <w:r>
                    <w:t xml:space="preserve"> </w:t>
                  </w:r>
                  <m:oMath>
                    <m:r>
                      <m:rPr>
                        <m:sty m:val="p"/>
                      </m:rPr>
                      <m:t>±</m:t>
                    </m:r>
                  </m:oMath>
                  <w:r>
                    <w:t xml:space="preserve"> </w:t>
                  </w:r>
                  <w:r>
                    <w:t xml:space="preserve">2.25</w:t>
                  </w:r>
                </w:p>
              </w:tc>
              <w:tc>
                <w:tcPr/>
                <w:p>
                  <w:pPr>
                    <w:pStyle w:val="Compact"/>
                    <w:jc w:val="left"/>
                    <w:jc w:val="center"/>
                  </w:pPr>
                  <w:r>
                    <w:t xml:space="preserve">nr</w:t>
                  </w:r>
                </w:p>
              </w:tc>
              <w:tc>
                <w:tcPr/>
                <w:p>
                  <w:pPr>
                    <w:pStyle w:val="Compact"/>
                    <w:jc w:val="left"/>
                    <w:jc w:val="center"/>
                  </w:pPr>
                  <w:r>
                    <w:t xml:space="preserve">2 days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He, 2023</w:t>
                  </w:r>
                </w:p>
              </w:tc>
              <w:tc>
                <w:tcPr/>
                <w:p>
                  <w:pPr>
                    <w:pStyle w:val="Compact"/>
                    <w:jc w:val="left"/>
                    <w:jc w:val="center"/>
                  </w:pPr>
                  <w:r>
                    <w:t xml:space="preserve">Longitudinal (prospective)</w:t>
                  </w:r>
                  <w:r>
                    <w:t xml:space="preserve">FU: 1 year</w:t>
                  </w:r>
                </w:p>
              </w:tc>
              <w:tc>
                <w:tcPr/>
                <w:p>
                  <w:pPr>
                    <w:pStyle w:val="Compact"/>
                    <w:jc w:val="left"/>
                    <w:jc w:val="center"/>
                  </w:pPr>
                  <w:r>
                    <w:t xml:space="preserve">T2D with kidney disease on hemodialysis</w:t>
                  </w:r>
                  <w:r>
                    <w:t xml:space="preserve">High TIR, n = 12</w:t>
                  </w:r>
                  <w:r>
                    <w:t xml:space="preserve">Low TIR, n = 15</w:t>
                  </w:r>
                </w:p>
              </w:tc>
              <w:tc>
                <w:tcPr/>
                <w:p>
                  <w:pPr>
                    <w:pStyle w:val="Compact"/>
                    <w:jc w:val="center"/>
                    <w:jc w:val="center"/>
                  </w:pPr>
                  <w:r>
                    <w:t xml:space="preserve">27</w:t>
                  </w:r>
                </w:p>
              </w:tc>
              <w:tc>
                <w:tcPr/>
                <w:p>
                  <w:pPr>
                    <w:pStyle w:val="Compact"/>
                    <w:jc w:val="left"/>
                    <w:jc w:val="center"/>
                  </w:pPr>
                  <w:r>
                    <w:t xml:space="preserve">High TIR: 66 [63, 73]</w:t>
                  </w:r>
                  <w:r>
                    <w:t xml:space="preserve">Low TIR: 70 [64, 75]</w:t>
                  </w:r>
                </w:p>
              </w:tc>
              <w:tc>
                <w:tcPr/>
                <w:p>
                  <w:pPr>
                    <w:pStyle w:val="Compact"/>
                    <w:jc w:val="left"/>
                    <w:jc w:val="center"/>
                  </w:pPr>
                  <w:r>
                    <w:t xml:space="preserve">High TIR: 2 [1.7, 10]</w:t>
                  </w:r>
                  <w:r>
                    <w:t xml:space="preserve">Low TIR: 5 [0.75, 20]</w:t>
                  </w:r>
                </w:p>
              </w:tc>
              <w:tc>
                <w:tcPr/>
                <w:p>
                  <w:pPr>
                    <w:pStyle w:val="Compact"/>
                    <w:jc w:val="left"/>
                    <w:jc w:val="center"/>
                  </w:pPr>
                  <w:r>
                    <w:t xml:space="preserve">High TIR: 43 [37, 51] mmol/mol (6.1 [5.5, 6.8]%)</w:t>
                  </w:r>
                  <w:r>
                    <w:t xml:space="preserve">Low TIR: 66 [46, 70] mmol/mol (8.2 [6.4, 8.6]%)</w:t>
                  </w:r>
                </w:p>
              </w:tc>
              <w:tc>
                <w:tcPr/>
                <w:p>
                  <w:pPr>
                    <w:pStyle w:val="Compact"/>
                    <w:jc w:val="left"/>
                    <w:jc w:val="center"/>
                  </w:pPr>
                  <w:r>
                    <w:t xml:space="preserve">14 days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Lu, 2021</w:t>
                  </w:r>
                </w:p>
              </w:tc>
              <w:tc>
                <w:tcPr/>
                <w:p>
                  <w:pPr>
                    <w:pStyle w:val="Compact"/>
                    <w:jc w:val="left"/>
                    <w:jc w:val="center"/>
                  </w:pPr>
                  <w:r>
                    <w:t xml:space="preserve">Longitudinal (prospective)</w:t>
                  </w:r>
                  <w:r>
                    <w:t xml:space="preserve">FU: until death occurred or 3–13 years</w:t>
                  </w:r>
                  <w:r>
                    <w:t xml:space="preserve">Median: 6.9 years</w:t>
                  </w:r>
                </w:p>
              </w:tc>
              <w:tc>
                <w:tcPr/>
                <w:p>
                  <w:pPr>
                    <w:pStyle w:val="Compact"/>
                    <w:jc w:val="left"/>
                    <w:jc w:val="center"/>
                  </w:pPr>
                  <w:r>
                    <w:t xml:space="preserve">T2D, hospitalized</w:t>
                  </w:r>
                </w:p>
              </w:tc>
              <w:tc>
                <w:tcPr/>
                <w:p>
                  <w:pPr>
                    <w:pStyle w:val="Compact"/>
                    <w:jc w:val="center"/>
                    <w:jc w:val="center"/>
                  </w:pPr>
                  <w:r>
                    <w:t xml:space="preserve">6225</w:t>
                  </w:r>
                </w:p>
              </w:tc>
              <w:tc>
                <w:tcPr/>
                <w:p>
                  <w:pPr>
                    <w:pStyle w:val="Compact"/>
                    <w:jc w:val="left"/>
                    <w:jc w:val="center"/>
                  </w:pPr>
                  <w:r>
                    <w:t xml:space="preserve">mean age = 61.7 years</w:t>
                  </w:r>
                </w:p>
              </w:tc>
              <w:tc>
                <w:tcPr/>
                <w:p>
                  <w:pPr>
                    <w:pStyle w:val="Compact"/>
                    <w:jc w:val="left"/>
                    <w:jc w:val="center"/>
                  </w:pPr>
                  <w:r>
                    <w:t xml:space="preserve">mean: 9.7 years</w:t>
                  </w:r>
                </w:p>
              </w:tc>
              <w:tc>
                <w:tcPr/>
                <w:p>
                  <w:pPr>
                    <w:pStyle w:val="Compact"/>
                    <w:jc w:val="left"/>
                    <w:jc w:val="center"/>
                  </w:pPr>
                  <w:r>
                    <w:t xml:space="preserve">74.0</w:t>
                  </w:r>
                  <w:r>
                    <w:t xml:space="preserve"> </w:t>
                  </w:r>
                  <m:oMath>
                    <m:r>
                      <m:rPr>
                        <m:sty m:val="p"/>
                      </m:rPr>
                      <m:t>±</m:t>
                    </m:r>
                  </m:oMath>
                  <w:r>
                    <w:t xml:space="preserve"> </w:t>
                  </w:r>
                  <w:r>
                    <w:t xml:space="preserve">24.0 mmol/mol (8.9</w:t>
                  </w:r>
                  <w:r>
                    <w:t xml:space="preserve"> </w:t>
                  </w:r>
                  <m:oMath>
                    <m:r>
                      <m:rPr>
                        <m:sty m:val="p"/>
                      </m:rPr>
                      <m:t>±</m:t>
                    </m:r>
                  </m:oMath>
                  <w:r>
                    <w:t xml:space="preserve"> </w:t>
                  </w:r>
                  <w:r>
                    <w:t xml:space="preserve">2.2%)</w:t>
                  </w:r>
                </w:p>
              </w:tc>
              <w:tc>
                <w:tcPr/>
                <w:p>
                  <w:pPr>
                    <w:pStyle w:val="Compact"/>
                    <w:jc w:val="left"/>
                    <w:jc w:val="center"/>
                  </w:pPr>
                  <w:r>
                    <w:t xml:space="preserve">72 hours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Wei, 2019</w:t>
                  </w:r>
                </w:p>
              </w:tc>
              <w:tc>
                <w:tcPr/>
                <w:p>
                  <w:pPr>
                    <w:pStyle w:val="Compact"/>
                    <w:jc w:val="left"/>
                    <w:jc w:val="center"/>
                  </w:pPr>
                  <w:r>
                    <w:t xml:space="preserve">Longitudinal (prospective)</w:t>
                  </w:r>
                  <w:r>
                    <w:t xml:space="preserve">Median FU [IQR]: 31 months (22, 56)</w:t>
                  </w:r>
                </w:p>
              </w:tc>
              <w:tc>
                <w:tcPr/>
                <w:p>
                  <w:pPr>
                    <w:pStyle w:val="Compact"/>
                    <w:jc w:val="left"/>
                    <w:jc w:val="center"/>
                  </w:pPr>
                  <w:r>
                    <w:t xml:space="preserve">T2D Divided into three groups:</w:t>
                  </w:r>
                  <w:r>
                    <w:t xml:space="preserve">1) No hypo, n = 1173</w:t>
                  </w:r>
                  <w:r>
                    <w:t xml:space="preserve">2) Mild hypo (lvl1), n = 323</w:t>
                  </w:r>
                  <w:r>
                    <w:t xml:space="preserve">3) Severe hypo (lvl3), n = 24</w:t>
                  </w:r>
                </w:p>
              </w:tc>
              <w:tc>
                <w:tcPr/>
                <w:p>
                  <w:pPr>
                    <w:pStyle w:val="Compact"/>
                    <w:jc w:val="center"/>
                    <w:jc w:val="center"/>
                  </w:pPr>
                  <w:r>
                    <w:t xml:space="preserve">1520</w:t>
                  </w:r>
                </w:p>
              </w:tc>
              <w:tc>
                <w:tcPr/>
                <w:p>
                  <w:pPr>
                    <w:pStyle w:val="Compact"/>
                    <w:jc w:val="left"/>
                    <w:jc w:val="center"/>
                  </w:pPr>
                  <w:r>
                    <w:t xml:space="preserve">No hypoglycemia: 58.59</w:t>
                  </w:r>
                  <w:r>
                    <w:t xml:space="preserve"> </w:t>
                  </w:r>
                  <m:oMath>
                    <m:r>
                      <m:rPr>
                        <m:sty m:val="p"/>
                      </m:rPr>
                      <m:t>±</m:t>
                    </m:r>
                  </m:oMath>
                  <w:r>
                    <w:t xml:space="preserve"> </w:t>
                  </w:r>
                  <w:r>
                    <w:t xml:space="preserve">11.26</w:t>
                  </w:r>
                  <w:r>
                    <w:t xml:space="preserve">Hypoglycemia: 62.27</w:t>
                  </w:r>
                  <w:r>
                    <w:t xml:space="preserve"> </w:t>
                  </w:r>
                  <m:oMath>
                    <m:r>
                      <m:rPr>
                        <m:sty m:val="p"/>
                      </m:rPr>
                      <m:t>±</m:t>
                    </m:r>
                  </m:oMath>
                  <w:r>
                    <w:t xml:space="preserve"> </w:t>
                  </w:r>
                  <w:r>
                    <w:t xml:space="preserve">11.58</w:t>
                  </w:r>
                </w:p>
              </w:tc>
              <w:tc>
                <w:tcPr/>
                <w:p>
                  <w:pPr>
                    <w:pStyle w:val="Compact"/>
                    <w:jc w:val="left"/>
                    <w:jc w:val="center"/>
                  </w:pPr>
                  <w:r>
                    <w:t xml:space="preserve">No hypoglycemia: 6.46</w:t>
                  </w:r>
                  <w:r>
                    <w:t xml:space="preserve"> </w:t>
                  </w:r>
                  <m:oMath>
                    <m:r>
                      <m:rPr>
                        <m:sty m:val="p"/>
                      </m:rPr>
                      <m:t>±</m:t>
                    </m:r>
                  </m:oMath>
                  <w:r>
                    <w:t xml:space="preserve"> </w:t>
                  </w:r>
                  <w:r>
                    <w:t xml:space="preserve">6.00</w:t>
                  </w:r>
                  <w:r>
                    <w:t xml:space="preserve">Hypoglycemia: 7.78</w:t>
                  </w:r>
                  <w:r>
                    <w:t xml:space="preserve"> </w:t>
                  </w:r>
                  <m:oMath>
                    <m:r>
                      <m:rPr>
                        <m:sty m:val="p"/>
                      </m:rPr>
                      <m:t>±</m:t>
                    </m:r>
                  </m:oMath>
                  <w:r>
                    <w:t xml:space="preserve"> </w:t>
                  </w:r>
                  <w:r>
                    <w:t xml:space="preserve">7.37</w:t>
                  </w:r>
                </w:p>
              </w:tc>
              <w:tc>
                <w:tcPr/>
                <w:p>
                  <w:pPr>
                    <w:pStyle w:val="Compact"/>
                    <w:jc w:val="left"/>
                    <w:jc w:val="center"/>
                  </w:pPr>
                  <w:r>
                    <w:t xml:space="preserve">No hypoglycemia: (8.19</w:t>
                  </w:r>
                  <w:r>
                    <w:t xml:space="preserve"> </w:t>
                  </w:r>
                  <m:oMath>
                    <m:r>
                      <m:rPr>
                        <m:sty m:val="p"/>
                      </m:rPr>
                      <m:t>±</m:t>
                    </m:r>
                  </m:oMath>
                  <w:r>
                    <w:t xml:space="preserve"> </w:t>
                  </w:r>
                  <w:r>
                    <w:t xml:space="preserve">2.10%)</w:t>
                  </w:r>
                  <w:r>
                    <w:t xml:space="preserve">Hypoglycemia: (7.73</w:t>
                  </w:r>
                  <w:r>
                    <w:t xml:space="preserve"> </w:t>
                  </w:r>
                  <m:oMath>
                    <m:r>
                      <m:rPr>
                        <m:sty m:val="p"/>
                      </m:rPr>
                      <m:t>±</m:t>
                    </m:r>
                  </m:oMath>
                  <w:r>
                    <w:t xml:space="preserve"> </w:t>
                  </w:r>
                  <w:r>
                    <w:t xml:space="preserve">1.96%)</w:t>
                  </w:r>
                </w:p>
              </w:tc>
              <w:tc>
                <w:tcPr/>
                <w:p>
                  <w:pPr>
                    <w:pStyle w:val="Compact"/>
                    <w:jc w:val="left"/>
                    <w:jc w:val="center"/>
                  </w:pPr>
                  <w:r>
                    <w:t xml:space="preserve">3 days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Bezerra, 2023</w:t>
                  </w:r>
                </w:p>
              </w:tc>
              <w:tc>
                <w:tcPr/>
                <w:p>
                  <w:pPr>
                    <w:pStyle w:val="Compact"/>
                    <w:jc w:val="left"/>
                    <w:jc w:val="center"/>
                  </w:pPr>
                  <w:r>
                    <w:t xml:space="preserve">Cross-sectional</w:t>
                  </w:r>
                </w:p>
              </w:tc>
              <w:tc>
                <w:tcPr/>
                <w:p>
                  <w:pPr>
                    <w:pStyle w:val="Compact"/>
                    <w:jc w:val="left"/>
                    <w:jc w:val="center"/>
                  </w:pPr>
                  <w:r>
                    <w:t xml:space="preserve">T1D</w:t>
                  </w:r>
                </w:p>
              </w:tc>
              <w:tc>
                <w:tcPr/>
                <w:p>
                  <w:pPr>
                    <w:pStyle w:val="Compact"/>
                    <w:jc w:val="center"/>
                    <w:jc w:val="center"/>
                  </w:pPr>
                  <w:r>
                    <w:t xml:space="preserve">161</w:t>
                  </w:r>
                </w:p>
              </w:tc>
              <w:tc>
                <w:tcPr/>
                <w:p>
                  <w:pPr>
                    <w:pStyle w:val="Compact"/>
                    <w:jc w:val="left"/>
                    <w:jc w:val="center"/>
                  </w:pPr>
                  <w:r>
                    <w:t xml:space="preserve">37.4</w:t>
                  </w:r>
                  <w:r>
                    <w:t xml:space="preserve"> </w:t>
                  </w:r>
                  <m:oMath>
                    <m:r>
                      <m:rPr>
                        <m:sty m:val="p"/>
                      </m:rPr>
                      <m:t>±</m:t>
                    </m:r>
                  </m:oMath>
                  <w:r>
                    <w:t xml:space="preserve"> </w:t>
                  </w:r>
                  <w:r>
                    <w:t xml:space="preserve">13.4</w:t>
                  </w:r>
                </w:p>
              </w:tc>
              <w:tc>
                <w:tcPr/>
                <w:p>
                  <w:pPr>
                    <w:pStyle w:val="Compact"/>
                    <w:jc w:val="left"/>
                    <w:jc w:val="center"/>
                  </w:pPr>
                  <w:r>
                    <w:t xml:space="preserve">17.7</w:t>
                  </w:r>
                  <w:r>
                    <w:t xml:space="preserve"> </w:t>
                  </w:r>
                  <m:oMath>
                    <m:r>
                      <m:rPr>
                        <m:sty m:val="p"/>
                      </m:rPr>
                      <m:t>±</m:t>
                    </m:r>
                  </m:oMath>
                  <w:r>
                    <w:t xml:space="preserve"> </w:t>
                  </w:r>
                  <w:r>
                    <w:t xml:space="preserve">10.6</w:t>
                  </w:r>
                </w:p>
              </w:tc>
              <w:tc>
                <w:tcPr/>
                <w:p>
                  <w:pPr>
                    <w:pStyle w:val="Compact"/>
                    <w:jc w:val="left"/>
                    <w:jc w:val="center"/>
                  </w:pPr>
                  <w:r>
                    <w:t xml:space="preserve">(7.5</w:t>
                  </w:r>
                  <w:r>
                    <w:t xml:space="preserve"> </w:t>
                  </w:r>
                  <m:oMath>
                    <m:r>
                      <m:rPr>
                        <m:sty m:val="p"/>
                      </m:rPr>
                      <m:t>±</m:t>
                    </m:r>
                  </m:oMath>
                  <w:r>
                    <w:t xml:space="preserve"> </w:t>
                  </w:r>
                  <w:r>
                    <w:t xml:space="preserve">1.1%)</w:t>
                  </w:r>
                </w:p>
              </w:tc>
              <w:tc>
                <w:tcPr/>
                <w:p>
                  <w:pPr>
                    <w:pStyle w:val="Compact"/>
                    <w:jc w:val="left"/>
                    <w:jc w:val="center"/>
                  </w:pPr>
                  <w:r>
                    <w:t xml:space="preserve">14 days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De Meulemeester, 2024</w:t>
                  </w:r>
                  <m:oMath>
                    <m:sSup>
                      <m:e>
                        <m:r>
                          <m:t>​</m:t>
                        </m:r>
                      </m:e>
                      <m:sup>
                        <m:r>
                          <m:rPr>
                            <m:sty m:val="p"/>
                          </m:rPr>
                          <m:t>†</m:t>
                        </m:r>
                      </m:sup>
                    </m:sSup>
                  </m:oMath>
                </w:p>
              </w:tc>
              <w:tc>
                <w:tcPr/>
                <w:p>
                  <w:pPr>
                    <w:pStyle w:val="Compact"/>
                    <w:jc w:val="left"/>
                    <w:jc w:val="center"/>
                  </w:pPr>
                  <w:r>
                    <w:t xml:space="preserve">Cross-sectional</w:t>
                  </w:r>
                </w:p>
              </w:tc>
              <w:tc>
                <w:tcPr/>
                <w:p>
                  <w:pPr>
                    <w:pStyle w:val="Compact"/>
                    <w:jc w:val="left"/>
                    <w:jc w:val="center"/>
                  </w:pPr>
                  <w:r>
                    <w:t xml:space="preserve">T1D</w:t>
                  </w:r>
                </w:p>
              </w:tc>
              <w:tc>
                <w:tcPr/>
                <w:p>
                  <w:pPr>
                    <w:pStyle w:val="Compact"/>
                    <w:jc w:val="center"/>
                    <w:jc w:val="center"/>
                  </w:pPr>
                  <w:r>
                    <w:t xml:space="preserve">808</w:t>
                  </w:r>
                </w:p>
              </w:tc>
              <w:tc>
                <w:tcPr/>
                <w:p>
                  <w:pPr>
                    <w:pStyle w:val="Compact"/>
                    <w:jc w:val="left"/>
                    <w:jc w:val="center"/>
                  </w:pPr>
                  <w:r>
                    <w:t xml:space="preserve">44.8</w:t>
                  </w:r>
                  <w:r>
                    <w:t xml:space="preserve"> </w:t>
                  </w:r>
                  <m:oMath>
                    <m:r>
                      <m:rPr>
                        <m:sty m:val="p"/>
                      </m:rPr>
                      <m:t>±</m:t>
                    </m:r>
                  </m:oMath>
                  <w:r>
                    <w:t xml:space="preserve"> </w:t>
                  </w:r>
                  <w:r>
                    <w:t xml:space="preserve">15.2</w:t>
                  </w:r>
                </w:p>
              </w:tc>
              <w:tc>
                <w:tcPr/>
                <w:p>
                  <w:pPr>
                    <w:pStyle w:val="Compact"/>
                    <w:jc w:val="left"/>
                    <w:jc w:val="center"/>
                  </w:pPr>
                  <w:r>
                    <w:t xml:space="preserve">23.1</w:t>
                  </w:r>
                  <w:r>
                    <w:t xml:space="preserve"> </w:t>
                  </w:r>
                  <m:oMath>
                    <m:r>
                      <m:rPr>
                        <m:sty m:val="p"/>
                      </m:rPr>
                      <m:t>±</m:t>
                    </m:r>
                  </m:oMath>
                  <w:r>
                    <w:t xml:space="preserve"> </w:t>
                  </w:r>
                  <w:r>
                    <w:t xml:space="preserve">13.6</w:t>
                  </w:r>
                </w:p>
              </w:tc>
              <w:tc>
                <w:tcPr/>
                <w:p>
                  <w:pPr>
                    <w:pStyle w:val="Compact"/>
                    <w:jc w:val="left"/>
                    <w:jc w:val="center"/>
                  </w:pPr>
                  <w:r>
                    <w:t xml:space="preserve">63</w:t>
                  </w:r>
                  <w:r>
                    <w:t xml:space="preserve"> </w:t>
                  </w:r>
                  <m:oMath>
                    <m:r>
                      <m:rPr>
                        <m:sty m:val="p"/>
                      </m:rPr>
                      <m:t>±</m:t>
                    </m:r>
                  </m:oMath>
                  <w:r>
                    <w:t xml:space="preserve"> </w:t>
                  </w:r>
                  <w:r>
                    <w:t xml:space="preserve">13 mmol/mol (7.9</w:t>
                  </w:r>
                  <w:r>
                    <w:t xml:space="preserve"> </w:t>
                  </w:r>
                  <m:oMath>
                    <m:r>
                      <m:rPr>
                        <m:sty m:val="p"/>
                      </m:rPr>
                      <m:t>±</m:t>
                    </m:r>
                  </m:oMath>
                  <w:r>
                    <w:t xml:space="preserve"> </w:t>
                  </w:r>
                  <w:r>
                    <w:t xml:space="preserve">1.2%)</w:t>
                  </w:r>
                </w:p>
              </w:tc>
              <w:tc>
                <w:tcPr/>
                <w:p>
                  <w:pPr>
                    <w:pStyle w:val="Compact"/>
                    <w:jc w:val="left"/>
                    <w:jc w:val="center"/>
                  </w:pPr>
                  <w:r>
                    <w:t xml:space="preserve">2 weeks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Deng, 2023</w:t>
                  </w:r>
                </w:p>
              </w:tc>
              <w:tc>
                <w:tcPr/>
                <w:p>
                  <w:pPr>
                    <w:pStyle w:val="Compact"/>
                    <w:jc w:val="left"/>
                    <w:jc w:val="center"/>
                  </w:pPr>
                  <w:r>
                    <w:t xml:space="preserve">Cross-sectional</w:t>
                  </w:r>
                </w:p>
              </w:tc>
              <w:tc>
                <w:tcPr/>
                <w:p>
                  <w:pPr>
                    <w:pStyle w:val="Compact"/>
                    <w:jc w:val="left"/>
                    <w:jc w:val="center"/>
                  </w:pPr>
                  <w:r>
                    <w:t xml:space="preserve">T2D</w:t>
                  </w:r>
                </w:p>
              </w:tc>
              <w:tc>
                <w:tcPr/>
                <w:p>
                  <w:pPr>
                    <w:pStyle w:val="Compact"/>
                    <w:jc w:val="center"/>
                    <w:jc w:val="center"/>
                  </w:pPr>
                  <w:r>
                    <w:t xml:space="preserve">860</w:t>
                  </w:r>
                </w:p>
              </w:tc>
              <w:tc>
                <w:tcPr/>
                <w:p>
                  <w:pPr>
                    <w:pStyle w:val="Compact"/>
                    <w:jc w:val="left"/>
                    <w:jc w:val="center"/>
                  </w:pPr>
                  <w:r>
                    <w:t xml:space="preserve">HP 1 carriers: 53.5</w:t>
                  </w:r>
                  <w:r>
                    <w:t xml:space="preserve"> </w:t>
                  </w:r>
                  <m:oMath>
                    <m:r>
                      <m:rPr>
                        <m:sty m:val="p"/>
                      </m:rPr>
                      <m:t>±</m:t>
                    </m:r>
                  </m:oMath>
                  <w:r>
                    <w:t xml:space="preserve"> </w:t>
                  </w:r>
                  <w:r>
                    <w:t xml:space="preserve">13.3</w:t>
                  </w:r>
                  <w:r>
                    <w:t xml:space="preserve">HP 2-2: 51.7</w:t>
                  </w:r>
                  <w:r>
                    <w:t xml:space="preserve"> </w:t>
                  </w:r>
                  <m:oMath>
                    <m:r>
                      <m:rPr>
                        <m:sty m:val="p"/>
                      </m:rPr>
                      <m:t>±</m:t>
                    </m:r>
                  </m:oMath>
                  <w:r>
                    <w:t xml:space="preserve"> </w:t>
                  </w:r>
                  <w:r>
                    <w:t xml:space="preserve">14.6</w:t>
                  </w:r>
                </w:p>
              </w:tc>
              <w:tc>
                <w:tcPr/>
                <w:p>
                  <w:pPr>
                    <w:pStyle w:val="Compact"/>
                    <w:jc w:val="left"/>
                    <w:jc w:val="center"/>
                  </w:pPr>
                  <w:r>
                    <w:t xml:space="preserve">HP 1 carriers: 8.6</w:t>
                  </w:r>
                  <w:r>
                    <w:t xml:space="preserve"> </w:t>
                  </w:r>
                  <m:oMath>
                    <m:r>
                      <m:rPr>
                        <m:sty m:val="p"/>
                      </m:rPr>
                      <m:t>±</m:t>
                    </m:r>
                  </m:oMath>
                  <w:r>
                    <w:t xml:space="preserve"> </w:t>
                  </w:r>
                  <w:r>
                    <w:t xml:space="preserve">6.4</w:t>
                  </w:r>
                  <w:r>
                    <w:t xml:space="preserve">HP 2-2: 8.6</w:t>
                  </w:r>
                  <w:r>
                    <w:t xml:space="preserve"> </w:t>
                  </w:r>
                  <m:oMath>
                    <m:r>
                      <m:rPr>
                        <m:sty m:val="p"/>
                      </m:rPr>
                      <m:t>±</m:t>
                    </m:r>
                  </m:oMath>
                  <w:r>
                    <w:t xml:space="preserve"> </w:t>
                  </w:r>
                  <w:r>
                    <w:t xml:space="preserve">6.7</w:t>
                  </w:r>
                </w:p>
              </w:tc>
              <w:tc>
                <w:tcPr/>
                <w:p>
                  <w:pPr>
                    <w:pStyle w:val="Compact"/>
                    <w:jc w:val="left"/>
                    <w:jc w:val="center"/>
                  </w:pPr>
                  <w:r>
                    <w:t xml:space="preserve">HP1 carriers: 73.0</w:t>
                  </w:r>
                  <w:r>
                    <w:t xml:space="preserve"> </w:t>
                  </w:r>
                  <m:oMath>
                    <m:r>
                      <m:rPr>
                        <m:sty m:val="p"/>
                      </m:rPr>
                      <m:t>±</m:t>
                    </m:r>
                  </m:oMath>
                  <w:r>
                    <w:t xml:space="preserve"> </w:t>
                  </w:r>
                  <w:r>
                    <w:t xml:space="preserve">24.0 mmol/mol (8.8</w:t>
                  </w:r>
                  <w:r>
                    <w:t xml:space="preserve"> </w:t>
                  </w:r>
                  <m:oMath>
                    <m:r>
                      <m:rPr>
                        <m:sty m:val="p"/>
                      </m:rPr>
                      <m:t>±</m:t>
                    </m:r>
                  </m:oMath>
                  <w:r>
                    <w:t xml:space="preserve"> </w:t>
                  </w:r>
                  <w:r>
                    <w:t xml:space="preserve">2.2%)</w:t>
                  </w:r>
                  <w:r>
                    <w:t xml:space="preserve">Hp2-2: 72.0</w:t>
                  </w:r>
                  <w:r>
                    <w:t xml:space="preserve"> </w:t>
                  </w:r>
                  <m:oMath>
                    <m:r>
                      <m:rPr>
                        <m:sty m:val="p"/>
                      </m:rPr>
                      <m:t>±</m:t>
                    </m:r>
                  </m:oMath>
                  <w:r>
                    <w:t xml:space="preserve"> </w:t>
                  </w:r>
                  <w:r>
                    <w:t xml:space="preserve">23.0 mmol/mol (8.7</w:t>
                  </w:r>
                  <w:r>
                    <w:t xml:space="preserve"> </w:t>
                  </w:r>
                  <m:oMath>
                    <m:r>
                      <m:rPr>
                        <m:sty m:val="p"/>
                      </m:rPr>
                      <m:t>±</m:t>
                    </m:r>
                  </m:oMath>
                  <w:r>
                    <w:t xml:space="preserve"> </w:t>
                  </w:r>
                  <w:r>
                    <w:t xml:space="preserve">2.1)</w:t>
                  </w:r>
                </w:p>
              </w:tc>
              <w:tc>
                <w:tcPr/>
                <w:p>
                  <w:pPr>
                    <w:pStyle w:val="Compact"/>
                    <w:jc w:val="left"/>
                    <w:jc w:val="center"/>
                  </w:pPr>
                  <w:r>
                    <w:t xml:space="preserve">3 days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El Malahi, 2022</w:t>
                  </w:r>
                </w:p>
              </w:tc>
              <w:tc>
                <w:tcPr/>
                <w:p>
                  <w:pPr>
                    <w:pStyle w:val="Compact"/>
                    <w:jc w:val="left"/>
                    <w:jc w:val="center"/>
                  </w:pPr>
                  <w:r>
                    <w:t xml:space="preserve">Cross-sectional</w:t>
                  </w:r>
                </w:p>
              </w:tc>
              <w:tc>
                <w:tcPr/>
                <w:p>
                  <w:pPr>
                    <w:pStyle w:val="Compact"/>
                    <w:jc w:val="left"/>
                    <w:jc w:val="center"/>
                  </w:pPr>
                  <w:r>
                    <w:t xml:space="preserve">T1D starting on sensor-augmented pump therapy</w:t>
                  </w:r>
                </w:p>
              </w:tc>
              <w:tc>
                <w:tcPr/>
                <w:p>
                  <w:pPr>
                    <w:pStyle w:val="Compact"/>
                    <w:jc w:val="center"/>
                    <w:jc w:val="center"/>
                  </w:pPr>
                  <w:r>
                    <w:t xml:space="preserve">515</w:t>
                  </w:r>
                </w:p>
              </w:tc>
              <w:tc>
                <w:tcPr/>
                <w:p>
                  <w:pPr>
                    <w:pStyle w:val="Compact"/>
                    <w:jc w:val="left"/>
                    <w:jc w:val="center"/>
                  </w:pPr>
                  <w:r>
                    <w:t xml:space="preserve">Mean</w:t>
                  </w:r>
                  <w:r>
                    <w:t xml:space="preserve"> </w:t>
                  </w:r>
                  <m:oMath>
                    <m:r>
                      <m:rPr>
                        <m:sty m:val="p"/>
                      </m:rPr>
                      <m:t>±</m:t>
                    </m:r>
                  </m:oMath>
                  <w:r>
                    <w:t xml:space="preserve"> </w:t>
                  </w:r>
                  <w:r>
                    <w:t xml:space="preserve">SD [years]:</w:t>
                  </w:r>
                  <w:r>
                    <w:t xml:space="preserve">42.2</w:t>
                  </w:r>
                  <w:r>
                    <w:t xml:space="preserve"> </w:t>
                  </w:r>
                  <m:oMath>
                    <m:r>
                      <m:rPr>
                        <m:sty m:val="p"/>
                      </m:rPr>
                      <m:t>±</m:t>
                    </m:r>
                  </m:oMath>
                  <w:r>
                    <w:t xml:space="preserve"> </w:t>
                  </w:r>
                  <w:r>
                    <w:t xml:space="preserve">12.5</w:t>
                  </w:r>
                </w:p>
              </w:tc>
              <w:tc>
                <w:tcPr/>
                <w:p>
                  <w:pPr>
                    <w:pStyle w:val="Compact"/>
                    <w:jc w:val="left"/>
                    <w:jc w:val="center"/>
                  </w:pPr>
                  <w:r>
                    <w:t xml:space="preserve">22.3</w:t>
                  </w:r>
                  <w:r>
                    <w:t xml:space="preserve"> </w:t>
                  </w:r>
                  <m:oMath>
                    <m:r>
                      <m:rPr>
                        <m:sty m:val="p"/>
                      </m:rPr>
                      <m:t>±</m:t>
                    </m:r>
                  </m:oMath>
                  <w:r>
                    <w:t xml:space="preserve"> </w:t>
                  </w:r>
                  <w:r>
                    <w:t xml:space="preserve">11.6</w:t>
                  </w:r>
                </w:p>
              </w:tc>
              <w:tc>
                <w:tcPr/>
                <w:p>
                  <w:pPr>
                    <w:pStyle w:val="Compact"/>
                    <w:jc w:val="left"/>
                    <w:jc w:val="center"/>
                  </w:pPr>
                  <w:r>
                    <w:t xml:space="preserve">60</w:t>
                  </w:r>
                  <w:r>
                    <w:t xml:space="preserve"> </w:t>
                  </w:r>
                  <m:oMath>
                    <m:r>
                      <m:rPr>
                        <m:sty m:val="p"/>
                      </m:rPr>
                      <m:t>±</m:t>
                    </m:r>
                  </m:oMath>
                  <w:r>
                    <w:t xml:space="preserve"> </w:t>
                  </w:r>
                  <w:r>
                    <w:t xml:space="preserve">9.8 mmol/mol (7.6</w:t>
                  </w:r>
                  <w:r>
                    <w:t xml:space="preserve"> </w:t>
                  </w:r>
                  <m:oMath>
                    <m:r>
                      <m:rPr>
                        <m:sty m:val="p"/>
                      </m:rPr>
                      <m:t>±</m:t>
                    </m:r>
                  </m:oMath>
                  <w:r>
                    <w:t xml:space="preserve"> </w:t>
                  </w:r>
                  <w:r>
                    <w:t xml:space="preserve">0.9 %)</w:t>
                  </w:r>
                </w:p>
              </w:tc>
              <w:tc>
                <w:tcPr/>
                <w:p>
                  <w:pPr>
                    <w:pStyle w:val="Compact"/>
                    <w:jc w:val="left"/>
                    <w:jc w:val="center"/>
                  </w:pPr>
                  <w:r>
                    <w:t xml:space="preserve">2 weeks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Guo, 2021</w:t>
                  </w:r>
                </w:p>
              </w:tc>
              <w:tc>
                <w:tcPr/>
                <w:p>
                  <w:pPr>
                    <w:pStyle w:val="Compact"/>
                    <w:jc w:val="left"/>
                    <w:jc w:val="center"/>
                  </w:pPr>
                  <w:r>
                    <w:t xml:space="preserve">Cross-sectional</w:t>
                  </w:r>
                </w:p>
              </w:tc>
              <w:tc>
                <w:tcPr/>
                <w:p>
                  <w:pPr>
                    <w:pStyle w:val="Compact"/>
                    <w:jc w:val="left"/>
                    <w:jc w:val="center"/>
                  </w:pPr>
                  <w:r>
                    <w:t xml:space="preserve">T1D or T2D with atrial fibrillation</w:t>
                  </w:r>
                  <w:r>
                    <w:t xml:space="preserve">With Stroke, n = 48</w:t>
                  </w:r>
                  <w:r>
                    <w:t xml:space="preserve">Without Stroke, n = 462</w:t>
                  </w:r>
                </w:p>
              </w:tc>
              <w:tc>
                <w:tcPr/>
                <w:p>
                  <w:pPr>
                    <w:pStyle w:val="Compact"/>
                    <w:jc w:val="center"/>
                    <w:jc w:val="center"/>
                  </w:pPr>
                  <w:r>
                    <w:t xml:space="preserve">510</w:t>
                  </w:r>
                </w:p>
              </w:tc>
              <w:tc>
                <w:tcPr/>
                <w:p>
                  <w:pPr>
                    <w:pStyle w:val="Compact"/>
                    <w:jc w:val="left"/>
                    <w:jc w:val="center"/>
                  </w:pPr>
                  <w:r>
                    <w:t xml:space="preserve">Stroke: 70.3</w:t>
                  </w:r>
                  <w:r>
                    <w:t xml:space="preserve"> </w:t>
                  </w:r>
                  <m:oMath>
                    <m:r>
                      <m:rPr>
                        <m:sty m:val="p"/>
                      </m:rPr>
                      <m:t>±</m:t>
                    </m:r>
                  </m:oMath>
                  <w:r>
                    <w:t xml:space="preserve"> </w:t>
                  </w:r>
                  <w:r>
                    <w:t xml:space="preserve">12.1</w:t>
                  </w:r>
                  <w:r>
                    <w:t xml:space="preserve">No stroke: 68.1</w:t>
                  </w:r>
                  <w:r>
                    <w:t xml:space="preserve"> </w:t>
                  </w:r>
                  <m:oMath>
                    <m:r>
                      <m:rPr>
                        <m:sty m:val="p"/>
                      </m:rPr>
                      <m:t>±</m:t>
                    </m:r>
                  </m:oMath>
                  <w:r>
                    <w:t xml:space="preserve"> </w:t>
                  </w:r>
                  <w:r>
                    <w:t xml:space="preserve">9.4</w:t>
                  </w:r>
                </w:p>
              </w:tc>
              <w:tc>
                <w:tcPr/>
                <w:p>
                  <w:pPr>
                    <w:pStyle w:val="Compact"/>
                    <w:jc w:val="left"/>
                    <w:jc w:val="center"/>
                  </w:pPr>
                  <w:r>
                    <w:t xml:space="preserve">nr</w:t>
                  </w:r>
                </w:p>
              </w:tc>
              <w:tc>
                <w:tcPr/>
                <w:p>
                  <w:pPr>
                    <w:pStyle w:val="Compact"/>
                    <w:jc w:val="left"/>
                    <w:jc w:val="center"/>
                  </w:pPr>
                  <w:r>
                    <w:t xml:space="preserve">No Stroke: 7.4</w:t>
                  </w:r>
                  <w:r>
                    <w:t xml:space="preserve"> </w:t>
                  </w:r>
                  <m:oMath>
                    <m:r>
                      <m:rPr>
                        <m:sty m:val="p"/>
                      </m:rPr>
                      <m:t>±</m:t>
                    </m:r>
                  </m:oMath>
                  <w:r>
                    <w:t xml:space="preserve"> </w:t>
                  </w:r>
                  <w:r>
                    <w:t xml:space="preserve">2.1</w:t>
                  </w:r>
                  <w:r>
                    <w:t xml:space="preserve">Stroke: 8.2</w:t>
                  </w:r>
                  <w:r>
                    <w:t xml:space="preserve"> </w:t>
                  </w:r>
                  <m:oMath>
                    <m:r>
                      <m:rPr>
                        <m:sty m:val="p"/>
                      </m:rPr>
                      <m:t>±</m:t>
                    </m:r>
                  </m:oMath>
                  <w:r>
                    <w:t xml:space="preserve"> </w:t>
                  </w:r>
                  <w:r>
                    <w:t xml:space="preserve">1.7</w:t>
                  </w:r>
                </w:p>
              </w:tc>
              <w:tc>
                <w:tcPr/>
                <w:p>
                  <w:pPr>
                    <w:pStyle w:val="Compact"/>
                    <w:jc w:val="left"/>
                    <w:jc w:val="center"/>
                  </w:pPr>
                  <w:r>
                    <w:t xml:space="preserve">72 hour</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Li, 2020</w:t>
                  </w:r>
                </w:p>
              </w:tc>
              <w:tc>
                <w:tcPr/>
                <w:p>
                  <w:pPr>
                    <w:pStyle w:val="Compact"/>
                    <w:jc w:val="left"/>
                    <w:jc w:val="center"/>
                  </w:pPr>
                  <w:r>
                    <w:t xml:space="preserve">Cross-sectional</w:t>
                  </w:r>
                </w:p>
              </w:tc>
              <w:tc>
                <w:tcPr/>
                <w:p>
                  <w:pPr>
                    <w:pStyle w:val="Compact"/>
                    <w:jc w:val="left"/>
                    <w:jc w:val="center"/>
                  </w:pPr>
                  <w:r>
                    <w:t xml:space="preserve">T2D with LEAD, n = 179</w:t>
                  </w:r>
                  <w:r>
                    <w:t xml:space="preserve">T2D without LEAD, n = 157</w:t>
                  </w:r>
                </w:p>
              </w:tc>
              <w:tc>
                <w:tcPr/>
                <w:p>
                  <w:pPr>
                    <w:pStyle w:val="Compact"/>
                    <w:jc w:val="center"/>
                    <w:jc w:val="center"/>
                  </w:pPr>
                  <w:r>
                    <w:t xml:space="preserve">336</w:t>
                  </w:r>
                </w:p>
              </w:tc>
              <w:tc>
                <w:tcPr/>
                <w:p>
                  <w:pPr>
                    <w:pStyle w:val="Compact"/>
                    <w:jc w:val="left"/>
                    <w:jc w:val="center"/>
                  </w:pPr>
                  <w:r>
                    <w:t xml:space="preserve">Without LEAD: 55.94</w:t>
                  </w:r>
                  <w:r>
                    <w:t xml:space="preserve"> </w:t>
                  </w:r>
                  <m:oMath>
                    <m:r>
                      <m:rPr>
                        <m:sty m:val="p"/>
                      </m:rPr>
                      <m:t>±</m:t>
                    </m:r>
                  </m:oMath>
                  <w:r>
                    <w:t xml:space="preserve"> </w:t>
                  </w:r>
                  <w:r>
                    <w:t xml:space="preserve">12.45</w:t>
                  </w:r>
                  <w:r>
                    <w:t xml:space="preserve">With LEAD: 65.56</w:t>
                  </w:r>
                  <w:r>
                    <w:t xml:space="preserve"> </w:t>
                  </w:r>
                  <m:oMath>
                    <m:r>
                      <m:rPr>
                        <m:sty m:val="p"/>
                      </m:rPr>
                      <m:t>±</m:t>
                    </m:r>
                  </m:oMath>
                  <w:r>
                    <w:t xml:space="preserve"> </w:t>
                  </w:r>
                  <w:r>
                    <w:t xml:space="preserve">11.99</w:t>
                  </w:r>
                </w:p>
              </w:tc>
              <w:tc>
                <w:tcPr/>
                <w:p>
                  <w:pPr>
                    <w:pStyle w:val="Compact"/>
                    <w:jc w:val="left"/>
                    <w:jc w:val="center"/>
                  </w:pPr>
                  <w:r>
                    <w:t xml:space="preserve">Without LEAD: 6.92</w:t>
                  </w:r>
                  <w:r>
                    <w:t xml:space="preserve"> </w:t>
                  </w:r>
                  <m:oMath>
                    <m:r>
                      <m:rPr>
                        <m:sty m:val="p"/>
                      </m:rPr>
                      <m:t>±</m:t>
                    </m:r>
                  </m:oMath>
                  <w:r>
                    <w:t xml:space="preserve"> </w:t>
                  </w:r>
                  <w:r>
                    <w:t xml:space="preserve">3.54</w:t>
                  </w:r>
                  <w:r>
                    <w:t xml:space="preserve">With LEAD: 10.32</w:t>
                  </w:r>
                  <w:r>
                    <w:t xml:space="preserve"> </w:t>
                  </w:r>
                  <m:oMath>
                    <m:r>
                      <m:rPr>
                        <m:sty m:val="p"/>
                      </m:rPr>
                      <m:t>±</m:t>
                    </m:r>
                  </m:oMath>
                  <w:r>
                    <w:t xml:space="preserve"> </w:t>
                  </w:r>
                  <w:r>
                    <w:t xml:space="preserve">4.14</w:t>
                  </w:r>
                </w:p>
              </w:tc>
              <w:tc>
                <w:tcPr/>
                <w:p>
                  <w:pPr>
                    <w:pStyle w:val="Compact"/>
                    <w:jc w:val="left"/>
                    <w:jc w:val="center"/>
                  </w:pPr>
                  <w:r>
                    <w:t xml:space="preserve">Without LEAD: 7.85</w:t>
                  </w:r>
                  <w:r>
                    <w:t xml:space="preserve"> </w:t>
                  </w:r>
                  <m:oMath>
                    <m:r>
                      <m:rPr>
                        <m:sty m:val="p"/>
                      </m:rPr>
                      <m:t>±</m:t>
                    </m:r>
                  </m:oMath>
                  <w:r>
                    <w:t xml:space="preserve"> </w:t>
                  </w:r>
                  <w:r>
                    <w:t xml:space="preserve">1.41%</w:t>
                  </w:r>
                  <w:r>
                    <w:t xml:space="preserve">With LEAD: 8.97</w:t>
                  </w:r>
                  <w:r>
                    <w:t xml:space="preserve"> </w:t>
                  </w:r>
                  <m:oMath>
                    <m:r>
                      <m:rPr>
                        <m:sty m:val="p"/>
                      </m:rPr>
                      <m:t>±</m:t>
                    </m:r>
                  </m:oMath>
                  <w:r>
                    <w:t xml:space="preserve"> </w:t>
                  </w:r>
                  <w:r>
                    <w:t xml:space="preserve">1.63%</w:t>
                  </w:r>
                </w:p>
              </w:tc>
              <w:tc>
                <w:tcPr/>
                <w:p>
                  <w:pPr>
                    <w:pStyle w:val="Compact"/>
                    <w:jc w:val="left"/>
                    <w:jc w:val="center"/>
                  </w:pPr>
                  <w:r>
                    <w:t xml:space="preserve">72 hours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Magri, 2018</w:t>
                  </w:r>
                  <m:oMath>
                    <m:sSup>
                      <m:e>
                        <m:r>
                          <m:t>​</m:t>
                        </m:r>
                      </m:e>
                      <m:sup>
                        <m:r>
                          <m:rPr>
                            <m:sty m:val="p"/>
                          </m:rPr>
                          <m:t>†</m:t>
                        </m:r>
                      </m:sup>
                    </m:sSup>
                  </m:oMath>
                </w:p>
              </w:tc>
              <w:tc>
                <w:tcPr/>
                <w:p>
                  <w:pPr>
                    <w:pStyle w:val="Compact"/>
                    <w:jc w:val="left"/>
                    <w:jc w:val="center"/>
                  </w:pPr>
                  <w:r>
                    <w:t xml:space="preserve">Cross-sectional</w:t>
                  </w:r>
                </w:p>
              </w:tc>
              <w:tc>
                <w:tcPr/>
                <w:p>
                  <w:pPr>
                    <w:pStyle w:val="Compact"/>
                    <w:jc w:val="left"/>
                    <w:jc w:val="center"/>
                  </w:pPr>
                  <w:r>
                    <w:t xml:space="preserve">T2D</w:t>
                  </w:r>
                </w:p>
              </w:tc>
              <w:tc>
                <w:tcPr/>
                <w:p>
                  <w:pPr>
                    <w:pStyle w:val="Compact"/>
                    <w:jc w:val="center"/>
                    <w:jc w:val="center"/>
                  </w:pPr>
                  <w:r>
                    <w:t xml:space="preserve">121</w:t>
                  </w:r>
                </w:p>
              </w:tc>
              <w:tc>
                <w:tcPr/>
                <w:p>
                  <w:pPr>
                    <w:pStyle w:val="Compact"/>
                    <w:jc w:val="left"/>
                    <w:jc w:val="center"/>
                  </w:pPr>
                  <w:r>
                    <w:t xml:space="preserve">64 [57, 68]</w:t>
                  </w:r>
                </w:p>
              </w:tc>
              <w:tc>
                <w:tcPr/>
                <w:p>
                  <w:pPr>
                    <w:pStyle w:val="Compact"/>
                    <w:jc w:val="left"/>
                    <w:jc w:val="center"/>
                  </w:pPr>
                  <w:r>
                    <w:t xml:space="preserve">3 [2, 5]</w:t>
                  </w:r>
                </w:p>
              </w:tc>
              <w:tc>
                <w:tcPr/>
                <w:p>
                  <w:pPr>
                    <w:pStyle w:val="Compact"/>
                    <w:jc w:val="left"/>
                    <w:jc w:val="center"/>
                  </w:pPr>
                  <w:r>
                    <w:t xml:space="preserve">median: 45 mmol/mol (6.8%)</w:t>
                  </w:r>
                </w:p>
              </w:tc>
              <w:tc>
                <w:tcPr/>
                <w:p>
                  <w:pPr>
                    <w:pStyle w:val="Compact"/>
                    <w:jc w:val="left"/>
                    <w:jc w:val="center"/>
                  </w:pPr>
                  <w:r>
                    <w:t xml:space="preserve">72 hours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Mi, 2012</w:t>
                  </w:r>
                </w:p>
              </w:tc>
              <w:tc>
                <w:tcPr/>
                <w:p>
                  <w:pPr>
                    <w:pStyle w:val="Compact"/>
                    <w:jc w:val="left"/>
                    <w:jc w:val="center"/>
                  </w:pPr>
                  <w:r>
                    <w:t xml:space="preserve">Cross-sectional</w:t>
                  </w:r>
                </w:p>
              </w:tc>
              <w:tc>
                <w:tcPr/>
                <w:p>
                  <w:pPr>
                    <w:pStyle w:val="Compact"/>
                    <w:jc w:val="left"/>
                    <w:jc w:val="center"/>
                  </w:pPr>
                  <w:r>
                    <w:t xml:space="preserve">T2D with chest pain</w:t>
                  </w:r>
                  <w:r>
                    <w:t xml:space="preserve">Without CAD, n = 202</w:t>
                  </w:r>
                  <w:r>
                    <w:t xml:space="preserve">With CAD, n = 84</w:t>
                  </w:r>
                </w:p>
              </w:tc>
              <w:tc>
                <w:tcPr/>
                <w:p>
                  <w:pPr>
                    <w:pStyle w:val="Compact"/>
                    <w:jc w:val="center"/>
                    <w:jc w:val="center"/>
                  </w:pPr>
                  <w:r>
                    <w:t xml:space="preserve">286</w:t>
                  </w:r>
                </w:p>
              </w:tc>
              <w:tc>
                <w:tcPr/>
                <w:p>
                  <w:pPr>
                    <w:pStyle w:val="Compact"/>
                    <w:jc w:val="left"/>
                    <w:jc w:val="center"/>
                  </w:pPr>
                  <w:r>
                    <w:t xml:space="preserve">Without CAD: 62.8</w:t>
                  </w:r>
                  <w:r>
                    <w:t xml:space="preserve"> </w:t>
                  </w:r>
                  <m:oMath>
                    <m:r>
                      <m:rPr>
                        <m:sty m:val="p"/>
                      </m:rPr>
                      <m:t>±</m:t>
                    </m:r>
                  </m:oMath>
                  <w:r>
                    <w:t xml:space="preserve"> </w:t>
                  </w:r>
                  <w:r>
                    <w:t xml:space="preserve">8.7</w:t>
                  </w:r>
                  <w:r>
                    <w:t xml:space="preserve">With CAD: 66.6</w:t>
                  </w:r>
                  <w:r>
                    <w:t xml:space="preserve"> </w:t>
                  </w:r>
                  <m:oMath>
                    <m:r>
                      <m:rPr>
                        <m:sty m:val="p"/>
                      </m:rPr>
                      <m:t>±</m:t>
                    </m:r>
                  </m:oMath>
                  <w:r>
                    <w:t xml:space="preserve"> </w:t>
                  </w:r>
                  <w:r>
                    <w:t xml:space="preserve">9.2</w:t>
                  </w:r>
                </w:p>
              </w:tc>
              <w:tc>
                <w:tcPr/>
                <w:p>
                  <w:pPr>
                    <w:pStyle w:val="Compact"/>
                    <w:jc w:val="left"/>
                    <w:jc w:val="center"/>
                  </w:pPr>
                  <w:r>
                    <w:t xml:space="preserve">nr</w:t>
                  </w:r>
                </w:p>
              </w:tc>
              <w:tc>
                <w:tcPr/>
                <w:p>
                  <w:pPr>
                    <w:pStyle w:val="Compact"/>
                    <w:jc w:val="left"/>
                    <w:jc w:val="center"/>
                  </w:pPr>
                  <w:r>
                    <w:t xml:space="preserve">Non-CAD: 7.51</w:t>
                  </w:r>
                  <w:r>
                    <w:t xml:space="preserve"> </w:t>
                  </w:r>
                  <m:oMath>
                    <m:r>
                      <m:rPr>
                        <m:sty m:val="p"/>
                      </m:rPr>
                      <m:t>±</m:t>
                    </m:r>
                  </m:oMath>
                  <w:r>
                    <w:t xml:space="preserve"> </w:t>
                  </w:r>
                  <w:r>
                    <w:t xml:space="preserve">0.80%</w:t>
                  </w:r>
                  <w:r>
                    <w:t xml:space="preserve">CAD: 7.75</w:t>
                  </w:r>
                  <w:r>
                    <w:t xml:space="preserve"> </w:t>
                  </w:r>
                  <m:oMath>
                    <m:r>
                      <m:rPr>
                        <m:sty m:val="p"/>
                      </m:rPr>
                      <m:t>±</m:t>
                    </m:r>
                  </m:oMath>
                  <w:r>
                    <w:t xml:space="preserve"> </w:t>
                  </w:r>
                  <w:r>
                    <w:t xml:space="preserve">0.92%</w:t>
                  </w:r>
                </w:p>
              </w:tc>
              <w:tc>
                <w:tcPr/>
                <w:p>
                  <w:pPr>
                    <w:pStyle w:val="Compact"/>
                    <w:jc w:val="left"/>
                    <w:jc w:val="center"/>
                  </w:pPr>
                  <w:r>
                    <w:t xml:space="preserve">72 hours (Only intermediate 48 hours were used)</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Sheng, 2023</w:t>
                  </w:r>
                </w:p>
              </w:tc>
              <w:tc>
                <w:tcPr/>
                <w:p>
                  <w:pPr>
                    <w:pStyle w:val="Compact"/>
                    <w:jc w:val="left"/>
                    <w:jc w:val="center"/>
                  </w:pPr>
                  <w:r>
                    <w:t xml:space="preserve">Cross-sectional</w:t>
                  </w:r>
                </w:p>
              </w:tc>
              <w:tc>
                <w:tcPr/>
                <w:p>
                  <w:pPr>
                    <w:pStyle w:val="Compact"/>
                    <w:jc w:val="left"/>
                    <w:jc w:val="center"/>
                  </w:pPr>
                  <w:r>
                    <w:t xml:space="preserve">T2D, hospitalized</w:t>
                  </w:r>
                </w:p>
              </w:tc>
              <w:tc>
                <w:tcPr/>
                <w:p>
                  <w:pPr>
                    <w:pStyle w:val="Compact"/>
                    <w:jc w:val="center"/>
                    <w:jc w:val="center"/>
                  </w:pPr>
                  <w:r>
                    <w:t xml:space="preserve">545</w:t>
                  </w:r>
                </w:p>
              </w:tc>
              <w:tc>
                <w:tcPr/>
                <w:p>
                  <w:pPr>
                    <w:pStyle w:val="Compact"/>
                    <w:jc w:val="left"/>
                    <w:jc w:val="center"/>
                  </w:pPr>
                  <w:r>
                    <w:t xml:space="preserve">mean age of (61.22</w:t>
                  </w:r>
                  <w:r>
                    <w:t xml:space="preserve"> </w:t>
                  </w:r>
                  <m:oMath>
                    <m:r>
                      <m:rPr>
                        <m:sty m:val="p"/>
                      </m:rPr>
                      <m:t>±</m:t>
                    </m:r>
                  </m:oMath>
                  <w:r>
                    <w:t xml:space="preserve"> </w:t>
                  </w:r>
                  <w:r>
                    <w:t xml:space="preserve">11.21) years</w:t>
                  </w:r>
                </w:p>
              </w:tc>
              <w:tc>
                <w:tcPr/>
                <w:p>
                  <w:pPr>
                    <w:pStyle w:val="Compact"/>
                    <w:jc w:val="left"/>
                    <w:jc w:val="center"/>
                  </w:pPr>
                  <w:r>
                    <w:t xml:space="preserve">nr</w:t>
                  </w:r>
                </w:p>
              </w:tc>
              <w:tc>
                <w:tcPr/>
                <w:p>
                  <w:pPr>
                    <w:pStyle w:val="Compact"/>
                    <w:jc w:val="left"/>
                    <w:jc w:val="center"/>
                  </w:pPr>
                  <w:r>
                    <w:t xml:space="preserve">8.51</w:t>
                  </w:r>
                  <w:r>
                    <w:t xml:space="preserve"> </w:t>
                  </w:r>
                  <m:oMath>
                    <m:r>
                      <m:rPr>
                        <m:sty m:val="p"/>
                      </m:rPr>
                      <m:t>±</m:t>
                    </m:r>
                  </m:oMath>
                  <w:r>
                    <w:t xml:space="preserve"> </w:t>
                  </w:r>
                  <w:r>
                    <w:t xml:space="preserve">1.85%</w:t>
                  </w:r>
                </w:p>
              </w:tc>
              <w:tc>
                <w:tcPr/>
                <w:p>
                  <w:pPr>
                    <w:pStyle w:val="Compact"/>
                    <w:jc w:val="left"/>
                    <w:jc w:val="center"/>
                  </w:pPr>
                  <w:r>
                    <w:t xml:space="preserve">7-14 days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Su, 2011</w:t>
                  </w:r>
                </w:p>
              </w:tc>
              <w:tc>
                <w:tcPr/>
                <w:p>
                  <w:pPr>
                    <w:pStyle w:val="Compact"/>
                    <w:jc w:val="left"/>
                    <w:jc w:val="center"/>
                  </w:pPr>
                  <w:r>
                    <w:t xml:space="preserve">Cross-sectional</w:t>
                  </w:r>
                </w:p>
              </w:tc>
              <w:tc>
                <w:tcPr/>
                <w:p>
                  <w:pPr>
                    <w:pStyle w:val="Compact"/>
                    <w:jc w:val="left"/>
                    <w:jc w:val="center"/>
                  </w:pPr>
                  <w:r>
                    <w:t xml:space="preserve">T2D with chest pain</w:t>
                  </w:r>
                  <w:r>
                    <w:t xml:space="preserve">Without CAD, n = 92</w:t>
                  </w:r>
                  <w:r>
                    <w:t xml:space="preserve">With CAD, n = 252</w:t>
                  </w:r>
                </w:p>
              </w:tc>
              <w:tc>
                <w:tcPr/>
                <w:p>
                  <w:pPr>
                    <w:pStyle w:val="Compact"/>
                    <w:jc w:val="center"/>
                    <w:jc w:val="center"/>
                  </w:pPr>
                  <w:r>
                    <w:t xml:space="preserve">344</w:t>
                  </w:r>
                </w:p>
              </w:tc>
              <w:tc>
                <w:tcPr/>
                <w:p>
                  <w:pPr>
                    <w:pStyle w:val="Compact"/>
                    <w:jc w:val="left"/>
                    <w:jc w:val="center"/>
                  </w:pPr>
                  <w:r>
                    <w:t xml:space="preserve">Without CAD: 61</w:t>
                  </w:r>
                  <w:r>
                    <w:t xml:space="preserve"> </w:t>
                  </w:r>
                  <m:oMath>
                    <m:r>
                      <m:rPr>
                        <m:sty m:val="p"/>
                      </m:rPr>
                      <m:t>±</m:t>
                    </m:r>
                  </m:oMath>
                  <w:r>
                    <w:t xml:space="preserve"> </w:t>
                  </w:r>
                  <w:r>
                    <w:t xml:space="preserve">9</w:t>
                  </w:r>
                  <w:r>
                    <w:t xml:space="preserve">With CAD: 65</w:t>
                  </w:r>
                  <w:r>
                    <w:t xml:space="preserve"> </w:t>
                  </w:r>
                  <m:oMath>
                    <m:r>
                      <m:rPr>
                        <m:sty m:val="p"/>
                      </m:rPr>
                      <m:t>±</m:t>
                    </m:r>
                  </m:oMath>
                  <w:r>
                    <w:t xml:space="preserve"> </w:t>
                  </w:r>
                  <w:r>
                    <w:t xml:space="preserve">9</w:t>
                  </w:r>
                </w:p>
              </w:tc>
              <w:tc>
                <w:tcPr/>
                <w:p>
                  <w:pPr>
                    <w:pStyle w:val="Compact"/>
                    <w:jc w:val="left"/>
                    <w:jc w:val="center"/>
                  </w:pPr>
                  <w:r>
                    <w:t xml:space="preserve">Without CAD: 4.8</w:t>
                  </w:r>
                  <w:r>
                    <w:t xml:space="preserve"> </w:t>
                  </w:r>
                  <m:oMath>
                    <m:r>
                      <m:rPr>
                        <m:sty m:val="p"/>
                      </m:rPr>
                      <m:t>±</m:t>
                    </m:r>
                  </m:oMath>
                  <w:r>
                    <w:t xml:space="preserve"> </w:t>
                  </w:r>
                  <w:r>
                    <w:t xml:space="preserve">5.7</w:t>
                  </w:r>
                  <w:r>
                    <w:t xml:space="preserve">With CAD: 6.5</w:t>
                  </w:r>
                  <w:r>
                    <w:t xml:space="preserve"> </w:t>
                  </w:r>
                  <m:oMath>
                    <m:r>
                      <m:rPr>
                        <m:sty m:val="p"/>
                      </m:rPr>
                      <m:t>±</m:t>
                    </m:r>
                  </m:oMath>
                  <w:r>
                    <w:t xml:space="preserve"> </w:t>
                  </w:r>
                  <w:r>
                    <w:t xml:space="preserve">6.4</w:t>
                  </w:r>
                </w:p>
              </w:tc>
              <w:tc>
                <w:tcPr/>
                <w:p>
                  <w:pPr>
                    <w:pStyle w:val="Compact"/>
                    <w:jc w:val="left"/>
                    <w:jc w:val="center"/>
                  </w:pPr>
                  <w:r>
                    <w:t xml:space="preserve">non-CAD: 7.5</w:t>
                  </w:r>
                  <w:r>
                    <w:t xml:space="preserve"> </w:t>
                  </w:r>
                  <m:oMath>
                    <m:r>
                      <m:rPr>
                        <m:sty m:val="p"/>
                      </m:rPr>
                      <m:t>±</m:t>
                    </m:r>
                  </m:oMath>
                  <w:r>
                    <w:t xml:space="preserve"> </w:t>
                  </w:r>
                  <w:r>
                    <w:t xml:space="preserve">1.4%</w:t>
                  </w:r>
                  <w:r>
                    <w:t xml:space="preserve">CAD: 7.6</w:t>
                  </w:r>
                  <w:r>
                    <w:t xml:space="preserve"> </w:t>
                  </w:r>
                  <m:oMath>
                    <m:r>
                      <m:rPr>
                        <m:sty m:val="p"/>
                      </m:rPr>
                      <m:t>±</m:t>
                    </m:r>
                  </m:oMath>
                  <w:r>
                    <w:t xml:space="preserve"> </w:t>
                  </w:r>
                  <w:r>
                    <w:t xml:space="preserve">1.5%</w:t>
                  </w:r>
                </w:p>
              </w:tc>
              <w:tc>
                <w:tcPr/>
                <w:p>
                  <w:pPr>
                    <w:pStyle w:val="Compact"/>
                    <w:jc w:val="left"/>
                    <w:jc w:val="center"/>
                  </w:pPr>
                  <w:r>
                    <w:t xml:space="preserve">72 hours (only 48 hours used)</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Watanabe, 2017</w:t>
                  </w:r>
                </w:p>
              </w:tc>
              <w:tc>
                <w:tcPr/>
                <w:p>
                  <w:pPr>
                    <w:pStyle w:val="Compact"/>
                    <w:jc w:val="left"/>
                    <w:jc w:val="center"/>
                  </w:pPr>
                  <w:r>
                    <w:t xml:space="preserve">Cross-sectional</w:t>
                  </w:r>
                </w:p>
              </w:tc>
              <w:tc>
                <w:tcPr/>
                <w:p>
                  <w:pPr>
                    <w:pStyle w:val="Compact"/>
                    <w:jc w:val="left"/>
                    <w:jc w:val="center"/>
                  </w:pPr>
                  <w:r>
                    <w:t xml:space="preserve">Prediabetes, hospitalized</w:t>
                  </w:r>
                </w:p>
              </w:tc>
              <w:tc>
                <w:tcPr/>
                <w:p>
                  <w:pPr>
                    <w:pStyle w:val="Compact"/>
                    <w:jc w:val="center"/>
                    <w:jc w:val="center"/>
                  </w:pPr>
                  <w:r>
                    <w:t xml:space="preserve">28</w:t>
                  </w:r>
                </w:p>
              </w:tc>
              <w:tc>
                <w:tcPr/>
                <w:p>
                  <w:pPr>
                    <w:pStyle w:val="Compact"/>
                    <w:jc w:val="left"/>
                    <w:jc w:val="center"/>
                  </w:pPr>
                  <w:r>
                    <w:t xml:space="preserve">64.3</w:t>
                  </w:r>
                  <w:r>
                    <w:t xml:space="preserve"> </w:t>
                  </w:r>
                  <m:oMath>
                    <m:r>
                      <m:rPr>
                        <m:sty m:val="p"/>
                      </m:rPr>
                      <m:t>±</m:t>
                    </m:r>
                  </m:oMath>
                  <w:r>
                    <w:t xml:space="preserve"> </w:t>
                  </w:r>
                  <w:r>
                    <w:t xml:space="preserve">12.8</w:t>
                  </w:r>
                </w:p>
              </w:tc>
              <w:tc>
                <w:tcPr/>
                <w:p>
                  <w:pPr>
                    <w:pStyle w:val="Compact"/>
                    <w:jc w:val="left"/>
                    <w:jc w:val="center"/>
                  </w:pPr>
                  <w:r>
                    <w:t xml:space="preserve">nr</w:t>
                  </w:r>
                </w:p>
              </w:tc>
              <w:tc>
                <w:tcPr/>
                <w:p>
                  <w:pPr>
                    <w:pStyle w:val="Compact"/>
                    <w:jc w:val="left"/>
                    <w:jc w:val="center"/>
                  </w:pPr>
                  <w:r>
                    <w:t xml:space="preserve">5.41</w:t>
                  </w:r>
                  <w:r>
                    <w:t xml:space="preserve"> </w:t>
                  </w:r>
                  <m:oMath>
                    <m:r>
                      <m:rPr>
                        <m:sty m:val="p"/>
                      </m:rPr>
                      <m:t>±</m:t>
                    </m:r>
                  </m:oMath>
                  <w:r>
                    <w:t xml:space="preserve"> </w:t>
                  </w:r>
                  <w:r>
                    <w:t xml:space="preserve">0.35%</w:t>
                  </w:r>
                </w:p>
              </w:tc>
              <w:tc>
                <w:tcPr/>
                <w:p>
                  <w:pPr>
                    <w:pStyle w:val="Compact"/>
                    <w:jc w:val="left"/>
                    <w:jc w:val="center"/>
                  </w:pPr>
                  <w:r>
                    <w:t xml:space="preserve">72 hours (Only used the middle 48 hours)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Zhang, 2013</w:t>
                  </w:r>
                </w:p>
              </w:tc>
              <w:tc>
                <w:tcPr/>
                <w:p>
                  <w:pPr>
                    <w:pStyle w:val="Compact"/>
                    <w:jc w:val="left"/>
                    <w:jc w:val="center"/>
                  </w:pPr>
                  <w:r>
                    <w:t xml:space="preserve">Cross-sectional</w:t>
                  </w:r>
                </w:p>
              </w:tc>
              <w:tc>
                <w:tcPr/>
                <w:p>
                  <w:pPr>
                    <w:pStyle w:val="Compact"/>
                    <w:jc w:val="left"/>
                    <w:jc w:val="center"/>
                  </w:pPr>
                  <w:r>
                    <w:t xml:space="preserve">T2D with cardiovascular complications</w:t>
                  </w:r>
                  <w:r>
                    <w:t xml:space="preserve">Group A: healthy individuals</w:t>
                  </w:r>
                  <w:r>
                    <w:t xml:space="preserve">Group B: T2D without cardiovascular complications</w:t>
                  </w:r>
                  <w:r>
                    <w:t xml:space="preserve">Group C: T2D with cardiovascular complications</w:t>
                  </w:r>
                </w:p>
              </w:tc>
              <w:tc>
                <w:tcPr/>
                <w:p>
                  <w:pPr>
                    <w:pStyle w:val="Compact"/>
                    <w:jc w:val="center"/>
                    <w:jc w:val="center"/>
                  </w:pPr>
                  <w:r>
                    <w:t xml:space="preserve">92</w:t>
                  </w:r>
                </w:p>
              </w:tc>
              <w:tc>
                <w:tcPr/>
                <w:p>
                  <w:pPr>
                    <w:pStyle w:val="Compact"/>
                    <w:jc w:val="left"/>
                    <w:jc w:val="center"/>
                  </w:pPr>
                  <w:r>
                    <w:t xml:space="preserve">Group A: 56.3</w:t>
                  </w:r>
                  <w:r>
                    <w:t xml:space="preserve"> </w:t>
                  </w:r>
                  <m:oMath>
                    <m:r>
                      <m:rPr>
                        <m:sty m:val="p"/>
                      </m:rPr>
                      <m:t>±</m:t>
                    </m:r>
                  </m:oMath>
                  <w:r>
                    <w:t xml:space="preserve"> </w:t>
                  </w:r>
                  <w:r>
                    <w:t xml:space="preserve">6.1</w:t>
                  </w:r>
                  <w:r>
                    <w:t xml:space="preserve">Group B: 56.1</w:t>
                  </w:r>
                  <w:r>
                    <w:t xml:space="preserve"> </w:t>
                  </w:r>
                  <m:oMath>
                    <m:r>
                      <m:rPr>
                        <m:sty m:val="p"/>
                      </m:rPr>
                      <m:t>±</m:t>
                    </m:r>
                  </m:oMath>
                  <w:r>
                    <w:t xml:space="preserve"> </w:t>
                  </w:r>
                  <w:r>
                    <w:t xml:space="preserve">6.6</w:t>
                  </w:r>
                  <w:r>
                    <w:t xml:space="preserve">Group C: 61.7</w:t>
                  </w:r>
                  <w:r>
                    <w:t xml:space="preserve"> </w:t>
                  </w:r>
                  <m:oMath>
                    <m:r>
                      <m:rPr>
                        <m:sty m:val="p"/>
                      </m:rPr>
                      <m:t>±</m:t>
                    </m:r>
                  </m:oMath>
                  <w:r>
                    <w:t xml:space="preserve"> </w:t>
                  </w:r>
                  <w:r>
                    <w:t xml:space="preserve">7.2</w:t>
                  </w:r>
                </w:p>
              </w:tc>
              <w:tc>
                <w:tcPr/>
                <w:p>
                  <w:pPr>
                    <w:pStyle w:val="Compact"/>
                    <w:jc w:val="left"/>
                    <w:jc w:val="center"/>
                  </w:pPr>
                  <w:r>
                    <w:t xml:space="preserve">nr</w:t>
                  </w:r>
                </w:p>
              </w:tc>
              <w:tc>
                <w:tcPr/>
                <w:p>
                  <w:pPr>
                    <w:pStyle w:val="Compact"/>
                    <w:jc w:val="left"/>
                    <w:jc w:val="center"/>
                  </w:pPr>
                  <w:r>
                    <w:t xml:space="preserve">Group A: 5.3</w:t>
                  </w:r>
                  <w:r>
                    <w:t xml:space="preserve"> </w:t>
                  </w:r>
                  <m:oMath>
                    <m:r>
                      <m:rPr>
                        <m:sty m:val="p"/>
                      </m:rPr>
                      <m:t>±</m:t>
                    </m:r>
                  </m:oMath>
                  <w:r>
                    <w:t xml:space="preserve"> </w:t>
                  </w:r>
                  <w:r>
                    <w:t xml:space="preserve">0.3%</w:t>
                  </w:r>
                  <w:r>
                    <w:t xml:space="preserve">Group B: 6.6</w:t>
                  </w:r>
                  <w:r>
                    <w:t xml:space="preserve"> </w:t>
                  </w:r>
                  <m:oMath>
                    <m:r>
                      <m:rPr>
                        <m:sty m:val="p"/>
                      </m:rPr>
                      <m:t>±</m:t>
                    </m:r>
                  </m:oMath>
                  <w:r>
                    <w:t xml:space="preserve"> </w:t>
                  </w:r>
                  <w:r>
                    <w:t xml:space="preserve">1.2%</w:t>
                  </w:r>
                  <w:r>
                    <w:t xml:space="preserve">Group C: 7.5</w:t>
                  </w:r>
                  <w:r>
                    <w:t xml:space="preserve"> </w:t>
                  </w:r>
                  <m:oMath>
                    <m:r>
                      <m:rPr>
                        <m:sty m:val="p"/>
                      </m:rPr>
                      <m:t>±</m:t>
                    </m:r>
                  </m:oMath>
                  <w:r>
                    <w:t xml:space="preserve"> </w:t>
                  </w:r>
                  <w:r>
                    <w:t xml:space="preserve">1.4%</w:t>
                  </w:r>
                </w:p>
              </w:tc>
              <w:tc>
                <w:tcPr/>
                <w:p>
                  <w:pPr>
                    <w:pStyle w:val="Compact"/>
                    <w:jc w:val="left"/>
                    <w:jc w:val="center"/>
                  </w:pPr>
                  <w:r>
                    <w:t xml:space="preserve">72 hours</w:t>
                  </w:r>
                </w:p>
              </w:tc>
            </w:tr>
          </w:tbl>
          <w:bookmarkEnd w:id="447"/>
          <w:p/>
        </w:tc>
      </w:tr>
    </w:tbl>
    <w:bookmarkEnd w:id="448"/>
    <w:p>
      <w:pPr>
        <w:sectPr>
          <w:pgSz w:h="11906" w:w="16838" w:orient="landscape"/>
        </w:sectPr>
      </w:pPr>
    </w:p>
    <w:p>
      <w:pPr>
        <w:sectPr/>
      </w:pPr>
    </w:p>
    <w:tbl>
      <w:tblPr>
        <w:tblStyle w:val="Table"/>
        <w:tblW w:type="pct" w:w="5000"/>
        <w:tblLayout w:type="fixed"/>
        <w:tblLook w:firstRow="0" w:lastRow="0" w:firstColumn="0" w:lastColumn="0" w:noHBand="0" w:noVBand="0" w:val="0000"/>
      </w:tblPr>
      <w:tblGrid>
        <w:gridCol w:w="7920"/>
      </w:tblGrid>
      <w:tr>
        <w:tc>
          <w:tcPr/>
          <w:bookmarkStart w:id="449" w:name="tbl-study1-subclinical-overview"/>
          <w:p>
            <w:pPr>
              <w:jc w:val="center"/>
            </w:pPr>
            <w:pPr>
              <w:jc w:val="left"/>
              <w:spacing w:before="200"/>
              <w:pStyle w:val="ImageCaption"/>
            </w:pPr>
            <w:r>
              <w:t xml:space="preserve">Table D.2: Study design, demographics, and adjustments of the subclinical outcome studies.</w:t>
            </w:r>
          </w:p>
          <w:tbl>
            <w:tblPr>
              <w:tblStyle w:val="Table"/>
              <w:tblW w:type="pct" w:w="5000"/>
              <w:tblLayout w:type="fixed"/>
              <w:tblLook w:firstRow="1" w:lastRow="0" w:firstColumn="0" w:lastColumn="0" w:noHBand="0" w:noVBand="0" w:val="0020"/>
            </w:tblPr>
            <w:tblGrid>
              <w:gridCol w:w="712"/>
              <w:gridCol w:w="1900"/>
              <w:gridCol w:w="1980"/>
              <w:gridCol w:w="1108"/>
              <w:gridCol w:w="1108"/>
              <w:gridCol w:w="1108"/>
            </w:tblGrid>
            <w:tr>
              <w:trPr>
                <w:tblHeader w:val="on"/>
              </w:trPr>
              <w:tc>
                <w:tcPr/>
                <w:p>
                  <w:pPr>
                    <w:pStyle w:val="Compact"/>
                    <w:jc w:val="center"/>
                  </w:pPr>
                  <w:r>
                    <w:t xml:space="preserve">Author, year</w:t>
                  </w:r>
                </w:p>
              </w:tc>
              <w:tc>
                <w:tcPr/>
                <w:p>
                  <w:pPr>
                    <w:pStyle w:val="Compact"/>
                    <w:jc w:val="center"/>
                  </w:pPr>
                  <w:r>
                    <w:t xml:space="preserve">Study Design</w:t>
                  </w:r>
                </w:p>
              </w:tc>
              <w:tc>
                <w:tcPr/>
                <w:p>
                  <w:pPr>
                    <w:pStyle w:val="Compact"/>
                    <w:jc w:val="center"/>
                  </w:pPr>
                  <w:r>
                    <w:t xml:space="preserve">Population + age [years]</w:t>
                  </w:r>
                </w:p>
              </w:tc>
              <w:tc>
                <w:tcPr/>
                <w:p>
                  <w:pPr>
                    <w:pStyle w:val="Compact"/>
                    <w:jc w:val="center"/>
                  </w:pPr>
                  <w:r>
                    <w:t xml:space="preserve">Size of population</w:t>
                  </w:r>
                </w:p>
              </w:tc>
              <w:tc>
                <w:tcPr/>
                <w:p>
                  <w:pPr>
                    <w:pStyle w:val="Compact"/>
                    <w:jc w:val="center"/>
                  </w:pPr>
                  <w:r>
                    <w:t xml:space="preserve">CGM duration</w:t>
                  </w:r>
                </w:p>
              </w:tc>
              <w:tc>
                <w:tcPr/>
                <w:p>
                  <w:pPr>
                    <w:pStyle w:val="Compact"/>
                    <w:jc w:val="center"/>
                  </w:pPr>
                  <w:r>
                    <w:t xml:space="preserve">Adjusted</w:t>
                  </w:r>
                </w:p>
              </w:tc>
            </w:tr>
            <w:tr>
              <w:tc>
                <w:tcPr/>
                <w:p>
                  <w:pPr>
                    <w:pStyle w:val="Compact"/>
                    <w:jc w:val="center"/>
                  </w:pPr>
                  <w:r>
                    <w:t xml:space="preserve">Chen, 2020†</w:t>
                  </w:r>
                </w:p>
              </w:tc>
              <w:tc>
                <w:tcPr/>
                <w:p>
                  <w:pPr>
                    <w:pStyle w:val="Compact"/>
                    <w:jc w:val="center"/>
                  </w:pPr>
                  <w:r>
                    <w:t xml:space="preserve">Longitudinal and cross-sectional FU: within 3 months</w:t>
                  </w:r>
                </w:p>
              </w:tc>
              <w:tc>
                <w:tcPr/>
                <w:p>
                  <w:pPr>
                    <w:pStyle w:val="Compact"/>
                    <w:jc w:val="center"/>
                  </w:pPr>
                  <w:r>
                    <w:t xml:space="preserve">T2D + CAD,</w:t>
                  </w:r>
                  <w:r>
                    <w:t xml:space="preserve">Only male</w:t>
                  </w:r>
                  <w:r>
                    <w:t xml:space="preserve">Age: 45-70</w:t>
                  </w:r>
                  <w:r>
                    <w:t xml:space="preserve"> </w:t>
                  </w:r>
                </w:p>
              </w:tc>
              <w:tc>
                <w:tcPr/>
                <w:p>
                  <w:pPr>
                    <w:pStyle w:val="Compact"/>
                    <w:jc w:val="center"/>
                  </w:pPr>
                  <w:r>
                    <w:t xml:space="preserve">210</w:t>
                  </w:r>
                </w:p>
              </w:tc>
              <w:tc>
                <w:tcPr/>
                <w:p>
                  <w:pPr>
                    <w:pStyle w:val="Compact"/>
                    <w:jc w:val="center"/>
                  </w:pPr>
                  <w:r>
                    <w:t xml:space="preserve">3rd and 5th day of the study</w:t>
                  </w:r>
                </w:p>
              </w:tc>
              <w:tc>
                <w:tcPr/>
                <w:p>
                  <w:pPr>
                    <w:pStyle w:val="Compact"/>
                    <w:jc w:val="center"/>
                  </w:pPr>
                  <w:r>
                    <w:t xml:space="preserve">Univariate</w:t>
                  </w:r>
                </w:p>
              </w:tc>
            </w:tr>
            <w:tr>
              <w:tc>
                <w:tcPr/>
                <w:p>
                  <w:pPr>
                    <w:pStyle w:val="Compact"/>
                    <w:jc w:val="center"/>
                  </w:pPr>
                  <w:r>
                    <w:t xml:space="preserve">Mita, 2023</w:t>
                  </w:r>
                </w:p>
              </w:tc>
              <w:tc>
                <w:tcPr/>
                <w:p>
                  <w:pPr>
                    <w:pStyle w:val="Compact"/>
                    <w:jc w:val="center"/>
                  </w:pPr>
                  <w:r>
                    <w:t xml:space="preserve">Longitudinal FU: 104 weeks</w:t>
                  </w:r>
                </w:p>
              </w:tc>
              <w:tc>
                <w:tcPr/>
                <w:p>
                  <w:pPr>
                    <w:pStyle w:val="Compact"/>
                    <w:jc w:val="center"/>
                  </w:pPr>
                  <w:r>
                    <w:t xml:space="preserve">T2D Age: 30-80</w:t>
                  </w:r>
                </w:p>
              </w:tc>
              <w:tc>
                <w:tcPr/>
                <w:p>
                  <w:pPr>
                    <w:pStyle w:val="Compact"/>
                    <w:jc w:val="center"/>
                  </w:pPr>
                  <w:r>
                    <w:t xml:space="preserve">553</w:t>
                  </w:r>
                </w:p>
              </w:tc>
              <w:tc>
                <w:tcPr/>
                <w:p>
                  <w:pPr>
                    <w:pStyle w:val="Compact"/>
                    <w:jc w:val="center"/>
                  </w:pPr>
                  <w:r>
                    <w:t xml:space="preserve">14 days at baseline and at week 104</w:t>
                  </w:r>
                </w:p>
              </w:tc>
              <w:tc>
                <w:tcPr/>
                <w:p>
                  <w:pPr>
                    <w:pStyle w:val="Compact"/>
                    <w:jc w:val="center"/>
                  </w:pPr>
                  <w:r>
                    <w:t xml:space="preserve">Demographic</w:t>
                  </w:r>
                  <w:r>
                    <w:t xml:space="preserve">Anthropometric</w:t>
                  </w:r>
                  <w:r>
                    <w:t xml:space="preserve"> </w:t>
                  </w:r>
                  <w:r>
                    <w:t xml:space="preserve">Lifestyle</w:t>
                  </w:r>
                  <w:r>
                    <w:t xml:space="preserve">Medical History</w:t>
                  </w:r>
                  <w:r>
                    <w:t xml:space="preserve">Physiological</w:t>
                  </w:r>
                  <w:r>
                    <w:t xml:space="preserve">Biochemical</w:t>
                  </w:r>
                  <w:r>
                    <w:t xml:space="preserve">Medication</w:t>
                  </w:r>
                  <w:r>
                    <w:t xml:space="preserve">CVD marker</w:t>
                  </w:r>
                </w:p>
              </w:tc>
            </w:tr>
            <w:tr>
              <w:tc>
                <w:tcPr/>
                <w:p>
                  <w:pPr>
                    <w:pStyle w:val="Compact"/>
                    <w:jc w:val="center"/>
                  </w:pPr>
                  <w:r>
                    <w:t xml:space="preserve">Bergdahl, 2025</w:t>
                  </w:r>
                </w:p>
              </w:tc>
              <w:tc>
                <w:tcPr/>
                <w:p>
                  <w:pPr>
                    <w:pStyle w:val="Compact"/>
                    <w:jc w:val="center"/>
                  </w:pPr>
                  <w:r>
                    <w:t xml:space="preserve">Cross-sectional</w:t>
                  </w:r>
                </w:p>
              </w:tc>
              <w:tc>
                <w:tcPr/>
                <w:p>
                  <w:pPr>
                    <w:pStyle w:val="Compact"/>
                    <w:jc w:val="center"/>
                  </w:pPr>
                  <w:r>
                    <w:t xml:space="preserve">T1D, n = 50 Normal controls, n = 41 Age 6-15.99</w:t>
                  </w:r>
                </w:p>
              </w:tc>
              <w:tc>
                <w:tcPr/>
                <w:p>
                  <w:pPr>
                    <w:pStyle w:val="Compact"/>
                    <w:jc w:val="center"/>
                  </w:pPr>
                  <w:r>
                    <w:t xml:space="preserve">91</w:t>
                  </w:r>
                </w:p>
              </w:tc>
              <w:tc>
                <w:tcPr/>
                <w:p>
                  <w:pPr>
                    <w:pStyle w:val="Compact"/>
                  </w:pPr>
                </w:p>
              </w:tc>
              <w:tc>
                <w:tcPr/>
                <w:p>
                  <w:pPr>
                    <w:pStyle w:val="Compact"/>
                    <w:jc w:val="center"/>
                  </w:pPr>
                  <w:r>
                    <w:t xml:space="preserve">Demographic</w:t>
                  </w:r>
                  <w:r>
                    <w:t xml:space="preserve">Anthropometric</w:t>
                  </w:r>
                  <w:r>
                    <w:t xml:space="preserve">Physiological</w:t>
                  </w:r>
                  <w:r>
                    <w:t xml:space="preserve">Biochemical</w:t>
                  </w:r>
                  <w:r>
                    <w:t xml:space="preserve">CGM/GV metrics</w:t>
                  </w:r>
                </w:p>
              </w:tc>
            </w:tr>
            <w:tr>
              <w:tc>
                <w:tcPr/>
                <w:p>
                  <w:pPr>
                    <w:pStyle w:val="Compact"/>
                    <w:jc w:val="center"/>
                  </w:pPr>
                  <w:r>
                    <w:t xml:space="preserve">Borg, 2011</w:t>
                  </w:r>
                </w:p>
              </w:tc>
              <w:tc>
                <w:tcPr/>
                <w:p>
                  <w:pPr>
                    <w:pStyle w:val="Compact"/>
                    <w:jc w:val="center"/>
                  </w:pPr>
                  <w:r>
                    <w:t xml:space="preserve">Cross-sectional</w:t>
                  </w:r>
                </w:p>
              </w:tc>
              <w:tc>
                <w:tcPr/>
                <w:p>
                  <w:pPr>
                    <w:pStyle w:val="Compact"/>
                    <w:jc w:val="center"/>
                  </w:pPr>
                  <w:r>
                    <w:t xml:space="preserve">T1D = 268</w:t>
                  </w:r>
                  <w:r>
                    <w:t xml:space="preserve"> </w:t>
                  </w:r>
                  <w:r>
                    <w:t xml:space="preserve">T2D = 159</w:t>
                  </w:r>
                  <w:r>
                    <w:t xml:space="preserve"> </w:t>
                  </w:r>
                  <w:r>
                    <w:t xml:space="preserve">Age: 18-70</w:t>
                  </w:r>
                </w:p>
              </w:tc>
              <w:tc>
                <w:tcPr/>
                <w:p>
                  <w:pPr>
                    <w:pStyle w:val="Compact"/>
                    <w:jc w:val="center"/>
                  </w:pPr>
                  <w:r>
                    <w:t xml:space="preserve">427</w:t>
                  </w:r>
                </w:p>
              </w:tc>
              <w:tc>
                <w:tcPr/>
                <w:p>
                  <w:pPr>
                    <w:pStyle w:val="Compact"/>
                    <w:jc w:val="center"/>
                  </w:pPr>
                  <w:r>
                    <w:t xml:space="preserve">48 hours *3 times</w:t>
                  </w:r>
                </w:p>
              </w:tc>
              <w:tc>
                <w:tcPr/>
                <w:p>
                  <w:pPr>
                    <w:pStyle w:val="Compact"/>
                    <w:jc w:val="center"/>
                  </w:pPr>
                  <w:r>
                    <w:t xml:space="preserve">Demographic</w:t>
                  </w:r>
                  <w:r>
                    <w:t xml:space="preserve">Lifestyle</w:t>
                  </w:r>
                  <w:r>
                    <w:t xml:space="preserve"> </w:t>
                  </w:r>
                  <w:r>
                    <w:t xml:space="preserve">Medical History</w:t>
                  </w:r>
                  <w:r>
                    <w:t xml:space="preserve"> </w:t>
                  </w:r>
                </w:p>
              </w:tc>
            </w:tr>
            <w:tr>
              <w:tc>
                <w:tcPr/>
                <w:p>
                  <w:pPr>
                    <w:pStyle w:val="Compact"/>
                    <w:jc w:val="center"/>
                  </w:pPr>
                  <w:r>
                    <w:t xml:space="preserve">Buscemi, 2010</w:t>
                  </w:r>
                </w:p>
              </w:tc>
              <w:tc>
                <w:tcPr/>
                <w:p>
                  <w:pPr>
                    <w:pStyle w:val="Compact"/>
                    <w:jc w:val="center"/>
                  </w:pPr>
                  <w:r>
                    <w:t xml:space="preserve">Cross-sectional</w:t>
                  </w:r>
                </w:p>
              </w:tc>
              <w:tc>
                <w:tcPr/>
                <w:p>
                  <w:pPr>
                    <w:pStyle w:val="Compact"/>
                    <w:jc w:val="center"/>
                  </w:pPr>
                  <w:r>
                    <w:t xml:space="preserve">Metabolic syndrome = 23</w:t>
                  </w:r>
                  <w:r>
                    <w:t xml:space="preserve">Withhout metabolic syndrome = 30</w:t>
                  </w:r>
                  <w:r>
                    <w:t xml:space="preserve"> </w:t>
                  </w:r>
                  <w:r>
                    <w:t xml:space="preserve">T2D not diagnosed prior to study = 22</w:t>
                  </w:r>
                  <w:r>
                    <w:t xml:space="preserve"> </w:t>
                  </w:r>
                  <w:r>
                    <w:t xml:space="preserve">Age: 30-65</w:t>
                  </w:r>
                </w:p>
              </w:tc>
              <w:tc>
                <w:tcPr/>
                <w:p>
                  <w:pPr>
                    <w:pStyle w:val="Compact"/>
                    <w:jc w:val="center"/>
                  </w:pPr>
                  <w:r>
                    <w:t xml:space="preserve">75</w:t>
                  </w:r>
                </w:p>
              </w:tc>
              <w:tc>
                <w:tcPr/>
                <w:p>
                  <w:pPr>
                    <w:pStyle w:val="Compact"/>
                    <w:jc w:val="center"/>
                  </w:pPr>
                  <w:r>
                    <w:t xml:space="preserve">46-48 hours</w:t>
                  </w:r>
                </w:p>
              </w:tc>
              <w:tc>
                <w:tcPr/>
                <w:p>
                  <w:pPr>
                    <w:pStyle w:val="Compact"/>
                    <w:jc w:val="center"/>
                  </w:pPr>
                  <w:r>
                    <w:t xml:space="preserve">nr</w:t>
                  </w:r>
                </w:p>
              </w:tc>
            </w:tr>
            <w:tr>
              <w:tc>
                <w:tcPr/>
                <w:p>
                  <w:pPr>
                    <w:pStyle w:val="Compact"/>
                    <w:jc w:val="center"/>
                  </w:pPr>
                  <w:r>
                    <w:t xml:space="preserve">Cai, 2024</w:t>
                  </w:r>
                </w:p>
              </w:tc>
              <w:tc>
                <w:tcPr/>
                <w:p>
                  <w:pPr>
                    <w:pStyle w:val="Compact"/>
                    <w:jc w:val="center"/>
                  </w:pPr>
                  <w:r>
                    <w:t xml:space="preserve">Cross-sectional</w:t>
                  </w:r>
                </w:p>
              </w:tc>
              <w:tc>
                <w:tcPr/>
                <w:p>
                  <w:pPr>
                    <w:pStyle w:val="Compact"/>
                    <w:jc w:val="center"/>
                  </w:pPr>
                  <w:r>
                    <w:t xml:space="preserve">T2D</w:t>
                  </w:r>
                  <w:r>
                    <w:t xml:space="preserve"> </w:t>
                  </w:r>
                  <w:r>
                    <w:t xml:space="preserve">Age ≥ 18 year</w:t>
                  </w:r>
                </w:p>
              </w:tc>
              <w:tc>
                <w:tcPr/>
                <w:p>
                  <w:pPr>
                    <w:pStyle w:val="Compact"/>
                    <w:jc w:val="center"/>
                  </w:pPr>
                  <w:r>
                    <w:t xml:space="preserve">342</w:t>
                  </w:r>
                </w:p>
              </w:tc>
              <w:tc>
                <w:tcPr/>
                <w:p>
                  <w:pPr>
                    <w:pStyle w:val="Compact"/>
                    <w:jc w:val="center"/>
                  </w:pPr>
                  <w:r>
                    <w:t xml:space="preserve">14 days</w:t>
                  </w:r>
                </w:p>
              </w:tc>
              <w:tc>
                <w:tcPr/>
                <w:p>
                  <w:pPr>
                    <w:pStyle w:val="Compact"/>
                    <w:jc w:val="center"/>
                  </w:pPr>
                  <w:r>
                    <w:t xml:space="preserve">Demographic</w:t>
                  </w:r>
                  <w:r>
                    <w:t xml:space="preserve"> </w:t>
                  </w:r>
                  <w:r>
                    <w:t xml:space="preserve">Anthropometric</w:t>
                  </w:r>
                  <w:r>
                    <w:t xml:space="preserve">Lifestyle</w:t>
                  </w:r>
                  <w:r>
                    <w:t xml:space="preserve"> </w:t>
                  </w:r>
                  <w:r>
                    <w:t xml:space="preserve">Medical History</w:t>
                  </w:r>
                  <w:r>
                    <w:t xml:space="preserve"> </w:t>
                  </w:r>
                  <w:r>
                    <w:t xml:space="preserve">Physiological</w:t>
                  </w:r>
                  <w:r>
                    <w:t xml:space="preserve"> </w:t>
                  </w:r>
                  <w:r>
                    <w:t xml:space="preserve">Biochemical</w:t>
                  </w:r>
                </w:p>
              </w:tc>
            </w:tr>
            <w:tr>
              <w:tc>
                <w:tcPr/>
                <w:p>
                  <w:pPr>
                    <w:pStyle w:val="Compact"/>
                    <w:jc w:val="center"/>
                  </w:pPr>
                  <w:r>
                    <w:t xml:space="preserve">Castaldo, 2011</w:t>
                  </w:r>
                </w:p>
              </w:tc>
              <w:tc>
                <w:tcPr/>
                <w:p>
                  <w:pPr>
                    <w:pStyle w:val="Compact"/>
                    <w:jc w:val="center"/>
                  </w:pPr>
                  <w:r>
                    <w:t xml:space="preserve">Cross-sectional</w:t>
                  </w:r>
                </w:p>
              </w:tc>
              <w:tc>
                <w:tcPr/>
                <w:p>
                  <w:pPr>
                    <w:pStyle w:val="Compact"/>
                    <w:jc w:val="center"/>
                  </w:pPr>
                  <w:r>
                    <w:t xml:space="preserve">Normal glucose tolerance = 36</w:t>
                  </w:r>
                  <w:r>
                    <w:t xml:space="preserve"> </w:t>
                  </w:r>
                  <w:r>
                    <w:t xml:space="preserve">Impaired glucose tolerance = 43</w:t>
                  </w:r>
                  <w:r>
                    <w:t xml:space="preserve"> </w:t>
                  </w:r>
                  <w:r>
                    <w:t xml:space="preserve">Age: 23–70</w:t>
                  </w:r>
                </w:p>
              </w:tc>
              <w:tc>
                <w:tcPr/>
                <w:p>
                  <w:pPr>
                    <w:pStyle w:val="Compact"/>
                    <w:jc w:val="center"/>
                  </w:pPr>
                  <w:r>
                    <w:t xml:space="preserve">79</w:t>
                  </w:r>
                </w:p>
              </w:tc>
              <w:tc>
                <w:tcPr/>
                <w:p>
                  <w:pPr>
                    <w:pStyle w:val="Compact"/>
                    <w:jc w:val="center"/>
                  </w:pPr>
                  <w:r>
                    <w:t xml:space="preserve">72 hours</w:t>
                  </w:r>
                </w:p>
              </w:tc>
              <w:tc>
                <w:tcPr/>
                <w:p>
                  <w:pPr>
                    <w:pStyle w:val="Compact"/>
                    <w:jc w:val="center"/>
                  </w:pPr>
                  <w:r>
                    <w:t xml:space="preserve">Demographic</w:t>
                  </w:r>
                  <w:r>
                    <w:t xml:space="preserve"> </w:t>
                  </w:r>
                  <w:r>
                    <w:t xml:space="preserve">Anthropometric</w:t>
                  </w:r>
                  <w:r>
                    <w:t xml:space="preserve"> </w:t>
                  </w:r>
                  <w:r>
                    <w:t xml:space="preserve">Lifestyle</w:t>
                  </w:r>
                  <w:r>
                    <w:t xml:space="preserve"> </w:t>
                  </w:r>
                  <w:r>
                    <w:t xml:space="preserve">Physiological</w:t>
                  </w:r>
                  <w:r>
                    <w:t xml:space="preserve"> </w:t>
                  </w:r>
                  <w:r>
                    <w:t xml:space="preserve">Biochemical</w:t>
                  </w:r>
                  <w:r>
                    <w:t xml:space="preserve"> </w:t>
                  </w:r>
                  <w:r>
                    <w:t xml:space="preserve">CGM/GV metrics</w:t>
                  </w:r>
                </w:p>
              </w:tc>
            </w:tr>
            <w:tr>
              <w:tc>
                <w:tcPr/>
                <w:p>
                  <w:pPr>
                    <w:pStyle w:val="Compact"/>
                    <w:jc w:val="center"/>
                  </w:pPr>
                  <w:r>
                    <w:t xml:space="preserve">Cesana, 2013</w:t>
                  </w:r>
                </w:p>
              </w:tc>
              <w:tc>
                <w:tcPr/>
                <w:p>
                  <w:pPr>
                    <w:pStyle w:val="Compact"/>
                    <w:jc w:val="center"/>
                  </w:pPr>
                  <w:r>
                    <w:t xml:space="preserve">Cross-sectional</w:t>
                  </w:r>
                </w:p>
              </w:tc>
              <w:tc>
                <w:tcPr/>
                <w:p>
                  <w:pPr>
                    <w:pStyle w:val="Compact"/>
                    <w:jc w:val="center"/>
                  </w:pPr>
                  <w:r>
                    <w:t xml:space="preserve">T1D,</w:t>
                  </w:r>
                  <w:r>
                    <w:t xml:space="preserve"> </w:t>
                  </w:r>
                  <w:r>
                    <w:t xml:space="preserve">free of CVD</w:t>
                  </w:r>
                  <w:r>
                    <w:t xml:space="preserve"> </w:t>
                  </w:r>
                  <w:r>
                    <w:t xml:space="preserve">Mean age±SD: 40.8 ± 7.6</w:t>
                  </w:r>
                </w:p>
              </w:tc>
              <w:tc>
                <w:tcPr/>
                <w:p>
                  <w:pPr>
                    <w:pStyle w:val="Compact"/>
                    <w:jc w:val="center"/>
                  </w:pPr>
                  <w:r>
                    <w:t xml:space="preserve">17</w:t>
                  </w:r>
                </w:p>
              </w:tc>
              <w:tc>
                <w:tcPr/>
                <w:p>
                  <w:pPr>
                    <w:pStyle w:val="Compact"/>
                    <w:jc w:val="center"/>
                  </w:pPr>
                  <w:r>
                    <w:t xml:space="preserve">24 hours</w:t>
                  </w:r>
                </w:p>
              </w:tc>
              <w:tc>
                <w:tcPr/>
                <w:p>
                  <w:pPr>
                    <w:pStyle w:val="Compact"/>
                    <w:jc w:val="center"/>
                  </w:pPr>
                  <w:r>
                    <w:t xml:space="preserve">Univariate</w:t>
                  </w:r>
                </w:p>
              </w:tc>
            </w:tr>
            <w:tr>
              <w:tc>
                <w:tcPr/>
                <w:p>
                  <w:pPr>
                    <w:pStyle w:val="Compact"/>
                    <w:jc w:val="center"/>
                  </w:pPr>
                  <w:r>
                    <w:t xml:space="preserve">Chen, 2010</w:t>
                  </w:r>
                </w:p>
              </w:tc>
              <w:tc>
                <w:tcPr/>
                <w:p>
                  <w:pPr>
                    <w:pStyle w:val="Compact"/>
                    <w:jc w:val="center"/>
                  </w:pPr>
                  <w:r>
                    <w:t xml:space="preserve">Cross-sectional</w:t>
                  </w:r>
                </w:p>
              </w:tc>
              <w:tc>
                <w:tcPr/>
                <w:p>
                  <w:pPr>
                    <w:pStyle w:val="Compact"/>
                    <w:jc w:val="center"/>
                  </w:pPr>
                  <w:r>
                    <w:t xml:space="preserve">T2D with CVD = 16</w:t>
                  </w:r>
                  <w:r>
                    <w:t xml:space="preserve"> </w:t>
                  </w:r>
                  <w:r>
                    <w:t xml:space="preserve">T2D without CVD = 20</w:t>
                  </w:r>
                  <w:r>
                    <w:t xml:space="preserve"> </w:t>
                  </w:r>
                  <w:r>
                    <w:t xml:space="preserve">Normal controls = 10</w:t>
                  </w:r>
                  <w:r>
                    <w:t xml:space="preserve"> </w:t>
                  </w:r>
                  <w:r>
                    <w:t xml:space="preserve">Age: 33–86</w:t>
                  </w:r>
                  <w:r>
                    <w:t xml:space="preserve"> </w:t>
                  </w:r>
                </w:p>
              </w:tc>
              <w:tc>
                <w:tcPr/>
                <w:p>
                  <w:pPr>
                    <w:pStyle w:val="Compact"/>
                    <w:jc w:val="center"/>
                  </w:pPr>
                  <w:r>
                    <w:t xml:space="preserve">46</w:t>
                  </w:r>
                </w:p>
              </w:tc>
              <w:tc>
                <w:tcPr/>
                <w:p>
                  <w:pPr>
                    <w:pStyle w:val="Compact"/>
                    <w:jc w:val="center"/>
                  </w:pPr>
                  <w:r>
                    <w:t xml:space="preserve">72 hours</w:t>
                  </w:r>
                </w:p>
              </w:tc>
              <w:tc>
                <w:tcPr/>
                <w:p>
                  <w:pPr>
                    <w:pStyle w:val="Compact"/>
                    <w:jc w:val="center"/>
                  </w:pPr>
                  <w:r>
                    <w:t xml:space="preserve">Univariate</w:t>
                  </w:r>
                </w:p>
              </w:tc>
            </w:tr>
            <w:tr>
              <w:tc>
                <w:tcPr/>
                <w:p>
                  <w:pPr>
                    <w:pStyle w:val="Compact"/>
                    <w:jc w:val="center"/>
                  </w:pPr>
                  <w:r>
                    <w:t xml:space="preserve">Cutruzzola, 2022</w:t>
                  </w:r>
                </w:p>
              </w:tc>
              <w:tc>
                <w:tcPr/>
                <w:p>
                  <w:pPr>
                    <w:pStyle w:val="Compact"/>
                    <w:jc w:val="center"/>
                  </w:pPr>
                  <w:r>
                    <w:t xml:space="preserve">Cross-sectional</w:t>
                  </w:r>
                </w:p>
              </w:tc>
              <w:tc>
                <w:tcPr/>
                <w:p>
                  <w:pPr>
                    <w:pStyle w:val="Compact"/>
                    <w:jc w:val="center"/>
                  </w:pPr>
                  <w:r>
                    <w:t xml:space="preserve">T1D = 70</w:t>
                  </w:r>
                  <w:r>
                    <w:t xml:space="preserve"> </w:t>
                  </w:r>
                  <w:r>
                    <w:t xml:space="preserve">Mean age: 35 ± 13</w:t>
                  </w:r>
                  <w:r>
                    <w:t xml:space="preserve"> </w:t>
                  </w:r>
                  <w:r>
                    <w:t xml:space="preserve">Controls, n = 35</w:t>
                  </w:r>
                  <w:r>
                    <w:t xml:space="preserve"> </w:t>
                  </w:r>
                  <w:r>
                    <w:t xml:space="preserve">comparable on sex and age</w:t>
                  </w:r>
                  <w:r>
                    <w:t xml:space="preserve"> </w:t>
                  </w:r>
                  <w:r>
                    <w:t xml:space="preserve">Mean age±SD: 32 ± 13</w:t>
                  </w:r>
                </w:p>
              </w:tc>
              <w:tc>
                <w:tcPr/>
                <w:p>
                  <w:pPr>
                    <w:pStyle w:val="Compact"/>
                    <w:jc w:val="center"/>
                  </w:pPr>
                  <w:r>
                    <w:t xml:space="preserve">105</w:t>
                  </w:r>
                </w:p>
              </w:tc>
              <w:tc>
                <w:tcPr/>
                <w:p>
                  <w:pPr>
                    <w:pStyle w:val="Compact"/>
                    <w:jc w:val="center"/>
                  </w:pPr>
                  <w:r>
                    <w:t xml:space="preserve">6 months</w:t>
                  </w:r>
                </w:p>
              </w:tc>
              <w:tc>
                <w:tcPr/>
                <w:p>
                  <w:pPr>
                    <w:pStyle w:val="Compact"/>
                    <w:jc w:val="center"/>
                  </w:pPr>
                  <w:r>
                    <w:t xml:space="preserve">nr</w:t>
                  </w:r>
                </w:p>
              </w:tc>
            </w:tr>
            <w:tr>
              <w:tc>
                <w:tcPr/>
                <w:p>
                  <w:pPr>
                    <w:pStyle w:val="Compact"/>
                    <w:jc w:val="center"/>
                  </w:pPr>
                  <w:r>
                    <w:t xml:space="preserve">De Meulemeester, 2024†</w:t>
                  </w:r>
                </w:p>
              </w:tc>
              <w:tc>
                <w:tcPr/>
                <w:p>
                  <w:pPr>
                    <w:pStyle w:val="Compact"/>
                    <w:jc w:val="center"/>
                  </w:pPr>
                  <w:r>
                    <w:t xml:space="preserve">Cross-sectional</w:t>
                  </w:r>
                </w:p>
              </w:tc>
              <w:tc>
                <w:tcPr/>
                <w:p>
                  <w:pPr>
                    <w:pStyle w:val="Compact"/>
                    <w:jc w:val="center"/>
                  </w:pPr>
                  <w:r>
                    <w:t xml:space="preserve">T1D</w:t>
                  </w:r>
                  <w:r>
                    <w:t xml:space="preserve"> </w:t>
                  </w:r>
                  <w:r>
                    <w:t xml:space="preserve">Mean age±SD: 44.8 ± 15.2</w:t>
                  </w:r>
                </w:p>
              </w:tc>
              <w:tc>
                <w:tcPr/>
                <w:p>
                  <w:pPr>
                    <w:pStyle w:val="Compact"/>
                    <w:jc w:val="center"/>
                  </w:pPr>
                  <w:r>
                    <w:t xml:space="preserve">808</w:t>
                  </w:r>
                </w:p>
              </w:tc>
              <w:tc>
                <w:tcPr/>
                <w:p>
                  <w:pPr>
                    <w:pStyle w:val="Compact"/>
                    <w:jc w:val="center"/>
                  </w:pPr>
                  <w:r>
                    <w:t xml:space="preserve">2 weeks</w:t>
                  </w:r>
                </w:p>
              </w:tc>
              <w:tc>
                <w:tcPr/>
                <w:p>
                  <w:pPr>
                    <w:pStyle w:val="Compact"/>
                    <w:jc w:val="center"/>
                  </w:pPr>
                  <w:r>
                    <w:t xml:space="preserve">Demographic</w:t>
                  </w:r>
                  <w:r>
                    <w:t xml:space="preserve"> </w:t>
                  </w:r>
                  <w:r>
                    <w:t xml:space="preserve">Anthropometric</w:t>
                  </w:r>
                  <w:r>
                    <w:t xml:space="preserve"> </w:t>
                  </w:r>
                  <w:r>
                    <w:t xml:space="preserve">Lifestyle</w:t>
                  </w:r>
                  <w:r>
                    <w:t xml:space="preserve"> </w:t>
                  </w:r>
                  <w:r>
                    <w:t xml:space="preserve">Medical History</w:t>
                  </w:r>
                  <w:r>
                    <w:t xml:space="preserve"> </w:t>
                  </w:r>
                  <w:r>
                    <w:t xml:space="preserve">Biochemical</w:t>
                  </w:r>
                  <w:r>
                    <w:t xml:space="preserve"> </w:t>
                  </w:r>
                  <w:r>
                    <w:t xml:space="preserve">Medication</w:t>
                  </w:r>
                  <w:r>
                    <w:t xml:space="preserve"> </w:t>
                  </w:r>
                </w:p>
              </w:tc>
            </w:tr>
            <w:tr>
              <w:tc>
                <w:tcPr/>
                <w:p>
                  <w:pPr>
                    <w:pStyle w:val="Compact"/>
                    <w:jc w:val="center"/>
                  </w:pPr>
                  <w:r>
                    <w:t xml:space="preserve">Di Flaviani, 2011</w:t>
                  </w:r>
                </w:p>
              </w:tc>
              <w:tc>
                <w:tcPr/>
                <w:p>
                  <w:pPr>
                    <w:pStyle w:val="Compact"/>
                    <w:jc w:val="center"/>
                  </w:pPr>
                  <w:r>
                    <w:t xml:space="preserve">Cross-sectional</w:t>
                  </w:r>
                </w:p>
              </w:tc>
              <w:tc>
                <w:tcPr/>
                <w:p>
                  <w:pPr>
                    <w:pStyle w:val="Compact"/>
                    <w:jc w:val="center"/>
                  </w:pPr>
                  <w:r>
                    <w:t xml:space="preserve">T2D Mean age±SD: 59.2 ± 10.6</w:t>
                  </w:r>
                </w:p>
              </w:tc>
              <w:tc>
                <w:tcPr/>
                <w:p>
                  <w:pPr>
                    <w:pStyle w:val="Compact"/>
                    <w:jc w:val="center"/>
                  </w:pPr>
                  <w:r>
                    <w:t xml:space="preserve">26</w:t>
                  </w:r>
                </w:p>
              </w:tc>
              <w:tc>
                <w:tcPr/>
                <w:p>
                  <w:pPr>
                    <w:pStyle w:val="Compact"/>
                    <w:jc w:val="center"/>
                  </w:pPr>
                  <w:r>
                    <w:t xml:space="preserve">24 hours</w:t>
                  </w:r>
                </w:p>
              </w:tc>
              <w:tc>
                <w:tcPr/>
                <w:p>
                  <w:pPr>
                    <w:pStyle w:val="Compact"/>
                    <w:jc w:val="center"/>
                  </w:pPr>
                  <w:r>
                    <w:t xml:space="preserve">Demographic</w:t>
                  </w:r>
                  <w:r>
                    <w:t xml:space="preserve"> </w:t>
                  </w:r>
                  <w:r>
                    <w:t xml:space="preserve">Physiological</w:t>
                  </w:r>
                  <w:r>
                    <w:t xml:space="preserve"> </w:t>
                  </w:r>
                  <w:r>
                    <w:t xml:space="preserve">Biochemical</w:t>
                  </w:r>
                  <w:r>
                    <w:t xml:space="preserve"> </w:t>
                  </w:r>
                  <w:r>
                    <w:t xml:space="preserve">CGM/GV metrics</w:t>
                  </w:r>
                  <w:r>
                    <w:t xml:space="preserve"> </w:t>
                  </w:r>
                  <w:r>
                    <w:t xml:space="preserve">CVD marker</w:t>
                  </w:r>
                  <w:r>
                    <w:t xml:space="preserve"> </w:t>
                  </w:r>
                </w:p>
              </w:tc>
            </w:tr>
            <w:tr>
              <w:tc>
                <w:tcPr/>
                <w:p>
                  <w:pPr>
                    <w:pStyle w:val="Compact"/>
                    <w:jc w:val="center"/>
                  </w:pPr>
                  <w:r>
                    <w:t xml:space="preserve">Dzhun, 2023</w:t>
                  </w:r>
                </w:p>
              </w:tc>
              <w:tc>
                <w:tcPr/>
                <w:p>
                  <w:pPr>
                    <w:pStyle w:val="Compact"/>
                    <w:jc w:val="center"/>
                  </w:pPr>
                  <w:r>
                    <w:t xml:space="preserve">Cross-sectional</w:t>
                  </w:r>
                </w:p>
              </w:tc>
              <w:tc>
                <w:tcPr/>
                <w:p>
                  <w:pPr>
                    <w:pStyle w:val="Compact"/>
                    <w:jc w:val="center"/>
                  </w:pPr>
                  <w:r>
                    <w:t xml:space="preserve">T2D without coronary artery disease</w:t>
                  </w:r>
                  <w:r>
                    <w:t xml:space="preserve">Mean age±SD: 47.5 ± 4</w:t>
                  </w:r>
                </w:p>
              </w:tc>
              <w:tc>
                <w:tcPr/>
                <w:p>
                  <w:pPr>
                    <w:pStyle w:val="Compact"/>
                    <w:jc w:val="center"/>
                  </w:pPr>
                  <w:r>
                    <w:t xml:space="preserve">78</w:t>
                  </w:r>
                </w:p>
              </w:tc>
              <w:tc>
                <w:tcPr/>
                <w:p>
                  <w:pPr>
                    <w:pStyle w:val="Compact"/>
                    <w:jc w:val="center"/>
                  </w:pPr>
                  <w:r>
                    <w:t xml:space="preserve">6 days</w:t>
                  </w:r>
                </w:p>
              </w:tc>
              <w:tc>
                <w:tcPr/>
                <w:p>
                  <w:pPr>
                    <w:pStyle w:val="Compact"/>
                    <w:jc w:val="center"/>
                  </w:pPr>
                  <w:r>
                    <w:t xml:space="preserve">Demographic</w:t>
                  </w:r>
                  <w:r>
                    <w:t xml:space="preserve"> </w:t>
                  </w:r>
                  <w:r>
                    <w:t xml:space="preserve">Anthropometric</w:t>
                  </w:r>
                  <w:r>
                    <w:t xml:space="preserve"> </w:t>
                  </w:r>
                  <w:r>
                    <w:t xml:space="preserve">Medical History</w:t>
                  </w:r>
                  <w:r>
                    <w:t xml:space="preserve"> </w:t>
                  </w:r>
                  <w:r>
                    <w:t xml:space="preserve">Physiological</w:t>
                  </w:r>
                  <w:r>
                    <w:t xml:space="preserve"> </w:t>
                  </w:r>
                  <w:r>
                    <w:t xml:space="preserve">Biochemical</w:t>
                  </w:r>
                  <w:r>
                    <w:t xml:space="preserve"> </w:t>
                  </w:r>
                  <w:r>
                    <w:t xml:space="preserve">CVD marker</w:t>
                  </w:r>
                </w:p>
              </w:tc>
            </w:tr>
            <w:tr>
              <w:tc>
                <w:tcPr/>
                <w:p>
                  <w:pPr>
                    <w:pStyle w:val="Compact"/>
                    <w:jc w:val="center"/>
                  </w:pPr>
                  <w:r>
                    <w:t xml:space="preserve">Foreman, 2021</w:t>
                  </w:r>
                </w:p>
              </w:tc>
              <w:tc>
                <w:tcPr/>
                <w:p>
                  <w:pPr>
                    <w:pStyle w:val="Compact"/>
                    <w:jc w:val="center"/>
                  </w:pPr>
                  <w:r>
                    <w:t xml:space="preserve">Cross-sectional</w:t>
                  </w:r>
                </w:p>
              </w:tc>
              <w:tc>
                <w:tcPr/>
                <w:p>
                  <w:pPr>
                    <w:pStyle w:val="Compact"/>
                    <w:jc w:val="center"/>
                  </w:pPr>
                  <w:r>
                    <w:t xml:space="preserve">Euglycemia, n = 454</w:t>
                  </w:r>
                  <w:r>
                    <w:t xml:space="preserve"> </w:t>
                  </w:r>
                  <w:r>
                    <w:t xml:space="preserve">Prediabetes, n = 175</w:t>
                  </w:r>
                  <w:r>
                    <w:t xml:space="preserve"> </w:t>
                  </w:r>
                  <w:r>
                    <w:t xml:space="preserve">T1D, n = 2</w:t>
                  </w:r>
                  <w:r>
                    <w:t xml:space="preserve"> </w:t>
                  </w:r>
                  <w:r>
                    <w:t xml:space="preserve">T2D, n = 185</w:t>
                  </w:r>
                  <w:r>
                    <w:t xml:space="preserve"> </w:t>
                  </w:r>
                  <w:r>
                    <w:t xml:space="preserve">Age: 40-75</w:t>
                  </w:r>
                </w:p>
              </w:tc>
              <w:tc>
                <w:tcPr/>
                <w:p>
                  <w:pPr>
                    <w:pStyle w:val="Compact"/>
                    <w:jc w:val="center"/>
                  </w:pPr>
                  <w:r>
                    <w:t xml:space="preserve">643-816</w:t>
                  </w:r>
                </w:p>
              </w:tc>
              <w:tc>
                <w:tcPr/>
                <w:p>
                  <w:pPr>
                    <w:pStyle w:val="Compact"/>
                    <w:jc w:val="center"/>
                  </w:pPr>
                  <w:r>
                    <w:t xml:space="preserve">7 days</w:t>
                  </w:r>
                </w:p>
              </w:tc>
              <w:tc>
                <w:tcPr/>
                <w:p>
                  <w:pPr>
                    <w:pStyle w:val="Compact"/>
                    <w:jc w:val="center"/>
                  </w:pPr>
                  <w:r>
                    <w:t xml:space="preserve">Demographic</w:t>
                  </w:r>
                  <w:r>
                    <w:t xml:space="preserve"> </w:t>
                  </w:r>
                  <w:r>
                    <w:t xml:space="preserve">Anthropometric</w:t>
                  </w:r>
                  <w:r>
                    <w:t xml:space="preserve"> </w:t>
                  </w:r>
                  <w:r>
                    <w:t xml:space="preserve">Lifestyle</w:t>
                  </w:r>
                  <w:r>
                    <w:t xml:space="preserve"> </w:t>
                  </w:r>
                  <w:r>
                    <w:t xml:space="preserve">Physiological</w:t>
                  </w:r>
                  <w:r>
                    <w:t xml:space="preserve">Biochemical</w:t>
                  </w:r>
                  <w:r>
                    <w:t xml:space="preserve"> </w:t>
                  </w:r>
                  <w:r>
                    <w:t xml:space="preserve">Medication</w:t>
                  </w:r>
                  <w:r>
                    <w:t xml:space="preserve"> </w:t>
                  </w:r>
                  <w:r>
                    <w:t xml:space="preserve">CGM/GV metrics</w:t>
                  </w:r>
                </w:p>
              </w:tc>
            </w:tr>
            <w:tr>
              <w:tc>
                <w:tcPr/>
                <w:p>
                  <w:pPr>
                    <w:pStyle w:val="Compact"/>
                    <w:jc w:val="center"/>
                  </w:pPr>
                  <w:r>
                    <w:t xml:space="preserve">Georeli, 2024</w:t>
                  </w:r>
                </w:p>
              </w:tc>
              <w:tc>
                <w:tcPr/>
                <w:p>
                  <w:pPr>
                    <w:pStyle w:val="Compact"/>
                    <w:jc w:val="center"/>
                  </w:pPr>
                  <w:r>
                    <w:t xml:space="preserve">Cross-sectional</w:t>
                  </w:r>
                </w:p>
              </w:tc>
              <w:tc>
                <w:tcPr/>
                <w:p>
                  <w:pPr>
                    <w:pStyle w:val="Compact"/>
                    <w:jc w:val="center"/>
                  </w:pPr>
                  <w:r>
                    <w:t xml:space="preserve">T1D Age: 4-21</w:t>
                  </w:r>
                </w:p>
              </w:tc>
              <w:tc>
                <w:tcPr/>
                <w:p>
                  <w:pPr>
                    <w:pStyle w:val="Compact"/>
                    <w:jc w:val="center"/>
                  </w:pPr>
                  <w:r>
                    <w:t xml:space="preserve">124</w:t>
                  </w:r>
                </w:p>
              </w:tc>
              <w:tc>
                <w:tcPr/>
                <w:p>
                  <w:pPr>
                    <w:pStyle w:val="Compact"/>
                    <w:jc w:val="center"/>
                  </w:pPr>
                  <w:r>
                    <w:t xml:space="preserve">24 hours</w:t>
                  </w:r>
                </w:p>
              </w:tc>
              <w:tc>
                <w:tcPr/>
                <w:p>
                  <w:pPr>
                    <w:pStyle w:val="Compact"/>
                    <w:jc w:val="center"/>
                  </w:pPr>
                  <w:r>
                    <w:t xml:space="preserve">Demographic</w:t>
                  </w:r>
                  <w:r>
                    <w:t xml:space="preserve"> </w:t>
                  </w:r>
                  <w:r>
                    <w:t xml:space="preserve">Anthropometric</w:t>
                  </w:r>
                  <w:r>
                    <w:t xml:space="preserve"> </w:t>
                  </w:r>
                </w:p>
              </w:tc>
            </w:tr>
            <w:tr>
              <w:tc>
                <w:tcPr/>
                <w:p>
                  <w:pPr>
                    <w:pStyle w:val="Compact"/>
                    <w:jc w:val="center"/>
                  </w:pPr>
                  <w:r>
                    <w:t xml:space="preserve">Gimenez, 2011</w:t>
                  </w:r>
                </w:p>
              </w:tc>
              <w:tc>
                <w:tcPr/>
                <w:p>
                  <w:pPr>
                    <w:pStyle w:val="Compact"/>
                    <w:jc w:val="center"/>
                  </w:pPr>
                  <w:r>
                    <w:t xml:space="preserve">Cross-sectional</w:t>
                  </w:r>
                </w:p>
              </w:tc>
              <w:tc>
                <w:tcPr/>
                <w:p>
                  <w:pPr>
                    <w:pStyle w:val="Compact"/>
                    <w:jc w:val="center"/>
                  </w:pPr>
                  <w:r>
                    <w:t xml:space="preserve">T1D = 38</w:t>
                  </w:r>
                  <w:r>
                    <w:t xml:space="preserve"> </w:t>
                  </w:r>
                  <w:r>
                    <w:t xml:space="preserve">Normal controls = 22</w:t>
                  </w:r>
                  <w:r>
                    <w:t xml:space="preserve"> </w:t>
                  </w:r>
                  <w:r>
                    <w:t xml:space="preserve">Age- and sex-matched</w:t>
                  </w:r>
                  <w:r>
                    <w:t xml:space="preserve"> </w:t>
                  </w:r>
                  <w:r>
                    <w:t xml:space="preserve">Age &gt; 18 years</w:t>
                  </w:r>
                </w:p>
              </w:tc>
              <w:tc>
                <w:tcPr/>
                <w:p>
                  <w:pPr>
                    <w:pStyle w:val="Compact"/>
                    <w:jc w:val="center"/>
                  </w:pPr>
                  <w:r>
                    <w:t xml:space="preserve">60</w:t>
                  </w:r>
                </w:p>
              </w:tc>
              <w:tc>
                <w:tcPr/>
                <w:p>
                  <w:pPr>
                    <w:pStyle w:val="Compact"/>
                    <w:jc w:val="center"/>
                  </w:pPr>
                  <w:r>
                    <w:t xml:space="preserve">72 hours</w:t>
                  </w:r>
                </w:p>
              </w:tc>
              <w:tc>
                <w:tcPr/>
                <w:p>
                  <w:pPr>
                    <w:pStyle w:val="Compact"/>
                    <w:jc w:val="center"/>
                  </w:pPr>
                  <w:r>
                    <w:t xml:space="preserve">Univariate</w:t>
                  </w:r>
                </w:p>
              </w:tc>
            </w:tr>
            <w:tr>
              <w:tc>
                <w:tcPr/>
                <w:p>
                  <w:pPr>
                    <w:pStyle w:val="Compact"/>
                    <w:jc w:val="center"/>
                  </w:pPr>
                  <w:r>
                    <w:t xml:space="preserve">Gordin, 2008</w:t>
                  </w:r>
                </w:p>
              </w:tc>
              <w:tc>
                <w:tcPr/>
                <w:p>
                  <w:pPr>
                    <w:pStyle w:val="Compact"/>
                    <w:jc w:val="center"/>
                  </w:pPr>
                  <w:r>
                    <w:t xml:space="preserve">Cross-sectional</w:t>
                  </w:r>
                </w:p>
              </w:tc>
              <w:tc>
                <w:tcPr/>
                <w:p>
                  <w:pPr>
                    <w:pStyle w:val="Compact"/>
                    <w:jc w:val="center"/>
                  </w:pPr>
                  <w:r>
                    <w:t xml:space="preserve">T1D, males only</w:t>
                  </w:r>
                  <w:r>
                    <w:t xml:space="preserve"> </w:t>
                  </w:r>
                  <w:r>
                    <w:t xml:space="preserve">Age: 25.9 ± 5.6</w:t>
                  </w:r>
                </w:p>
              </w:tc>
              <w:tc>
                <w:tcPr/>
                <w:p>
                  <w:pPr>
                    <w:pStyle w:val="Compact"/>
                    <w:jc w:val="center"/>
                  </w:pPr>
                  <w:r>
                    <w:t xml:space="preserve">22</w:t>
                  </w:r>
                </w:p>
              </w:tc>
              <w:tc>
                <w:tcPr/>
                <w:p>
                  <w:pPr>
                    <w:pStyle w:val="Compact"/>
                    <w:jc w:val="center"/>
                  </w:pPr>
                  <w:r>
                    <w:t xml:space="preserve">72 hours</w:t>
                  </w:r>
                </w:p>
              </w:tc>
              <w:tc>
                <w:tcPr/>
                <w:p>
                  <w:pPr>
                    <w:pStyle w:val="Compact"/>
                    <w:jc w:val="center"/>
                  </w:pPr>
                  <w:r>
                    <w:t xml:space="preserve">ct</w:t>
                  </w:r>
                </w:p>
              </w:tc>
            </w:tr>
            <w:tr>
              <w:tc>
                <w:tcPr/>
                <w:p>
                  <w:pPr>
                    <w:pStyle w:val="Compact"/>
                    <w:jc w:val="center"/>
                  </w:pPr>
                  <w:r>
                    <w:t xml:space="preserve">Helleputte, 2022</w:t>
                  </w:r>
                </w:p>
              </w:tc>
              <w:tc>
                <w:tcPr/>
                <w:p>
                  <w:pPr>
                    <w:pStyle w:val="Compact"/>
                    <w:jc w:val="center"/>
                  </w:pPr>
                  <w:r>
                    <w:t xml:space="preserve">Cross-sectional</w:t>
                  </w:r>
                </w:p>
              </w:tc>
              <w:tc>
                <w:tcPr/>
                <w:p>
                  <w:pPr>
                    <w:pStyle w:val="Compact"/>
                    <w:jc w:val="center"/>
                  </w:pPr>
                  <w:r>
                    <w:t xml:space="preserve">T1D free of CVD</w:t>
                  </w:r>
                  <w:r>
                    <w:t xml:space="preserve"> </w:t>
                  </w:r>
                  <w:r>
                    <w:t xml:space="preserve">Age &gt; 18</w:t>
                  </w:r>
                  <w:r>
                    <w:t xml:space="preserve"> </w:t>
                  </w:r>
                </w:p>
              </w:tc>
              <w:tc>
                <w:tcPr/>
                <w:p>
                  <w:pPr>
                    <w:pStyle w:val="Compact"/>
                    <w:jc w:val="center"/>
                  </w:pPr>
                  <w:r>
                    <w:t xml:space="preserve">54</w:t>
                  </w:r>
                </w:p>
              </w:tc>
              <w:tc>
                <w:tcPr/>
                <w:p>
                  <w:pPr>
                    <w:pStyle w:val="Compact"/>
                    <w:jc w:val="center"/>
                  </w:pPr>
                  <w:r>
                    <w:t xml:space="preserve">7 days</w:t>
                  </w:r>
                </w:p>
              </w:tc>
              <w:tc>
                <w:tcPr/>
                <w:p>
                  <w:pPr>
                    <w:pStyle w:val="Compact"/>
                    <w:jc w:val="center"/>
                  </w:pPr>
                  <w:r>
                    <w:t xml:space="preserve">Univariate</w:t>
                  </w:r>
                </w:p>
              </w:tc>
            </w:tr>
            <w:tr>
              <w:tc>
                <w:tcPr/>
                <w:p>
                  <w:pPr>
                    <w:pStyle w:val="Compact"/>
                    <w:jc w:val="center"/>
                  </w:pPr>
                  <w:r>
                    <w:t xml:space="preserve">Hoffman, 2013</w:t>
                  </w:r>
                </w:p>
              </w:tc>
              <w:tc>
                <w:tcPr/>
                <w:p>
                  <w:pPr>
                    <w:pStyle w:val="Compact"/>
                    <w:jc w:val="center"/>
                  </w:pPr>
                  <w:r>
                    <w:t xml:space="preserve">Cross-sectional</w:t>
                  </w:r>
                </w:p>
              </w:tc>
              <w:tc>
                <w:tcPr/>
                <w:p>
                  <w:pPr>
                    <w:pStyle w:val="Compact"/>
                    <w:jc w:val="center"/>
                  </w:pPr>
                  <w:r>
                    <w:t xml:space="preserve">T1D Age: 13.1 ± 1.6</w:t>
                  </w:r>
                </w:p>
              </w:tc>
              <w:tc>
                <w:tcPr/>
                <w:p>
                  <w:pPr>
                    <w:pStyle w:val="Compact"/>
                    <w:jc w:val="center"/>
                  </w:pPr>
                  <w:r>
                    <w:t xml:space="preserve">17</w:t>
                  </w:r>
                </w:p>
              </w:tc>
              <w:tc>
                <w:tcPr/>
                <w:p>
                  <w:pPr>
                    <w:pStyle w:val="Compact"/>
                    <w:jc w:val="center"/>
                  </w:pPr>
                  <w:r>
                    <w:t xml:space="preserve">3 days</w:t>
                  </w:r>
                </w:p>
              </w:tc>
              <w:tc>
                <w:tcPr/>
                <w:p>
                  <w:pPr>
                    <w:pStyle w:val="Compact"/>
                    <w:jc w:val="center"/>
                  </w:pPr>
                  <w:r>
                    <w:t xml:space="preserve">Univariate</w:t>
                  </w:r>
                </w:p>
              </w:tc>
            </w:tr>
            <w:tr>
              <w:tc>
                <w:tcPr/>
                <w:p>
                  <w:pPr>
                    <w:pStyle w:val="Compact"/>
                    <w:jc w:val="center"/>
                  </w:pPr>
                  <w:r>
                    <w:t xml:space="preserve">Kakuta, 2017</w:t>
                  </w:r>
                </w:p>
              </w:tc>
              <w:tc>
                <w:tcPr/>
                <w:p>
                  <w:pPr>
                    <w:pStyle w:val="Compact"/>
                    <w:jc w:val="center"/>
                  </w:pPr>
                  <w:r>
                    <w:t xml:space="preserve">Cross-sectional</w:t>
                  </w:r>
                </w:p>
              </w:tc>
              <w:tc>
                <w:tcPr/>
                <w:p>
                  <w:pPr>
                    <w:pStyle w:val="Compact"/>
                    <w:jc w:val="center"/>
                  </w:pPr>
                  <w:r>
                    <w:t xml:space="preserve">T2D with coronary artery disease or</w:t>
                  </w:r>
                  <w:r>
                    <w:t xml:space="preserve"> </w:t>
                  </w:r>
                  <w:r>
                    <w:t xml:space="preserve">suspected coronary artery disease</w:t>
                  </w:r>
                  <w:r>
                    <w:t xml:space="preserve"> </w:t>
                  </w:r>
                  <w:r>
                    <w:t xml:space="preserve">Age &gt;20</w:t>
                  </w:r>
                </w:p>
              </w:tc>
              <w:tc>
                <w:tcPr/>
                <w:p>
                  <w:pPr>
                    <w:pStyle w:val="Compact"/>
                    <w:jc w:val="center"/>
                  </w:pPr>
                  <w:r>
                    <w:t xml:space="preserve">71</w:t>
                  </w:r>
                </w:p>
              </w:tc>
              <w:tc>
                <w:tcPr/>
                <w:p>
                  <w:pPr>
                    <w:pStyle w:val="Compact"/>
                    <w:jc w:val="center"/>
                  </w:pPr>
                  <w:r>
                    <w:t xml:space="preserve">7 days</w:t>
                  </w:r>
                </w:p>
              </w:tc>
              <w:tc>
                <w:tcPr/>
                <w:p>
                  <w:pPr>
                    <w:pStyle w:val="Compact"/>
                    <w:jc w:val="center"/>
                  </w:pPr>
                  <w:r>
                    <w:t xml:space="preserve">nr</w:t>
                  </w:r>
                </w:p>
              </w:tc>
            </w:tr>
            <w:tr>
              <w:tc>
                <w:tcPr/>
                <w:p>
                  <w:pPr>
                    <w:pStyle w:val="Compact"/>
                    <w:jc w:val="center"/>
                  </w:pPr>
                  <w:r>
                    <w:t xml:space="preserve">Koroleva, 2022</w:t>
                  </w:r>
                </w:p>
              </w:tc>
              <w:tc>
                <w:tcPr/>
                <w:p>
                  <w:pPr>
                    <w:pStyle w:val="Compact"/>
                    <w:jc w:val="center"/>
                  </w:pPr>
                  <w:r>
                    <w:t xml:space="preserve">Cross-sectional</w:t>
                  </w:r>
                </w:p>
              </w:tc>
              <w:tc>
                <w:tcPr/>
                <w:p>
                  <w:pPr>
                    <w:pStyle w:val="Compact"/>
                    <w:jc w:val="center"/>
                  </w:pPr>
                  <w:r>
                    <w:t xml:space="preserve">T2D on antihyperglycemic therapy</w:t>
                  </w:r>
                  <w:r>
                    <w:t xml:space="preserve"> </w:t>
                  </w:r>
                  <w:r>
                    <w:t xml:space="preserve">Age&gt;40</w:t>
                  </w:r>
                </w:p>
              </w:tc>
              <w:tc>
                <w:tcPr/>
                <w:p>
                  <w:pPr>
                    <w:pStyle w:val="Compact"/>
                    <w:jc w:val="center"/>
                  </w:pPr>
                  <w:r>
                    <w:t xml:space="preserve">194</w:t>
                  </w:r>
                </w:p>
              </w:tc>
              <w:tc>
                <w:tcPr/>
                <w:p>
                  <w:pPr>
                    <w:pStyle w:val="Compact"/>
                    <w:jc w:val="center"/>
                  </w:pPr>
                  <w:r>
                    <w:t xml:space="preserve">3 days</w:t>
                  </w:r>
                </w:p>
              </w:tc>
              <w:tc>
                <w:tcPr/>
                <w:p>
                  <w:pPr>
                    <w:pStyle w:val="Compact"/>
                    <w:jc w:val="center"/>
                  </w:pPr>
                  <w:r>
                    <w:t xml:space="preserve">Demographic</w:t>
                  </w:r>
                  <w:r>
                    <w:t xml:space="preserve"> </w:t>
                  </w:r>
                  <w:r>
                    <w:t xml:space="preserve">Medical History</w:t>
                  </w:r>
                  <w:r>
                    <w:t xml:space="preserve"> </w:t>
                  </w:r>
                  <w:r>
                    <w:t xml:space="preserve">Biochemical</w:t>
                  </w:r>
                  <w:r>
                    <w:t xml:space="preserve"> </w:t>
                  </w:r>
                </w:p>
              </w:tc>
            </w:tr>
            <w:tr>
              <w:tc>
                <w:tcPr/>
                <w:p>
                  <w:pPr>
                    <w:pStyle w:val="Compact"/>
                    <w:jc w:val="center"/>
                  </w:pPr>
                  <w:r>
                    <w:t xml:space="preserve">Lu, 2020</w:t>
                  </w:r>
                </w:p>
              </w:tc>
              <w:tc>
                <w:tcPr/>
                <w:p>
                  <w:pPr>
                    <w:pStyle w:val="Compact"/>
                    <w:jc w:val="center"/>
                  </w:pPr>
                  <w:r>
                    <w:t xml:space="preserve">Cross-sectional</w:t>
                  </w:r>
                </w:p>
              </w:tc>
              <w:tc>
                <w:tcPr/>
                <w:p>
                  <w:pPr>
                    <w:pStyle w:val="Compact"/>
                    <w:jc w:val="center"/>
                  </w:pPr>
                  <w:r>
                    <w:t xml:space="preserve">T2D Age ≥ 18</w:t>
                  </w:r>
                </w:p>
              </w:tc>
              <w:tc>
                <w:tcPr/>
                <w:p>
                  <w:pPr>
                    <w:pStyle w:val="Compact"/>
                    <w:jc w:val="center"/>
                  </w:pPr>
                  <w:r>
                    <w:t xml:space="preserve">2215</w:t>
                  </w:r>
                </w:p>
              </w:tc>
              <w:tc>
                <w:tcPr/>
                <w:p>
                  <w:pPr>
                    <w:pStyle w:val="Compact"/>
                    <w:jc w:val="center"/>
                  </w:pPr>
                  <w:r>
                    <w:t xml:space="preserve">3 days</w:t>
                  </w:r>
                </w:p>
              </w:tc>
              <w:tc>
                <w:tcPr/>
                <w:p>
                  <w:pPr>
                    <w:pStyle w:val="Compact"/>
                    <w:jc w:val="center"/>
                  </w:pPr>
                  <w:r>
                    <w:t xml:space="preserve">Demographic</w:t>
                  </w:r>
                  <w:r>
                    <w:t xml:space="preserve"> </w:t>
                  </w:r>
                  <w:r>
                    <w:t xml:space="preserve">Anthropometric</w:t>
                  </w:r>
                  <w:r>
                    <w:t xml:space="preserve"> </w:t>
                  </w:r>
                  <w:r>
                    <w:t xml:space="preserve">Lifestyle</w:t>
                  </w:r>
                  <w:r>
                    <w:t xml:space="preserve"> </w:t>
                  </w:r>
                  <w:r>
                    <w:t xml:space="preserve">Medical History</w:t>
                  </w:r>
                  <w:r>
                    <w:t xml:space="preserve"> </w:t>
                  </w:r>
                  <w:r>
                    <w:t xml:space="preserve">Physiological</w:t>
                  </w:r>
                  <w:r>
                    <w:t xml:space="preserve"> </w:t>
                  </w:r>
                  <w:r>
                    <w:t xml:space="preserve">Biochemical</w:t>
                  </w:r>
                  <w:r>
                    <w:t xml:space="preserve"> </w:t>
                  </w:r>
                  <w:r>
                    <w:t xml:space="preserve">Medication</w:t>
                  </w:r>
                  <w:r>
                    <w:t xml:space="preserve"> </w:t>
                  </w:r>
                </w:p>
              </w:tc>
            </w:tr>
            <w:tr>
              <w:tc>
                <w:tcPr/>
                <w:p>
                  <w:pPr>
                    <w:pStyle w:val="Compact"/>
                    <w:jc w:val="center"/>
                  </w:pPr>
                  <w:r>
                    <w:t xml:space="preserve">Magri, 2018†</w:t>
                  </w:r>
                </w:p>
              </w:tc>
              <w:tc>
                <w:tcPr/>
                <w:p>
                  <w:pPr>
                    <w:pStyle w:val="Compact"/>
                    <w:jc w:val="center"/>
                  </w:pPr>
                  <w:r>
                    <w:t xml:space="preserve">Cross-sectional</w:t>
                  </w:r>
                </w:p>
              </w:tc>
              <w:tc>
                <w:tcPr/>
                <w:p>
                  <w:pPr>
                    <w:pStyle w:val="Compact"/>
                    <w:jc w:val="center"/>
                  </w:pPr>
                  <w:r>
                    <w:t xml:space="preserve">T2D</w:t>
                  </w:r>
                  <w:r>
                    <w:t xml:space="preserve"> </w:t>
                  </w:r>
                  <w:r>
                    <w:t xml:space="preserve">Median age (IQR): 64 (57–68)</w:t>
                  </w:r>
                </w:p>
              </w:tc>
              <w:tc>
                <w:tcPr/>
                <w:p>
                  <w:pPr>
                    <w:pStyle w:val="Compact"/>
                    <w:jc w:val="center"/>
                  </w:pPr>
                  <w:r>
                    <w:t xml:space="preserve">121</w:t>
                  </w:r>
                </w:p>
              </w:tc>
              <w:tc>
                <w:tcPr/>
                <w:p>
                  <w:pPr>
                    <w:pStyle w:val="Compact"/>
                    <w:jc w:val="center"/>
                  </w:pPr>
                  <w:r>
                    <w:t xml:space="preserve">72 hours</w:t>
                  </w:r>
                </w:p>
              </w:tc>
              <w:tc>
                <w:tcPr/>
                <w:p>
                  <w:pPr>
                    <w:pStyle w:val="Compact"/>
                    <w:jc w:val="center"/>
                  </w:pPr>
                  <w:r>
                    <w:t xml:space="preserve">Anthropometric</w:t>
                  </w:r>
                  <w:r>
                    <w:t xml:space="preserve"> </w:t>
                  </w:r>
                  <w:r>
                    <w:t xml:space="preserve">Lifestyle</w:t>
                  </w:r>
                  <w:r>
                    <w:t xml:space="preserve"> </w:t>
                  </w:r>
                  <w:r>
                    <w:t xml:space="preserve">Biochemical</w:t>
                  </w:r>
                  <w:r>
                    <w:t xml:space="preserve"> </w:t>
                  </w:r>
                  <w:r>
                    <w:t xml:space="preserve">CGM/GV metrics</w:t>
                  </w:r>
                  <w:r>
                    <w:t xml:space="preserve"> </w:t>
                  </w:r>
                </w:p>
              </w:tc>
            </w:tr>
            <w:tr>
              <w:tc>
                <w:tcPr/>
                <w:p>
                  <w:pPr>
                    <w:pStyle w:val="Compact"/>
                    <w:jc w:val="center"/>
                  </w:pPr>
                  <w:r>
                    <w:t xml:space="preserve">Mesa, 2022</w:t>
                  </w:r>
                </w:p>
              </w:tc>
              <w:tc>
                <w:tcPr/>
                <w:p>
                  <w:pPr>
                    <w:pStyle w:val="Compact"/>
                    <w:jc w:val="center"/>
                  </w:pPr>
                  <w:r>
                    <w:t xml:space="preserve">Cross-sectional</w:t>
                  </w:r>
                </w:p>
              </w:tc>
              <w:tc>
                <w:tcPr/>
                <w:p>
                  <w:pPr>
                    <w:pStyle w:val="Compact"/>
                    <w:jc w:val="center"/>
                  </w:pPr>
                  <w:r>
                    <w:t xml:space="preserve">T1D Age ≥ 40</w:t>
                  </w:r>
                </w:p>
              </w:tc>
              <w:tc>
                <w:tcPr/>
                <w:p>
                  <w:pPr>
                    <w:pStyle w:val="Compact"/>
                    <w:jc w:val="center"/>
                  </w:pPr>
                  <w:r>
                    <w:t xml:space="preserve">152</w:t>
                  </w:r>
                </w:p>
              </w:tc>
              <w:tc>
                <w:tcPr/>
                <w:p>
                  <w:pPr>
                    <w:pStyle w:val="Compact"/>
                    <w:jc w:val="center"/>
                  </w:pPr>
                  <w:r>
                    <w:t xml:space="preserve">14 days</w:t>
                  </w:r>
                </w:p>
              </w:tc>
              <w:tc>
                <w:tcPr/>
                <w:p>
                  <w:pPr>
                    <w:pStyle w:val="Compact"/>
                    <w:jc w:val="center"/>
                  </w:pPr>
                  <w:r>
                    <w:t xml:space="preserve">Demographic</w:t>
                  </w:r>
                  <w:r>
                    <w:t xml:space="preserve"> </w:t>
                  </w:r>
                  <w:r>
                    <w:t xml:space="preserve">Medical History</w:t>
                  </w:r>
                  <w:r>
                    <w:t xml:space="preserve"> </w:t>
                  </w:r>
                  <w:r>
                    <w:t xml:space="preserve">Physiological</w:t>
                  </w:r>
                  <w:r>
                    <w:t xml:space="preserve"> </w:t>
                  </w:r>
                  <w:r>
                    <w:t xml:space="preserve">Biochemical</w:t>
                  </w:r>
                  <w:r>
                    <w:t xml:space="preserve"> </w:t>
                  </w:r>
                  <w:r>
                    <w:t xml:space="preserve">Medication</w:t>
                  </w:r>
                  <w:r>
                    <w:t xml:space="preserve"> </w:t>
                  </w:r>
                </w:p>
              </w:tc>
            </w:tr>
            <w:tr>
              <w:tc>
                <w:tcPr/>
                <w:p>
                  <w:pPr>
                    <w:pStyle w:val="Compact"/>
                    <w:jc w:val="center"/>
                  </w:pPr>
                  <w:r>
                    <w:t xml:space="preserve">Mo, 2013</w:t>
                  </w:r>
                </w:p>
              </w:tc>
              <w:tc>
                <w:tcPr/>
                <w:p>
                  <w:pPr>
                    <w:pStyle w:val="Compact"/>
                    <w:jc w:val="center"/>
                  </w:pPr>
                  <w:r>
                    <w:t xml:space="preserve">Cross-sectional</w:t>
                  </w:r>
                </w:p>
              </w:tc>
              <w:tc>
                <w:tcPr/>
                <w:p>
                  <w:pPr>
                    <w:pStyle w:val="Compact"/>
                    <w:jc w:val="center"/>
                  </w:pPr>
                  <w:r>
                    <w:t xml:space="preserve">T2D Age: 40-86</w:t>
                  </w:r>
                </w:p>
              </w:tc>
              <w:tc>
                <w:tcPr/>
                <w:p>
                  <w:pPr>
                    <w:pStyle w:val="Compact"/>
                    <w:jc w:val="center"/>
                  </w:pPr>
                  <w:r>
                    <w:t xml:space="preserve">216</w:t>
                  </w:r>
                </w:p>
              </w:tc>
              <w:tc>
                <w:tcPr/>
                <w:p>
                  <w:pPr>
                    <w:pStyle w:val="Compact"/>
                    <w:jc w:val="center"/>
                  </w:pPr>
                  <w:r>
                    <w:t xml:space="preserve">72 hours</w:t>
                  </w:r>
                </w:p>
              </w:tc>
              <w:tc>
                <w:tcPr/>
                <w:p>
                  <w:pPr>
                    <w:pStyle w:val="Compact"/>
                    <w:jc w:val="center"/>
                  </w:pPr>
                  <w:r>
                    <w:t xml:space="preserve">Demographic</w:t>
                  </w:r>
                  <w:r>
                    <w:t xml:space="preserve"> </w:t>
                  </w:r>
                  <w:r>
                    <w:t xml:space="preserve">Anthropometric</w:t>
                  </w:r>
                  <w:r>
                    <w:t xml:space="preserve"> </w:t>
                  </w:r>
                  <w:r>
                    <w:t xml:space="preserve">Lifestyle</w:t>
                  </w:r>
                  <w:r>
                    <w:t xml:space="preserve"> </w:t>
                  </w:r>
                  <w:r>
                    <w:t xml:space="preserve">Medical History</w:t>
                  </w:r>
                  <w:r>
                    <w:t xml:space="preserve"> </w:t>
                  </w:r>
                  <w:r>
                    <w:t xml:space="preserve">Physiological</w:t>
                  </w:r>
                  <w:r>
                    <w:t xml:space="preserve"> </w:t>
                  </w:r>
                  <w:r>
                    <w:t xml:space="preserve">Biochemical</w:t>
                  </w:r>
                  <w:r>
                    <w:t xml:space="preserve"> </w:t>
                  </w:r>
                  <w:r>
                    <w:t xml:space="preserve">Medication</w:t>
                  </w:r>
                  <w:r>
                    <w:t xml:space="preserve"> </w:t>
                  </w:r>
                  <w:r>
                    <w:t xml:space="preserve">CGM/GV metrics</w:t>
                  </w:r>
                  <w:r>
                    <w:t xml:space="preserve"> </w:t>
                  </w:r>
                </w:p>
              </w:tc>
            </w:tr>
            <w:tr>
              <w:tc>
                <w:tcPr/>
                <w:p>
                  <w:pPr>
                    <w:pStyle w:val="Compact"/>
                    <w:jc w:val="center"/>
                  </w:pPr>
                  <w:r>
                    <w:t xml:space="preserve">Morandi, 2023</w:t>
                  </w:r>
                </w:p>
              </w:tc>
              <w:tc>
                <w:tcPr/>
                <w:p>
                  <w:pPr>
                    <w:pStyle w:val="Compact"/>
                    <w:jc w:val="center"/>
                  </w:pPr>
                  <w:r>
                    <w:t xml:space="preserve">Cross-sectional</w:t>
                  </w:r>
                </w:p>
              </w:tc>
              <w:tc>
                <w:tcPr/>
                <w:p>
                  <w:pPr>
                    <w:pStyle w:val="Compact"/>
                    <w:jc w:val="center"/>
                  </w:pPr>
                  <w:r>
                    <w:t xml:space="preserve">T1D Age: 9-23</w:t>
                  </w:r>
                </w:p>
              </w:tc>
              <w:tc>
                <w:tcPr/>
                <w:p>
                  <w:pPr>
                    <w:pStyle w:val="Compact"/>
                    <w:jc w:val="center"/>
                  </w:pPr>
                  <w:r>
                    <w:t xml:space="preserve">267</w:t>
                  </w:r>
                </w:p>
              </w:tc>
              <w:tc>
                <w:tcPr/>
                <w:p>
                  <w:pPr>
                    <w:pStyle w:val="Compact"/>
                    <w:jc w:val="center"/>
                  </w:pPr>
                  <w:r>
                    <w:t xml:space="preserve">4 weeks</w:t>
                  </w:r>
                </w:p>
              </w:tc>
              <w:tc>
                <w:tcPr/>
                <w:p>
                  <w:pPr>
                    <w:pStyle w:val="Compact"/>
                    <w:jc w:val="center"/>
                  </w:pPr>
                  <w:r>
                    <w:t xml:space="preserve">nr</w:t>
                  </w:r>
                  <w:r>
                    <w:t xml:space="preserve"> </w:t>
                  </w:r>
                </w:p>
              </w:tc>
            </w:tr>
            <w:tr>
              <w:tc>
                <w:tcPr/>
                <w:p>
                  <w:pPr>
                    <w:pStyle w:val="Compact"/>
                    <w:jc w:val="center"/>
                  </w:pPr>
                  <w:r>
                    <w:t xml:space="preserve">Pena, 2012</w:t>
                  </w:r>
                </w:p>
              </w:tc>
              <w:tc>
                <w:tcPr/>
                <w:p>
                  <w:pPr>
                    <w:pStyle w:val="Compact"/>
                    <w:jc w:val="center"/>
                  </w:pPr>
                  <w:r>
                    <w:t xml:space="preserve">Cross-sectional</w:t>
                  </w:r>
                </w:p>
              </w:tc>
              <w:tc>
                <w:tcPr/>
                <w:p>
                  <w:pPr>
                    <w:pStyle w:val="Compact"/>
                    <w:jc w:val="center"/>
                  </w:pPr>
                  <w:r>
                    <w:t xml:space="preserve">T1D =52 Mean age±SD: 14±2.7</w:t>
                  </w:r>
                  <w:r>
                    <w:t xml:space="preserve"> </w:t>
                  </w:r>
                  <w:r>
                    <w:t xml:space="preserve">Normal controls = 50</w:t>
                  </w:r>
                  <w:r>
                    <w:t xml:space="preserve"> </w:t>
                  </w:r>
                  <w:r>
                    <w:t xml:space="preserve">(Age and sex matched)</w:t>
                  </w:r>
                  <w:r>
                    <w:t xml:space="preserve"> </w:t>
                  </w:r>
                  <w:r>
                    <w:t xml:space="preserve">Mean age(SD): 14.8±3.3</w:t>
                  </w:r>
                </w:p>
              </w:tc>
              <w:tc>
                <w:tcPr/>
                <w:p>
                  <w:pPr>
                    <w:pStyle w:val="Compact"/>
                    <w:jc w:val="center"/>
                  </w:pPr>
                  <w:r>
                    <w:t xml:space="preserve">102</w:t>
                  </w:r>
                </w:p>
              </w:tc>
              <w:tc>
                <w:tcPr/>
                <w:p>
                  <w:pPr>
                    <w:pStyle w:val="Compact"/>
                    <w:jc w:val="center"/>
                  </w:pPr>
                  <w:r>
                    <w:t xml:space="preserve">4 days Days 0 and 3 where not used (Results in 48 hours used for calculations)</w:t>
                  </w:r>
                  <w:r>
                    <w:t xml:space="preserve"> </w:t>
                  </w:r>
                </w:p>
              </w:tc>
              <w:tc>
                <w:tcPr/>
                <w:p>
                  <w:pPr>
                    <w:pStyle w:val="Compact"/>
                    <w:jc w:val="center"/>
                  </w:pPr>
                  <w:r>
                    <w:t xml:space="preserve">Anthropometric</w:t>
                  </w:r>
                  <w:r>
                    <w:t xml:space="preserve"> </w:t>
                  </w:r>
                  <w:r>
                    <w:t xml:space="preserve">Medical History</w:t>
                  </w:r>
                </w:p>
              </w:tc>
            </w:tr>
            <w:tr>
              <w:tc>
                <w:tcPr/>
                <w:p>
                  <w:pPr>
                    <w:pStyle w:val="Compact"/>
                    <w:jc w:val="center"/>
                  </w:pPr>
                  <w:r>
                    <w:t xml:space="preserve">Pertseva 2023</w:t>
                  </w:r>
                </w:p>
              </w:tc>
              <w:tc>
                <w:tcPr/>
                <w:p>
                  <w:pPr>
                    <w:pStyle w:val="Compact"/>
                    <w:jc w:val="center"/>
                  </w:pPr>
                  <w:r>
                    <w:t xml:space="preserve">Cross-sectional</w:t>
                  </w:r>
                </w:p>
              </w:tc>
              <w:tc>
                <w:tcPr/>
                <w:p>
                  <w:pPr>
                    <w:pStyle w:val="Compact"/>
                    <w:jc w:val="center"/>
                  </w:pPr>
                  <w:r>
                    <w:t xml:space="preserve">T2D, n = 53</w:t>
                  </w:r>
                  <w:r>
                    <w:t xml:space="preserve"> </w:t>
                  </w:r>
                  <w:r>
                    <w:t xml:space="preserve">Normal control,</w:t>
                  </w:r>
                  <w:r>
                    <w:t xml:space="preserve"> </w:t>
                  </w:r>
                  <w:r>
                    <w:t xml:space="preserve">n = 10 Age,</w:t>
                  </w:r>
                  <w:r>
                    <w:t xml:space="preserve"> </w:t>
                  </w:r>
                  <w:r>
                    <w:t xml:space="preserve">sex and BMI matched</w:t>
                  </w:r>
                  <w:r>
                    <w:t xml:space="preserve"> </w:t>
                  </w:r>
                  <w:r>
                    <w:t xml:space="preserve">Age: 51-65</w:t>
                  </w:r>
                  <w:r>
                    <w:t xml:space="preserve"> </w:t>
                  </w:r>
                </w:p>
              </w:tc>
              <w:tc>
                <w:tcPr/>
                <w:p>
                  <w:pPr>
                    <w:pStyle w:val="Compact"/>
                    <w:jc w:val="center"/>
                  </w:pPr>
                  <w:r>
                    <w:t xml:space="preserve">63</w:t>
                  </w:r>
                </w:p>
              </w:tc>
              <w:tc>
                <w:tcPr/>
                <w:p>
                  <w:pPr>
                    <w:pStyle w:val="Compact"/>
                    <w:jc w:val="center"/>
                  </w:pPr>
                  <w:r>
                    <w:t xml:space="preserve">24 hours</w:t>
                  </w:r>
                </w:p>
              </w:tc>
              <w:tc>
                <w:tcPr/>
                <w:p>
                  <w:pPr>
                    <w:pStyle w:val="Compact"/>
                    <w:jc w:val="center"/>
                  </w:pPr>
                  <w:r>
                    <w:t xml:space="preserve">Univariate</w:t>
                  </w:r>
                </w:p>
              </w:tc>
            </w:tr>
            <w:tr>
              <w:tc>
                <w:tcPr/>
                <w:p>
                  <w:pPr>
                    <w:pStyle w:val="Compact"/>
                    <w:jc w:val="center"/>
                  </w:pPr>
                  <w:r>
                    <w:t xml:space="preserve">Piona, 2023</w:t>
                  </w:r>
                </w:p>
              </w:tc>
              <w:tc>
                <w:tcPr/>
                <w:p>
                  <w:pPr>
                    <w:pStyle w:val="Compact"/>
                    <w:jc w:val="center"/>
                  </w:pPr>
                  <w:r>
                    <w:t xml:space="preserve">Cross-sectional</w:t>
                  </w:r>
                </w:p>
              </w:tc>
              <w:tc>
                <w:tcPr/>
                <w:p>
                  <w:pPr>
                    <w:pStyle w:val="Compact"/>
                    <w:jc w:val="center"/>
                  </w:pPr>
                  <w:r>
                    <w:t xml:space="preserve">T1D Age: 2-18 years</w:t>
                  </w:r>
                </w:p>
              </w:tc>
              <w:tc>
                <w:tcPr/>
                <w:p>
                  <w:pPr>
                    <w:pStyle w:val="Compact"/>
                    <w:jc w:val="center"/>
                  </w:pPr>
                  <w:r>
                    <w:t xml:space="preserve">895</w:t>
                  </w:r>
                </w:p>
              </w:tc>
              <w:tc>
                <w:tcPr/>
                <w:p>
                  <w:pPr>
                    <w:pStyle w:val="Compact"/>
                    <w:jc w:val="center"/>
                  </w:pPr>
                  <w:r>
                    <w:t xml:space="preserve">2 weeks previsit and 4 weeks previsit</w:t>
                  </w:r>
                </w:p>
              </w:tc>
              <w:tc>
                <w:tcPr/>
                <w:p>
                  <w:pPr>
                    <w:pStyle w:val="Compact"/>
                    <w:jc w:val="center"/>
                  </w:pPr>
                  <w:r>
                    <w:t xml:space="preserve">Demographic</w:t>
                  </w:r>
                  <w:r>
                    <w:t xml:space="preserve">Anthropometric</w:t>
                  </w:r>
                  <w:r>
                    <w:t xml:space="preserve"> </w:t>
                  </w:r>
                  <w:r>
                    <w:t xml:space="preserve">Medical History</w:t>
                  </w:r>
                  <w:r>
                    <w:t xml:space="preserve">Biochemical</w:t>
                  </w:r>
                  <w:r>
                    <w:t xml:space="preserve"> </w:t>
                  </w:r>
                  <w:r>
                    <w:t xml:space="preserve">Medication</w:t>
                  </w:r>
                  <w:r>
                    <w:t xml:space="preserve"> </w:t>
                  </w:r>
                  <w:r>
                    <w:t xml:space="preserve">CGM/GV metrics</w:t>
                  </w:r>
                  <w:r>
                    <w:t xml:space="preserve"> </w:t>
                  </w:r>
                </w:p>
              </w:tc>
            </w:tr>
            <w:tr>
              <w:tc>
                <w:tcPr/>
                <w:p>
                  <w:pPr>
                    <w:pStyle w:val="Compact"/>
                    <w:jc w:val="center"/>
                  </w:pPr>
                  <w:r>
                    <w:t xml:space="preserve">Pulkkinen, 2020</w:t>
                  </w:r>
                </w:p>
              </w:tc>
              <w:tc>
                <w:tcPr/>
                <w:p>
                  <w:pPr>
                    <w:pStyle w:val="Compact"/>
                    <w:jc w:val="center"/>
                  </w:pPr>
                  <w:r>
                    <w:t xml:space="preserve">Cross-sectional</w:t>
                  </w:r>
                </w:p>
              </w:tc>
              <w:tc>
                <w:tcPr/>
                <w:p>
                  <w:pPr>
                    <w:pStyle w:val="Compact"/>
                    <w:jc w:val="center"/>
                  </w:pPr>
                  <w:r>
                    <w:t xml:space="preserve">T1D</w:t>
                  </w:r>
                  <w:r>
                    <w:t xml:space="preserve"> </w:t>
                  </w:r>
                  <w:r>
                    <w:t xml:space="preserve">Age:12-15.9</w:t>
                  </w:r>
                </w:p>
              </w:tc>
              <w:tc>
                <w:tcPr/>
                <w:p>
                  <w:pPr>
                    <w:pStyle w:val="Compact"/>
                    <w:jc w:val="center"/>
                  </w:pPr>
                  <w:r>
                    <w:t xml:space="preserve">39</w:t>
                  </w:r>
                </w:p>
              </w:tc>
              <w:tc>
                <w:tcPr/>
                <w:p>
                  <w:pPr>
                    <w:pStyle w:val="Compact"/>
                    <w:jc w:val="center"/>
                  </w:pPr>
                  <w:r>
                    <w:t xml:space="preserve">6 days for baseline + 12 months</w:t>
                  </w:r>
                </w:p>
              </w:tc>
              <w:tc>
                <w:tcPr/>
                <w:p>
                  <w:pPr>
                    <w:pStyle w:val="Compact"/>
                    <w:jc w:val="center"/>
                  </w:pPr>
                  <w:r>
                    <w:t xml:space="preserve">Univariate</w:t>
                  </w:r>
                </w:p>
              </w:tc>
            </w:tr>
            <w:tr>
              <w:tc>
                <w:tcPr/>
                <w:p>
                  <w:pPr>
                    <w:pStyle w:val="Compact"/>
                    <w:jc w:val="center"/>
                  </w:pPr>
                  <w:r>
                    <w:t xml:space="preserve">Snell, Bergeon, 201031</w:t>
                  </w:r>
                </w:p>
              </w:tc>
              <w:tc>
                <w:tcPr/>
                <w:p>
                  <w:pPr>
                    <w:pStyle w:val="Compact"/>
                    <w:jc w:val="center"/>
                  </w:pPr>
                  <w:r>
                    <w:t xml:space="preserve">Cross-sectional</w:t>
                  </w:r>
                </w:p>
              </w:tc>
              <w:tc>
                <w:tcPr/>
                <w:p>
                  <w:pPr>
                    <w:pStyle w:val="Compact"/>
                    <w:jc w:val="center"/>
                  </w:pPr>
                  <w:r>
                    <w:t xml:space="preserve">T1D, no history of coronary artery disease</w:t>
                  </w:r>
                  <w:r>
                    <w:t xml:space="preserve"> </w:t>
                  </w:r>
                  <w:r>
                    <w:t xml:space="preserve">Age 19-56 years</w:t>
                  </w:r>
                </w:p>
              </w:tc>
              <w:tc>
                <w:tcPr/>
                <w:p>
                  <w:pPr>
                    <w:pStyle w:val="Compact"/>
                    <w:jc w:val="center"/>
                  </w:pPr>
                  <w:r>
                    <w:t xml:space="preserve">75</w:t>
                  </w:r>
                </w:p>
              </w:tc>
              <w:tc>
                <w:tcPr/>
                <w:p>
                  <w:pPr>
                    <w:pStyle w:val="Compact"/>
                    <w:jc w:val="center"/>
                  </w:pPr>
                  <w:r>
                    <w:t xml:space="preserve">5 days</w:t>
                  </w:r>
                </w:p>
              </w:tc>
              <w:tc>
                <w:tcPr/>
                <w:p>
                  <w:pPr>
                    <w:pStyle w:val="Compact"/>
                    <w:jc w:val="center"/>
                  </w:pPr>
                  <w:r>
                    <w:t xml:space="preserve">Demographic</w:t>
                  </w:r>
                  <w:r>
                    <w:t xml:space="preserve"> </w:t>
                  </w:r>
                  <w:r>
                    <w:t xml:space="preserve">Medical History</w:t>
                  </w:r>
                  <w:r>
                    <w:t xml:space="preserve"> </w:t>
                  </w:r>
                  <w:r>
                    <w:t xml:space="preserve">CGM/GV metrics</w:t>
                  </w:r>
                  <w:r>
                    <w:t xml:space="preserve"> </w:t>
                  </w:r>
                  <w:r>
                    <w:t xml:space="preserve">CVD marker</w:t>
                  </w:r>
                  <w:r>
                    <w:t xml:space="preserve"> </w:t>
                  </w:r>
                </w:p>
              </w:tc>
            </w:tr>
            <w:tr>
              <w:tc>
                <w:tcPr/>
                <w:p>
                  <w:pPr>
                    <w:pStyle w:val="Compact"/>
                    <w:jc w:val="center"/>
                  </w:pPr>
                  <w:r>
                    <w:t xml:space="preserve">Taya, 2021</w:t>
                  </w:r>
                </w:p>
              </w:tc>
              <w:tc>
                <w:tcPr/>
                <w:p>
                  <w:pPr>
                    <w:pStyle w:val="Compact"/>
                    <w:jc w:val="center"/>
                  </w:pPr>
                  <w:r>
                    <w:t xml:space="preserve">Cross-sectional</w:t>
                  </w:r>
                </w:p>
              </w:tc>
              <w:tc>
                <w:tcPr/>
                <w:p>
                  <w:pPr>
                    <w:pStyle w:val="Compact"/>
                    <w:jc w:val="center"/>
                  </w:pPr>
                  <w:r>
                    <w:t xml:space="preserve">T2D , no history of CVD</w:t>
                  </w:r>
                  <w:r>
                    <w:t xml:space="preserve"> </w:t>
                  </w:r>
                  <w:r>
                    <w:t xml:space="preserve">age 30-80</w:t>
                  </w:r>
                </w:p>
              </w:tc>
              <w:tc>
                <w:tcPr/>
                <w:p>
                  <w:pPr>
                    <w:pStyle w:val="Compact"/>
                    <w:jc w:val="center"/>
                  </w:pPr>
                  <w:r>
                    <w:t xml:space="preserve">600</w:t>
                  </w:r>
                </w:p>
              </w:tc>
              <w:tc>
                <w:tcPr/>
                <w:p>
                  <w:pPr>
                    <w:pStyle w:val="Compact"/>
                    <w:jc w:val="center"/>
                  </w:pPr>
                  <w:r>
                    <w:t xml:space="preserve">3-10 days</w:t>
                  </w:r>
                </w:p>
              </w:tc>
              <w:tc>
                <w:tcPr/>
                <w:p>
                  <w:pPr>
                    <w:pStyle w:val="Compact"/>
                    <w:jc w:val="center"/>
                  </w:pPr>
                  <w:r>
                    <w:t xml:space="preserve">Demographic</w:t>
                  </w:r>
                  <w:r>
                    <w:t xml:space="preserve"> </w:t>
                  </w:r>
                  <w:r>
                    <w:t xml:space="preserve">Anthropometric</w:t>
                  </w:r>
                  <w:r>
                    <w:t xml:space="preserve">Lifestyle</w:t>
                  </w:r>
                  <w:r>
                    <w:t xml:space="preserve"> </w:t>
                  </w:r>
                  <w:r>
                    <w:t xml:space="preserve">Medical History</w:t>
                  </w:r>
                  <w:r>
                    <w:t xml:space="preserve"> </w:t>
                  </w:r>
                  <w:r>
                    <w:t xml:space="preserve">Physiological</w:t>
                  </w:r>
                  <w:r>
                    <w:t xml:space="preserve"> </w:t>
                  </w:r>
                  <w:r>
                    <w:t xml:space="preserve">Biochemical</w:t>
                  </w:r>
                  <w:r>
                    <w:t xml:space="preserve"> </w:t>
                  </w:r>
                </w:p>
              </w:tc>
            </w:tr>
            <w:tr>
              <w:tc>
                <w:tcPr/>
                <w:p>
                  <w:pPr>
                    <w:pStyle w:val="Compact"/>
                    <w:jc w:val="center"/>
                  </w:pPr>
                  <w:r>
                    <w:t xml:space="preserve">Torimoto, 2025</w:t>
                  </w:r>
                </w:p>
              </w:tc>
              <w:tc>
                <w:tcPr/>
                <w:p>
                  <w:pPr>
                    <w:pStyle w:val="Compact"/>
                    <w:jc w:val="center"/>
                  </w:pPr>
                  <w:r>
                    <w:t xml:space="preserve">Cross-sectional</w:t>
                  </w:r>
                </w:p>
              </w:tc>
              <w:tc>
                <w:tcPr/>
                <w:p>
                  <w:pPr>
                    <w:pStyle w:val="Compact"/>
                    <w:jc w:val="center"/>
                  </w:pPr>
                  <w:r>
                    <w:t xml:space="preserve">T2D no history of CVD</w:t>
                  </w:r>
                  <w:r>
                    <w:t xml:space="preserve"> </w:t>
                  </w:r>
                  <w:r>
                    <w:t xml:space="preserve">Age: 30–80</w:t>
                  </w:r>
                </w:p>
              </w:tc>
              <w:tc>
                <w:tcPr/>
                <w:p>
                  <w:pPr>
                    <w:pStyle w:val="Compact"/>
                    <w:jc w:val="center"/>
                  </w:pPr>
                  <w:r>
                    <w:t xml:space="preserve">999</w:t>
                  </w:r>
                </w:p>
              </w:tc>
              <w:tc>
                <w:tcPr/>
                <w:p>
                  <w:pPr>
                    <w:pStyle w:val="Compact"/>
                  </w:pPr>
                </w:p>
              </w:tc>
              <w:tc>
                <w:tcPr/>
                <w:p>
                  <w:pPr>
                    <w:pStyle w:val="Compact"/>
                    <w:jc w:val="center"/>
                  </w:pPr>
                  <w:r>
                    <w:t xml:space="preserve">Demographic</w:t>
                  </w:r>
                  <w:r>
                    <w:t xml:space="preserve">Anthropometric</w:t>
                  </w:r>
                  <w:r>
                    <w:t xml:space="preserve"> </w:t>
                  </w:r>
                  <w:r>
                    <w:t xml:space="preserve">Lifestyle</w:t>
                  </w:r>
                  <w:r>
                    <w:t xml:space="preserve"> </w:t>
                  </w:r>
                  <w:r>
                    <w:t xml:space="preserve">Medical History</w:t>
                  </w:r>
                  <w:r>
                    <w:t xml:space="preserve"> </w:t>
                  </w:r>
                  <w:r>
                    <w:t xml:space="preserve">Physiological</w:t>
                  </w:r>
                  <w:r>
                    <w:t xml:space="preserve"> </w:t>
                  </w:r>
                  <w:r>
                    <w:t xml:space="preserve">Biochemical</w:t>
                  </w:r>
                  <w:r>
                    <w:t xml:space="preserve"> </w:t>
                  </w:r>
                  <w:r>
                    <w:t xml:space="preserve">Medication</w:t>
                  </w:r>
                </w:p>
              </w:tc>
            </w:tr>
            <w:tr>
              <w:tc>
                <w:tcPr/>
                <w:p>
                  <w:pPr>
                    <w:pStyle w:val="Compact"/>
                    <w:jc w:val="center"/>
                  </w:pPr>
                  <w:r>
                    <w:t xml:space="preserve">Wakasugi, 2021</w:t>
                  </w:r>
                </w:p>
              </w:tc>
              <w:tc>
                <w:tcPr/>
                <w:p>
                  <w:pPr>
                    <w:pStyle w:val="Compact"/>
                    <w:jc w:val="center"/>
                  </w:pPr>
                  <w:r>
                    <w:t xml:space="preserve">Cross-sectional</w:t>
                  </w:r>
                </w:p>
              </w:tc>
              <w:tc>
                <w:tcPr/>
                <w:p>
                  <w:pPr>
                    <w:pStyle w:val="Compact"/>
                    <w:jc w:val="center"/>
                  </w:pPr>
                  <w:r>
                    <w:t xml:space="preserve">T2D, no history of CVD</w:t>
                  </w:r>
                  <w:r>
                    <w:t xml:space="preserve">Age 30-80</w:t>
                  </w:r>
                </w:p>
              </w:tc>
              <w:tc>
                <w:tcPr/>
                <w:p>
                  <w:pPr>
                    <w:pStyle w:val="Compact"/>
                    <w:jc w:val="center"/>
                  </w:pPr>
                  <w:r>
                    <w:t xml:space="preserve">445</w:t>
                  </w:r>
                </w:p>
              </w:tc>
              <w:tc>
                <w:tcPr/>
                <w:p>
                  <w:pPr>
                    <w:pStyle w:val="Compact"/>
                    <w:jc w:val="center"/>
                  </w:pPr>
                  <w:r>
                    <w:t xml:space="preserve">14 days</w:t>
                  </w:r>
                </w:p>
              </w:tc>
              <w:tc>
                <w:tcPr/>
                <w:p>
                  <w:pPr>
                    <w:pStyle w:val="Compact"/>
                    <w:jc w:val="center"/>
                  </w:pPr>
                  <w:r>
                    <w:t xml:space="preserve">Demographic</w:t>
                  </w:r>
                  <w:r>
                    <w:t xml:space="preserve"> </w:t>
                  </w:r>
                  <w:r>
                    <w:t xml:space="preserve">Anthropometric</w:t>
                  </w:r>
                  <w:r>
                    <w:t xml:space="preserve"> </w:t>
                  </w:r>
                  <w:r>
                    <w:t xml:space="preserve">Lifestyle</w:t>
                  </w:r>
                  <w:r>
                    <w:t xml:space="preserve"> </w:t>
                  </w:r>
                  <w:r>
                    <w:t xml:space="preserve">Medical History</w:t>
                  </w:r>
                  <w:r>
                    <w:t xml:space="preserve"> </w:t>
                  </w:r>
                  <w:r>
                    <w:t xml:space="preserve">Physiological</w:t>
                  </w:r>
                  <w:r>
                    <w:t xml:space="preserve"> </w:t>
                  </w:r>
                  <w:r>
                    <w:t xml:space="preserve">Biochemical</w:t>
                  </w:r>
                  <w:r>
                    <w:t xml:space="preserve"> </w:t>
                  </w:r>
                  <w:r>
                    <w:t xml:space="preserve">Medication</w:t>
                  </w:r>
                  <w:r>
                    <w:t xml:space="preserve"> </w:t>
                  </w:r>
                </w:p>
              </w:tc>
            </w:tr>
            <w:tr>
              <w:tc>
                <w:tcPr/>
                <w:p>
                  <w:pPr>
                    <w:pStyle w:val="Compact"/>
                    <w:jc w:val="center"/>
                  </w:pPr>
                  <w:r>
                    <w:t xml:space="preserve">Wei, 2022</w:t>
                  </w:r>
                </w:p>
              </w:tc>
              <w:tc>
                <w:tcPr/>
                <w:p>
                  <w:pPr>
                    <w:pStyle w:val="Compact"/>
                    <w:jc w:val="center"/>
                  </w:pPr>
                  <w:r>
                    <w:t xml:space="preserve">Cross-sectional</w:t>
                  </w:r>
                </w:p>
              </w:tc>
              <w:tc>
                <w:tcPr/>
                <w:p>
                  <w:pPr>
                    <w:pStyle w:val="Compact"/>
                    <w:jc w:val="center"/>
                  </w:pPr>
                  <w:r>
                    <w:t xml:space="preserve">T2D</w:t>
                  </w:r>
                  <w:r>
                    <w:t xml:space="preserve"> </w:t>
                  </w:r>
                  <w:r>
                    <w:t xml:space="preserve">Median age(IQR): 55.0 (47 - 65)</w:t>
                  </w:r>
                </w:p>
              </w:tc>
              <w:tc>
                <w:tcPr/>
                <w:p>
                  <w:pPr>
                    <w:pStyle w:val="Compact"/>
                    <w:jc w:val="center"/>
                  </w:pPr>
                  <w:r>
                    <w:t xml:space="preserve">405</w:t>
                  </w:r>
                </w:p>
              </w:tc>
              <w:tc>
                <w:tcPr/>
                <w:p>
                  <w:pPr>
                    <w:pStyle w:val="Compact"/>
                    <w:jc w:val="center"/>
                  </w:pPr>
                  <w:r>
                    <w:t xml:space="preserve">72 hours</w:t>
                  </w:r>
                </w:p>
              </w:tc>
              <w:tc>
                <w:tcPr/>
                <w:p>
                  <w:pPr>
                    <w:pStyle w:val="Compact"/>
                    <w:jc w:val="center"/>
                  </w:pPr>
                  <w:r>
                    <w:t xml:space="preserve">Demographic</w:t>
                  </w:r>
                  <w:r>
                    <w:t xml:space="preserve"> </w:t>
                  </w:r>
                  <w:r>
                    <w:t xml:space="preserve">Anthropometric</w:t>
                  </w:r>
                  <w:r>
                    <w:t xml:space="preserve"> </w:t>
                  </w:r>
                  <w:r>
                    <w:t xml:space="preserve">Medical History</w:t>
                  </w:r>
                  <w:r>
                    <w:t xml:space="preserve"> </w:t>
                  </w:r>
                  <w:r>
                    <w:t xml:space="preserve">Physiological</w:t>
                  </w:r>
                  <w:r>
                    <w:t xml:space="preserve"> </w:t>
                  </w:r>
                  <w:r>
                    <w:t xml:space="preserve">Biochemical</w:t>
                  </w:r>
                  <w:r>
                    <w:t xml:space="preserve"> </w:t>
                  </w:r>
                  <w:r>
                    <w:t xml:space="preserve">CGM/GV metrics</w:t>
                  </w:r>
                </w:p>
              </w:tc>
            </w:tr>
            <w:tr>
              <w:tc>
                <w:tcPr/>
                <w:p>
                  <w:pPr>
                    <w:pStyle w:val="Compact"/>
                    <w:jc w:val="center"/>
                  </w:pPr>
                  <w:r>
                    <w:t xml:space="preserve">Yano, 2013</w:t>
                  </w:r>
                </w:p>
              </w:tc>
              <w:tc>
                <w:tcPr/>
                <w:p>
                  <w:pPr>
                    <w:pStyle w:val="Compact"/>
                    <w:jc w:val="center"/>
                  </w:pPr>
                  <w:r>
                    <w:t xml:space="preserve">Cross-sectional</w:t>
                  </w:r>
                </w:p>
              </w:tc>
              <w:tc>
                <w:tcPr/>
                <w:p>
                  <w:pPr>
                    <w:pStyle w:val="Compact"/>
                    <w:jc w:val="center"/>
                  </w:pPr>
                  <w:r>
                    <w:t xml:space="preserve">T2D Age ≥ 20</w:t>
                  </w:r>
                </w:p>
              </w:tc>
              <w:tc>
                <w:tcPr/>
                <w:p>
                  <w:pPr>
                    <w:pStyle w:val="Compact"/>
                    <w:jc w:val="center"/>
                  </w:pPr>
                  <w:r>
                    <w:t xml:space="preserve">49</w:t>
                  </w:r>
                </w:p>
              </w:tc>
              <w:tc>
                <w:tcPr/>
                <w:p>
                  <w:pPr>
                    <w:pStyle w:val="Compact"/>
                    <w:jc w:val="center"/>
                  </w:pPr>
                  <w:r>
                    <w:t xml:space="preserve">72 hours</w:t>
                  </w:r>
                </w:p>
              </w:tc>
              <w:tc>
                <w:tcPr/>
                <w:p>
                  <w:pPr>
                    <w:pStyle w:val="Compact"/>
                    <w:jc w:val="center"/>
                  </w:pPr>
                  <w:r>
                    <w:t xml:space="preserve">Physiological</w:t>
                  </w:r>
                </w:p>
              </w:tc>
            </w:tr>
            <w:tr>
              <w:tc>
                <w:tcPr/>
                <w:p>
                  <w:pPr>
                    <w:pStyle w:val="Compact"/>
                    <w:jc w:val="center"/>
                  </w:pPr>
                  <w:r>
                    <w:t xml:space="preserve">Yokota, 2019</w:t>
                  </w:r>
                </w:p>
              </w:tc>
              <w:tc>
                <w:tcPr/>
                <w:p>
                  <w:pPr>
                    <w:pStyle w:val="Compact"/>
                    <w:jc w:val="center"/>
                  </w:pPr>
                  <w:r>
                    <w:t xml:space="preserve">Cross-sectional</w:t>
                  </w:r>
                </w:p>
              </w:tc>
              <w:tc>
                <w:tcPr/>
                <w:p>
                  <w:pPr>
                    <w:pStyle w:val="Compact"/>
                    <w:jc w:val="center"/>
                  </w:pPr>
                  <w:r>
                    <w:t xml:space="preserve">T2D, free of CVD</w:t>
                  </w:r>
                  <w:r>
                    <w:t xml:space="preserve"> </w:t>
                  </w:r>
                  <w:r>
                    <w:t xml:space="preserve">Mean age±: 60 ± 14</w:t>
                  </w:r>
                </w:p>
              </w:tc>
              <w:tc>
                <w:tcPr/>
                <w:p>
                  <w:pPr>
                    <w:pStyle w:val="Compact"/>
                    <w:jc w:val="center"/>
                  </w:pPr>
                  <w:r>
                    <w:t xml:space="preserve">100</w:t>
                  </w:r>
                </w:p>
              </w:tc>
              <w:tc>
                <w:tcPr/>
                <w:p>
                  <w:pPr>
                    <w:pStyle w:val="Compact"/>
                    <w:jc w:val="center"/>
                  </w:pPr>
                  <w:r>
                    <w:t xml:space="preserve">72 hours</w:t>
                  </w:r>
                </w:p>
              </w:tc>
              <w:tc>
                <w:tcPr/>
                <w:p>
                  <w:pPr>
                    <w:pStyle w:val="Compact"/>
                    <w:jc w:val="center"/>
                  </w:pPr>
                  <w:r>
                    <w:t xml:space="preserve">Demographic</w:t>
                  </w:r>
                  <w:r>
                    <w:t xml:space="preserve"> </w:t>
                  </w:r>
                  <w:r>
                    <w:t xml:space="preserve">Anthropometric</w:t>
                  </w:r>
                  <w:r>
                    <w:t xml:space="preserve">Medical History</w:t>
                  </w:r>
                  <w:r>
                    <w:t xml:space="preserve"> </w:t>
                  </w:r>
                  <w:r>
                    <w:t xml:space="preserve">Biochemical</w:t>
                  </w:r>
                  <w:r>
                    <w:t xml:space="preserve"> </w:t>
                  </w:r>
                  <w:r>
                    <w:t xml:space="preserve">Medication</w:t>
                  </w:r>
                  <w:r>
                    <w:t xml:space="preserve">CVD marker</w:t>
                  </w:r>
                </w:p>
              </w:tc>
            </w:tr>
            <w:tr>
              <w:tc>
                <w:tcPr/>
                <w:p>
                  <w:pPr>
                    <w:pStyle w:val="Compact"/>
                    <w:jc w:val="center"/>
                  </w:pPr>
                  <w:r>
                    <w:t xml:space="preserve">Zhang, 2014</w:t>
                  </w:r>
                </w:p>
              </w:tc>
              <w:tc>
                <w:tcPr/>
                <w:p>
                  <w:pPr>
                    <w:pStyle w:val="Compact"/>
                    <w:jc w:val="center"/>
                  </w:pPr>
                  <w:r>
                    <w:t xml:space="preserve">Cross-sectional</w:t>
                  </w:r>
                </w:p>
              </w:tc>
              <w:tc>
                <w:tcPr/>
                <w:p>
                  <w:pPr>
                    <w:pStyle w:val="Compact"/>
                    <w:jc w:val="center"/>
                  </w:pPr>
                  <w:r>
                    <w:t xml:space="preserve">T2D - With CAD, n=52</w:t>
                  </w:r>
                  <w:r>
                    <w:t xml:space="preserve"> </w:t>
                  </w:r>
                  <w:r>
                    <w:t xml:space="preserve">- Without CAD, n = 36 Healthy controls, n=30 Age: 50-70</w:t>
                  </w:r>
                </w:p>
              </w:tc>
              <w:tc>
                <w:tcPr/>
                <w:p>
                  <w:pPr>
                    <w:pStyle w:val="Compact"/>
                    <w:jc w:val="center"/>
                  </w:pPr>
                  <w:r>
                    <w:t xml:space="preserve">118</w:t>
                  </w:r>
                </w:p>
              </w:tc>
              <w:tc>
                <w:tcPr/>
                <w:p>
                  <w:pPr>
                    <w:pStyle w:val="Compact"/>
                    <w:jc w:val="center"/>
                  </w:pPr>
                  <w:r>
                    <w:t xml:space="preserve">72 hours</w:t>
                  </w:r>
                </w:p>
              </w:tc>
              <w:tc>
                <w:tcPr/>
                <w:p>
                  <w:pPr>
                    <w:pStyle w:val="Compact"/>
                    <w:jc w:val="center"/>
                  </w:pPr>
                  <w:r>
                    <w:t xml:space="preserve">Physiological</w:t>
                  </w:r>
                  <w:r>
                    <w:t xml:space="preserve"> </w:t>
                  </w:r>
                  <w:r>
                    <w:t xml:space="preserve">Biochemical</w:t>
                  </w:r>
                </w:p>
              </w:tc>
            </w:tr>
            <w:tr>
              <w:tc>
                <w:tcPr/>
                <w:p>
                  <w:pPr>
                    <w:pStyle w:val="Compact"/>
                    <w:jc w:val="center"/>
                  </w:pPr>
                  <w:r>
                    <w:t xml:space="preserve">Zhang, 2020</w:t>
                  </w:r>
                </w:p>
              </w:tc>
              <w:tc>
                <w:tcPr/>
                <w:p>
                  <w:pPr>
                    <w:pStyle w:val="Compact"/>
                    <w:jc w:val="center"/>
                  </w:pPr>
                  <w:r>
                    <w:t xml:space="preserve">Cross-sectional</w:t>
                  </w:r>
                </w:p>
              </w:tc>
              <w:tc>
                <w:tcPr/>
                <w:p>
                  <w:pPr>
                    <w:pStyle w:val="Compact"/>
                    <w:jc w:val="center"/>
                  </w:pPr>
                  <w:r>
                    <w:t xml:space="preserve">T2D</w:t>
                  </w:r>
                  <w:r>
                    <w:t xml:space="preserve">Age: 25-75</w:t>
                  </w:r>
                </w:p>
              </w:tc>
              <w:tc>
                <w:tcPr/>
                <w:p>
                  <w:pPr>
                    <w:pStyle w:val="Compact"/>
                    <w:jc w:val="center"/>
                  </w:pPr>
                  <w:r>
                    <w:t xml:space="preserve">78</w:t>
                  </w:r>
                </w:p>
              </w:tc>
              <w:tc>
                <w:tcPr/>
                <w:p>
                  <w:pPr>
                    <w:pStyle w:val="Compact"/>
                    <w:jc w:val="center"/>
                  </w:pPr>
                  <w:r>
                    <w:t xml:space="preserve">72 hours</w:t>
                  </w:r>
                </w:p>
              </w:tc>
              <w:tc>
                <w:tcPr/>
                <w:p>
                  <w:pPr>
                    <w:pStyle w:val="Compact"/>
                    <w:jc w:val="center"/>
                  </w:pPr>
                  <w:r>
                    <w:t xml:space="preserve">Univariate</w:t>
                  </w:r>
                </w:p>
              </w:tc>
            </w:tr>
            <w:tr>
              <w:tc>
                <w:tcPr/>
                <w:p>
                  <w:pPr>
                    <w:pStyle w:val="Compact"/>
                    <w:jc w:val="center"/>
                  </w:pPr>
                  <w:r>
                    <w:t xml:space="preserve">Zhou, 2022</w:t>
                  </w:r>
                </w:p>
              </w:tc>
              <w:tc>
                <w:tcPr/>
                <w:p>
                  <w:pPr>
                    <w:pStyle w:val="Compact"/>
                    <w:jc w:val="center"/>
                  </w:pPr>
                  <w:r>
                    <w:t xml:space="preserve">Cross-sectional</w:t>
                  </w:r>
                </w:p>
              </w:tc>
              <w:tc>
                <w:tcPr/>
                <w:p>
                  <w:pPr>
                    <w:pStyle w:val="Compact"/>
                    <w:jc w:val="center"/>
                  </w:pPr>
                  <w:r>
                    <w:t xml:space="preserve">T2D, hospitalized,</w:t>
                  </w:r>
                  <w:r>
                    <w:t xml:space="preserve">no history of CVD</w:t>
                  </w:r>
                  <w:r>
                    <w:t xml:space="preserve"> </w:t>
                  </w:r>
                  <w:r>
                    <w:t xml:space="preserve">Median age(IQR): 55 (47,64)</w:t>
                  </w:r>
                </w:p>
              </w:tc>
              <w:tc>
                <w:tcPr/>
                <w:p>
                  <w:pPr>
                    <w:pStyle w:val="Compact"/>
                    <w:jc w:val="center"/>
                  </w:pPr>
                  <w:r>
                    <w:t xml:space="preserve">469</w:t>
                  </w:r>
                </w:p>
              </w:tc>
              <w:tc>
                <w:tcPr/>
                <w:p>
                  <w:pPr>
                    <w:pStyle w:val="Compact"/>
                    <w:jc w:val="center"/>
                  </w:pPr>
                  <w:r>
                    <w:t xml:space="preserve">72 hours</w:t>
                  </w:r>
                </w:p>
              </w:tc>
              <w:tc>
                <w:tcPr/>
                <w:p>
                  <w:pPr>
                    <w:pStyle w:val="Compact"/>
                    <w:jc w:val="center"/>
                  </w:pPr>
                  <w:r>
                    <w:t xml:space="preserve">Demographic</w:t>
                  </w:r>
                  <w:r>
                    <w:t xml:space="preserve"> </w:t>
                  </w:r>
                  <w:r>
                    <w:t xml:space="preserve">Anthropometric</w:t>
                  </w:r>
                  <w:r>
                    <w:t xml:space="preserve"> </w:t>
                  </w:r>
                  <w:r>
                    <w:t xml:space="preserve">Medical History</w:t>
                  </w:r>
                  <w:r>
                    <w:t xml:space="preserve">Physiological</w:t>
                  </w:r>
                  <w:r>
                    <w:t xml:space="preserve"> </w:t>
                  </w:r>
                  <w:r>
                    <w:t xml:space="preserve">Biochemical</w:t>
                  </w:r>
                </w:p>
              </w:tc>
            </w:tr>
          </w:tbl>
          <w:bookmarkEnd w:id="449"/>
          <w:p/>
        </w:tc>
      </w:tr>
    </w:tbl>
    <w:p>
      <w:pPr>
        <w:sectPr>
          <w:pgSz w:h="11906" w:w="16838" w:orient="landscape"/>
        </w:sectPr>
      </w:pPr>
    </w:p>
    <w:p>
      <w:pPr>
        <w:sectPr/>
      </w:pPr>
    </w:p>
    <w:p>
      <w:pPr>
        <w:pStyle w:val="BodyText"/>
      </w:pPr>
      <w:r>
        <w:t xml:space="preserve">Clinical cardiovascular outcomes comprised cardiovascular mortality, major adverse cardiovascular events, macrovascular complications, coronary artery disease, stroke, and peripheral artery disease. Most studies were observational and differed substantially in study populations, CGM-derived metrics, outcome definitions, and adjustment strategies. Consequently, direct comparison across studies was challenging. The reported effect estimates from the least and most adjusted analyses are summarized in</w:t>
      </w:r>
      <w:r>
        <w:t xml:space="preserve"> </w:t>
      </w:r>
      <w:hyperlink w:anchor="tbl-main-clinical-findings-markdown">
        <w:r>
          <w:rPr>
            <w:rStyle w:val="Hyperlink"/>
          </w:rPr>
          <w:t xml:space="preserve">Table D.3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50" w:name="tbl-main-clinical-findings-markdown"/>
          <w:p>
            <w:pPr>
              <w:jc w:val="center"/>
            </w:pPr>
            <w:pPr>
              <w:jc w:val="left"/>
              <w:spacing w:before="200"/>
              <w:pStyle w:val="ImageCaption"/>
            </w:pPr>
            <w:r>
              <w:t xml:space="preserve">Table D.3: Main findings of the included studies on clinical cardiovascular outcomes.</w:t>
            </w:r>
          </w:p>
          <w:tbl>
            <w:tblPr>
              <w:tblStyle w:val="Table"/>
              <w:tblW w:type="pct" w:w="5000"/>
              <w:tblLayout w:type="fixed"/>
              <w:tblLook w:firstRow="1" w:lastRow="0" w:firstColumn="0" w:lastColumn="0" w:noHBand="0" w:noVBand="0" w:val="0020"/>
            </w:tblPr>
            <w:tblGrid>
              <w:gridCol w:w="1980"/>
              <w:gridCol w:w="1188"/>
              <w:gridCol w:w="1188"/>
              <w:gridCol w:w="1188"/>
              <w:gridCol w:w="1188"/>
              <w:gridCol w:w="1188"/>
            </w:tblGrid>
            <w:tr>
              <w:trPr>
                <w:tblHeader w:val="on"/>
              </w:trPr>
              <w:tc>
                <w:tcPr/>
                <w:p>
                  <w:pPr>
                    <w:pStyle w:val="Compact"/>
                    <w:jc w:val="center"/>
                  </w:pPr>
                  <w:r>
                    <w:rPr>
                      <w:b/>
                      <w:bCs/>
                    </w:rPr>
                    <w:t xml:space="preserve">Outcome, Reference, and Continuous Glucose Monitoring Metrics</w:t>
                  </w:r>
                </w:p>
              </w:tc>
              <w:tc>
                <w:tcPr/>
                <w:p>
                  <w:pPr>
                    <w:pStyle w:val="Compact"/>
                    <w:jc w:val="center"/>
                  </w:pPr>
                  <w:r>
                    <w:rPr>
                      <w:b/>
                      <w:bCs/>
                    </w:rPr>
                    <w:t xml:space="preserve">Unadjusted or Least Adjusted</w:t>
                  </w:r>
                </w:p>
              </w:tc>
              <w:tc>
                <w:tcPr/>
                <w:p>
                  <w:pPr>
                    <w:pStyle w:val="Compact"/>
                    <w:jc w:val="center"/>
                    <w:jc w:val="center"/>
                  </w:pPr>
                  <w:r>
                    <w:rPr>
                      <w:b/>
                      <w:bCs/>
                    </w:rPr>
                    <w:t xml:space="preserve">p-value for Least Adjusted</w:t>
                  </w:r>
                </w:p>
              </w:tc>
              <w:tc>
                <w:tcPr/>
                <w:p>
                  <w:pPr>
                    <w:pStyle w:val="Compact"/>
                    <w:jc w:val="center"/>
                  </w:pPr>
                  <w:r>
                    <w:rPr>
                      <w:b/>
                      <w:bCs/>
                    </w:rPr>
                    <w:t xml:space="preserve">Most Adjusted</w:t>
                  </w:r>
                </w:p>
              </w:tc>
              <w:tc>
                <w:tcPr/>
                <w:p>
                  <w:pPr>
                    <w:pStyle w:val="Compact"/>
                    <w:jc w:val="center"/>
                    <w:jc w:val="center"/>
                  </w:pPr>
                  <w:r>
                    <w:rPr>
                      <w:b/>
                      <w:bCs/>
                    </w:rPr>
                    <w:t xml:space="preserve">p-value for Most Adjusted</w:t>
                  </w:r>
                </w:p>
              </w:tc>
              <w:tc>
                <w:tcPr/>
                <w:p>
                  <w:pPr>
                    <w:pStyle w:val="Compact"/>
                    <w:jc w:val="center"/>
                  </w:pPr>
                  <w:r>
                    <w:rPr>
                      <w:b/>
                      <w:bCs/>
                    </w:rPr>
                    <w:t xml:space="preserve">Adjustments</w:t>
                  </w:r>
                </w:p>
              </w:tc>
            </w:tr>
            <w:tr>
              <w:tc>
                <w:tcPr/>
                <w:p>
                  <w:pPr>
                    <w:pStyle w:val="Compact"/>
                    <w:jc w:val="center"/>
                  </w:pPr>
                  <w:r>
                    <w:rPr>
                      <w:b/>
                      <w:bCs/>
                    </w:rPr>
                    <w:t xml:space="preserve">Cardiovascular Mortality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Lu, 2021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TIR &gt;85%:</w:t>
                  </w:r>
                </w:p>
              </w:tc>
              <w:tc>
                <w:tcPr/>
                <w:p>
                  <w:pPr>
                    <w:pStyle w:val="Compact"/>
                    <w:jc w:val="center"/>
                  </w:pPr>
                  <w:r>
                    <w:t xml:space="preserve">HR: 1.00</w:t>
                  </w:r>
                </w:p>
              </w:tc>
              <w:tc>
                <w:tcPr/>
                <w:p>
                  <w:pPr>
                    <w:pStyle w:val="Compact"/>
                    <w:jc w:val="center"/>
                    <w:jc w:val="center"/>
                  </w:pPr>
                  <w:r>
                    <w:t xml:space="preserve">p trend: &lt;0.001</w:t>
                  </w:r>
                </w:p>
              </w:tc>
              <w:tc>
                <w:tcPr/>
                <w:p>
                  <w:pPr>
                    <w:pStyle w:val="Compact"/>
                    <w:jc w:val="center"/>
                  </w:pPr>
                  <w:r>
                    <w:t xml:space="preserve">HR: 1.00</w:t>
                  </w:r>
                </w:p>
              </w:tc>
              <w:tc>
                <w:tcPr/>
                <w:p>
                  <w:pPr>
                    <w:pStyle w:val="Compact"/>
                    <w:jc w:val="center"/>
                    <w:jc w:val="center"/>
                  </w:pPr>
                  <w:r>
                    <w:t xml:space="preserve">p trend: 0.015</w:t>
                  </w:r>
                </w:p>
              </w:tc>
              <w:tc>
                <w:tcPr/>
                <w:p>
                  <w:pPr>
                    <w:pStyle w:val="Compact"/>
                    <w:jc w:val="center"/>
                  </w:pPr>
                  <w:r>
                    <w:t xml:space="preserve">Model 1:</w:t>
                  </w:r>
                </w:p>
              </w:tc>
            </w:tr>
            <w:tr>
              <w:tc>
                <w:tcPr/>
                <w:p>
                  <w:pPr>
                    <w:pStyle w:val="Compact"/>
                    <w:jc w:val="center"/>
                  </w:pPr>
                  <w:r>
                    <w:t xml:space="preserve">   TIR: 71–85%</w:t>
                  </w:r>
                </w:p>
              </w:tc>
              <w:tc>
                <w:tcPr/>
                <w:p>
                  <w:pPr>
                    <w:pStyle w:val="Compact"/>
                    <w:jc w:val="center"/>
                  </w:pPr>
                  <w:r>
                    <w:t xml:space="preserve">HR: 1.43 (0.95–2.14)</w:t>
                  </w:r>
                </w:p>
              </w:tc>
              <w:tc>
                <w:tcPr/>
                <w:p>
                  <w:pPr>
                    <w:pStyle w:val="Compact"/>
                    <w:jc w:val="center"/>
                    <w:jc w:val="center"/>
                  </w:pPr>
                  <w:r>
                    <w:t xml:space="preserve">p trend: &lt;0.001</w:t>
                  </w:r>
                </w:p>
              </w:tc>
              <w:tc>
                <w:tcPr/>
                <w:p>
                  <w:pPr>
                    <w:pStyle w:val="Compact"/>
                    <w:jc w:val="center"/>
                  </w:pPr>
                  <w:r>
                    <w:t xml:space="preserve">HR: 1.35 (0.90, 2.04)</w:t>
                  </w:r>
                </w:p>
              </w:tc>
              <w:tc>
                <w:tcPr/>
                <w:p>
                  <w:pPr>
                    <w:pStyle w:val="Compact"/>
                    <w:jc w:val="center"/>
                    <w:jc w:val="center"/>
                  </w:pPr>
                  <w:r>
                    <w:t xml:space="preserve">p trend: 0.015</w:t>
                  </w:r>
                </w:p>
              </w:tc>
              <w:tc>
                <w:tcPr/>
                <w:p>
                  <w:pPr>
                    <w:pStyle w:val="Compact"/>
                    <w:jc w:val="center"/>
                  </w:pPr>
                  <w:r>
                    <w:t xml:space="preserve">  Demographic</w:t>
                  </w:r>
                </w:p>
              </w:tc>
            </w:tr>
            <w:tr>
              <w:tc>
                <w:tcPr/>
                <w:p>
                  <w:pPr>
                    <w:pStyle w:val="Compact"/>
                    <w:jc w:val="center"/>
                  </w:pPr>
                  <w:r>
                    <w:t xml:space="preserve">   TIR: 51–70%</w:t>
                  </w:r>
                </w:p>
              </w:tc>
              <w:tc>
                <w:tcPr/>
                <w:p>
                  <w:pPr>
                    <w:pStyle w:val="Compact"/>
                    <w:jc w:val="center"/>
                  </w:pPr>
                  <w:r>
                    <w:t xml:space="preserve">HR: 1.66 (1.12–2.45)</w:t>
                  </w:r>
                </w:p>
              </w:tc>
              <w:tc>
                <w:tcPr/>
                <w:p>
                  <w:pPr>
                    <w:pStyle w:val="Compact"/>
                    <w:jc w:val="center"/>
                    <w:jc w:val="center"/>
                  </w:pPr>
                  <w:r>
                    <w:t xml:space="preserve">p trend: &lt;0.001</w:t>
                  </w:r>
                </w:p>
              </w:tc>
              <w:tc>
                <w:tcPr/>
                <w:p>
                  <w:pPr>
                    <w:pStyle w:val="Compact"/>
                    <w:jc w:val="center"/>
                  </w:pPr>
                  <w:r>
                    <w:t xml:space="preserve">HR: 1.47 (0.99, 2.19)</w:t>
                  </w:r>
                </w:p>
              </w:tc>
              <w:tc>
                <w:tcPr/>
                <w:p>
                  <w:pPr>
                    <w:pStyle w:val="Compact"/>
                    <w:jc w:val="center"/>
                    <w:jc w:val="center"/>
                  </w:pPr>
                  <w:r>
                    <w:t xml:space="preserve">p trend: 0.015</w:t>
                  </w:r>
                </w:p>
              </w:tc>
              <w:tc>
                <w:tcPr/>
                <w:p>
                  <w:pPr>
                    <w:pStyle w:val="Compact"/>
                  </w:pPr>
                </w:p>
              </w:tc>
            </w:tr>
            <w:tr>
              <w:tc>
                <w:tcPr/>
                <w:p>
                  <w:pPr>
                    <w:pStyle w:val="Compact"/>
                    <w:jc w:val="center"/>
                  </w:pPr>
                  <w:r>
                    <w:t xml:space="preserve">   TIR ≥50%</w:t>
                  </w:r>
                </w:p>
              </w:tc>
              <w:tc>
                <w:tcPr/>
                <w:p>
                  <w:pPr>
                    <w:pStyle w:val="Compact"/>
                    <w:jc w:val="center"/>
                  </w:pPr>
                  <w:r>
                    <w:t xml:space="preserve">HR: 2.15 (1.47–3.13)</w:t>
                  </w:r>
                </w:p>
              </w:tc>
              <w:tc>
                <w:tcPr/>
                <w:p>
                  <w:pPr>
                    <w:pStyle w:val="Compact"/>
                    <w:jc w:val="center"/>
                    <w:jc w:val="center"/>
                  </w:pPr>
                  <w:r>
                    <w:t xml:space="preserve">p trend: &lt;0.001</w:t>
                  </w:r>
                </w:p>
              </w:tc>
              <w:tc>
                <w:tcPr/>
                <w:p>
                  <w:pPr>
                    <w:pStyle w:val="Compact"/>
                    <w:jc w:val="center"/>
                  </w:pPr>
                  <w:r>
                    <w:t xml:space="preserve">HR: 1.85 (1.25, 2.72)</w:t>
                  </w:r>
                </w:p>
              </w:tc>
              <w:tc>
                <w:tcPr/>
                <w:p>
                  <w:pPr>
                    <w:pStyle w:val="Compact"/>
                    <w:jc w:val="center"/>
                    <w:jc w:val="center"/>
                  </w:pPr>
                  <w:r>
                    <w:t xml:space="preserve">p trend: 0.015</w:t>
                  </w:r>
                </w:p>
              </w:tc>
              <w:tc>
                <w:tcPr/>
                <w:p>
                  <w:pPr>
                    <w:pStyle w:val="Compact"/>
                    <w:jc w:val="center"/>
                  </w:pPr>
                  <w:r>
                    <w:t xml:space="preserve">Model 2:</w:t>
                  </w:r>
                </w:p>
              </w:tc>
            </w:tr>
            <w:tr>
              <w:tc>
                <w:tcPr/>
                <w:p>
                  <w:pPr>
                    <w:pStyle w:val="Compact"/>
                    <w:jc w:val="center"/>
                  </w:pPr>
                  <w:r>
                    <w:t xml:space="preserve">   TIR as a continuous variable each 10% decrease</w:t>
                  </w:r>
                </w:p>
              </w:tc>
              <w:tc>
                <w:tcPr/>
                <w:p>
                  <w:pPr>
                    <w:pStyle w:val="Compact"/>
                    <w:jc w:val="center"/>
                  </w:pPr>
                  <w:r>
                    <w:t xml:space="preserve">HR: 1.08 (1.03–1.13)</w:t>
                  </w:r>
                </w:p>
              </w:tc>
              <w:tc>
                <w:tcPr/>
                <w:p>
                  <w:pPr>
                    <w:pStyle w:val="Compact"/>
                    <w:jc w:val="center"/>
                    <w:jc w:val="center"/>
                  </w:pPr>
                  <w:r>
                    <w:t xml:space="preserve">-</w:t>
                  </w:r>
                </w:p>
              </w:tc>
              <w:tc>
                <w:tcPr/>
                <w:p>
                  <w:pPr>
                    <w:pStyle w:val="Compact"/>
                    <w:jc w:val="center"/>
                  </w:pPr>
                  <w:r>
                    <w:t xml:space="preserve">HR: 1.05 (1.00–1.11)</w:t>
                  </w:r>
                </w:p>
              </w:tc>
              <w:tc>
                <w:tcPr/>
                <w:p>
                  <w:pPr>
                    <w:pStyle w:val="Compact"/>
                    <w:jc w:val="center"/>
                    <w:jc w:val="center"/>
                  </w:pPr>
                  <w:r>
                    <w:t xml:space="preserve">-</w:t>
                  </w:r>
                </w:p>
              </w:tc>
              <w:tc>
                <w:tcPr/>
                <w:p>
                  <w:pPr>
                    <w:pStyle w:val="Compact"/>
                    <w:jc w:val="center"/>
                  </w:pPr>
                  <w:r>
                    <w:t xml:space="preserve">  Demographic   Anthropometric</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Lifestyle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Medical History</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Physiological</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Biochemical</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Medication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Wei, 2019*</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Hypoglycemic events</w:t>
                  </w:r>
                </w:p>
              </w:tc>
              <w:tc>
                <w:tcPr/>
                <w:p>
                  <w:pPr>
                    <w:pStyle w:val="Compact"/>
                    <w:jc w:val="center"/>
                  </w:pPr>
                  <w:r>
                    <w:t xml:space="preserve">HR: 2.03 (1.21, 3.41)</w:t>
                  </w:r>
                </w:p>
              </w:tc>
              <w:tc>
                <w:tcPr/>
                <w:p>
                  <w:pPr>
                    <w:pStyle w:val="Compact"/>
                    <w:jc w:val="center"/>
                    <w:jc w:val="center"/>
                  </w:pPr>
                  <w:r>
                    <w:t xml:space="preserve">nr</w:t>
                  </w:r>
                </w:p>
              </w:tc>
              <w:tc>
                <w:tcPr/>
                <w:p>
                  <w:pPr>
                    <w:pStyle w:val="Compact"/>
                    <w:jc w:val="center"/>
                  </w:pPr>
                  <w:r>
                    <w:t xml:space="preserve">HR: 2.64 (1.40, 4.99)</w:t>
                  </w:r>
                </w:p>
              </w:tc>
              <w:tc>
                <w:tcPr/>
                <w:p>
                  <w:pPr>
                    <w:pStyle w:val="Compact"/>
                    <w:jc w:val="center"/>
                    <w:jc w:val="center"/>
                  </w:pPr>
                  <w:r>
                    <w:t xml:space="preserve">nr</w:t>
                  </w:r>
                </w:p>
              </w:tc>
              <w:tc>
                <w:tcPr/>
                <w:p>
                  <w:pPr>
                    <w:pStyle w:val="Compact"/>
                    <w:jc w:val="center"/>
                  </w:pPr>
                  <w:r>
                    <w:t xml:space="preserve">Least Adjusted:</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Unadjusted</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Most Adjusted:</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Demographic</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Anthropometric</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Lifestyle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Medical History</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Biochemical</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Medication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Major Adverse Cardiovascular Events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He, 2023</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Least Adjusted:</w:t>
                  </w:r>
                </w:p>
              </w:tc>
            </w:tr>
            <w:tr>
              <w:tc>
                <w:tcPr/>
                <w:p>
                  <w:pPr>
                    <w:pStyle w:val="Compact"/>
                    <w:jc w:val="center"/>
                  </w:pPr>
                  <w:r>
                    <w:t xml:space="preserve">   BGRI</w:t>
                  </w:r>
                </w:p>
              </w:tc>
              <w:tc>
                <w:tcPr/>
                <w:p>
                  <w:pPr>
                    <w:pStyle w:val="Compact"/>
                    <w:jc w:val="center"/>
                  </w:pPr>
                  <w:r>
                    <w:t xml:space="preserve">HR: 0.97 (0.85, 1.10)</w:t>
                  </w:r>
                </w:p>
              </w:tc>
              <w:tc>
                <w:tcPr/>
                <w:p>
                  <w:pPr>
                    <w:pStyle w:val="Compact"/>
                    <w:jc w:val="center"/>
                    <w:jc w:val="center"/>
                  </w:pPr>
                  <w:r>
                    <w:t xml:space="preserve">0.607</w:t>
                  </w:r>
                </w:p>
              </w:tc>
              <w:tc>
                <w:tcPr/>
                <w:p>
                  <w:pPr>
                    <w:pStyle w:val="Compact"/>
                    <w:jc w:val="center"/>
                  </w:pPr>
                  <w:r>
                    <w:t xml:space="preserve">HR: 0.98 (0.85, 1.13)</w:t>
                  </w:r>
                </w:p>
              </w:tc>
              <w:tc>
                <w:tcPr/>
                <w:p>
                  <w:pPr>
                    <w:pStyle w:val="Compact"/>
                    <w:jc w:val="center"/>
                    <w:jc w:val="center"/>
                  </w:pPr>
                  <w:r>
                    <w:t xml:space="preserve">0.746</w:t>
                  </w:r>
                </w:p>
              </w:tc>
              <w:tc>
                <w:tcPr/>
                <w:p>
                  <w:pPr>
                    <w:pStyle w:val="Compact"/>
                    <w:jc w:val="center"/>
                  </w:pPr>
                  <w:r>
                    <w:t xml:space="preserve">  Unadjusted</w:t>
                  </w:r>
                </w:p>
              </w:tc>
            </w:tr>
            <w:tr>
              <w:tc>
                <w:tcPr/>
                <w:p>
                  <w:pPr>
                    <w:pStyle w:val="Compact"/>
                    <w:jc w:val="center"/>
                  </w:pPr>
                  <w:r>
                    <w:t xml:space="preserve">   LBGI</w:t>
                  </w:r>
                </w:p>
              </w:tc>
              <w:tc>
                <w:tcPr/>
                <w:p>
                  <w:pPr>
                    <w:pStyle w:val="Compact"/>
                    <w:jc w:val="center"/>
                  </w:pPr>
                  <w:r>
                    <w:t xml:space="preserve">HR: 2.37 (1.16, 4.83)</w:t>
                  </w:r>
                </w:p>
              </w:tc>
              <w:tc>
                <w:tcPr/>
                <w:p>
                  <w:pPr>
                    <w:pStyle w:val="Compact"/>
                    <w:jc w:val="center"/>
                    <w:jc w:val="center"/>
                  </w:pPr>
                  <w:r>
                    <w:t xml:space="preserve">0.018</w:t>
                  </w:r>
                </w:p>
              </w:tc>
              <w:tc>
                <w:tcPr/>
                <w:p>
                  <w:pPr>
                    <w:pStyle w:val="Compact"/>
                    <w:jc w:val="center"/>
                  </w:pPr>
                  <w:r>
                    <w:t xml:space="preserve">HR: 2.73 (1.21, 6.16)</w:t>
                  </w:r>
                </w:p>
              </w:tc>
              <w:tc>
                <w:tcPr/>
                <w:p>
                  <w:pPr>
                    <w:pStyle w:val="Compact"/>
                    <w:jc w:val="center"/>
                    <w:jc w:val="center"/>
                  </w:pPr>
                  <w:r>
                    <w:t xml:space="preserve">0.016</w:t>
                  </w:r>
                </w:p>
              </w:tc>
              <w:tc>
                <w:tcPr/>
                <w:p>
                  <w:pPr>
                    <w:pStyle w:val="Compact"/>
                  </w:pPr>
                </w:p>
              </w:tc>
            </w:tr>
            <w:tr>
              <w:tc>
                <w:tcPr/>
                <w:p>
                  <w:pPr>
                    <w:pStyle w:val="Compact"/>
                    <w:jc w:val="center"/>
                  </w:pPr>
                  <w:r>
                    <w:t xml:space="preserve">   HBGI</w:t>
                  </w:r>
                </w:p>
              </w:tc>
              <w:tc>
                <w:tcPr/>
                <w:p>
                  <w:pPr>
                    <w:pStyle w:val="Compact"/>
                    <w:jc w:val="center"/>
                  </w:pPr>
                  <w:r>
                    <w:t xml:space="preserve">HR: 0.94 (0.81, 1.08)</w:t>
                  </w:r>
                </w:p>
              </w:tc>
              <w:tc>
                <w:tcPr/>
                <w:p>
                  <w:pPr>
                    <w:pStyle w:val="Compact"/>
                    <w:jc w:val="center"/>
                    <w:jc w:val="center"/>
                  </w:pPr>
                  <w:r>
                    <w:t xml:space="preserve">0.381</w:t>
                  </w:r>
                </w:p>
              </w:tc>
              <w:tc>
                <w:tcPr/>
                <w:p>
                  <w:pPr>
                    <w:pStyle w:val="Compact"/>
                    <w:jc w:val="center"/>
                  </w:pPr>
                  <w:r>
                    <w:t xml:space="preserve">HR: 0.94 (0.81, 1.09)</w:t>
                  </w:r>
                </w:p>
              </w:tc>
              <w:tc>
                <w:tcPr/>
                <w:p>
                  <w:pPr>
                    <w:pStyle w:val="Compact"/>
                    <w:jc w:val="center"/>
                    <w:jc w:val="center"/>
                  </w:pPr>
                  <w:r>
                    <w:t xml:space="preserve">0.436</w:t>
                  </w:r>
                </w:p>
              </w:tc>
              <w:tc>
                <w:tcPr/>
                <w:p>
                  <w:pPr>
                    <w:pStyle w:val="Compact"/>
                    <w:jc w:val="center"/>
                  </w:pPr>
                  <w:r>
                    <w:t xml:space="preserve">Most Adjusted:</w:t>
                  </w:r>
                </w:p>
              </w:tc>
            </w:tr>
            <w:tr>
              <w:tc>
                <w:tcPr/>
                <w:p>
                  <w:pPr>
                    <w:pStyle w:val="Compact"/>
                    <w:jc w:val="center"/>
                  </w:pPr>
                  <w:r>
                    <w:t xml:space="preserve">   ADRR</w:t>
                  </w:r>
                </w:p>
              </w:tc>
              <w:tc>
                <w:tcPr/>
                <w:p>
                  <w:pPr>
                    <w:pStyle w:val="Compact"/>
                    <w:jc w:val="center"/>
                  </w:pPr>
                  <w:r>
                    <w:t xml:space="preserve">HR: 1.00 (0.93, 1.07)</w:t>
                  </w:r>
                </w:p>
              </w:tc>
              <w:tc>
                <w:tcPr/>
                <w:p>
                  <w:pPr>
                    <w:pStyle w:val="Compact"/>
                    <w:jc w:val="center"/>
                    <w:jc w:val="center"/>
                  </w:pPr>
                  <w:r>
                    <w:t xml:space="preserve">0.995</w:t>
                  </w:r>
                </w:p>
              </w:tc>
              <w:tc>
                <w:tcPr/>
                <w:p>
                  <w:pPr>
                    <w:pStyle w:val="Compact"/>
                    <w:jc w:val="center"/>
                  </w:pPr>
                  <w:r>
                    <w:t xml:space="preserve">HR: 1.01 (0.93, 1.09)</w:t>
                  </w:r>
                </w:p>
              </w:tc>
              <w:tc>
                <w:tcPr/>
                <w:p>
                  <w:pPr>
                    <w:pStyle w:val="Compact"/>
                    <w:jc w:val="center"/>
                    <w:jc w:val="center"/>
                  </w:pPr>
                  <w:r>
                    <w:t xml:space="preserve">0.801</w:t>
                  </w:r>
                </w:p>
              </w:tc>
              <w:tc>
                <w:tcPr/>
                <w:p>
                  <w:pPr>
                    <w:pStyle w:val="Compact"/>
                    <w:jc w:val="center"/>
                  </w:pPr>
                  <w:r>
                    <w:t xml:space="preserve">  Demographic</w:t>
                  </w:r>
                </w:p>
              </w:tc>
            </w:tr>
            <w:tr>
              <w:tc>
                <w:tcPr/>
                <w:p>
                  <w:pPr>
                    <w:pStyle w:val="Compact"/>
                    <w:jc w:val="center"/>
                  </w:pPr>
                  <w:r>
                    <w:t xml:space="preserve">   GMI</w:t>
                  </w:r>
                </w:p>
              </w:tc>
              <w:tc>
                <w:tcPr/>
                <w:p>
                  <w:pPr>
                    <w:pStyle w:val="Compact"/>
                    <w:jc w:val="center"/>
                  </w:pPr>
                  <w:r>
                    <w:t xml:space="preserve">HR: 0.98 (0.91, 1.06)</w:t>
                  </w:r>
                </w:p>
              </w:tc>
              <w:tc>
                <w:tcPr/>
                <w:p>
                  <w:pPr>
                    <w:pStyle w:val="Compact"/>
                    <w:jc w:val="center"/>
                    <w:jc w:val="center"/>
                  </w:pPr>
                  <w:r>
                    <w:t xml:space="preserve">0.651</w:t>
                  </w:r>
                </w:p>
              </w:tc>
              <w:tc>
                <w:tcPr/>
                <w:p>
                  <w:pPr>
                    <w:pStyle w:val="Compact"/>
                    <w:jc w:val="center"/>
                  </w:pPr>
                  <w:r>
                    <w:t xml:space="preserve">HR: 0.99 (0.91, 1.07)</w:t>
                  </w:r>
                </w:p>
              </w:tc>
              <w:tc>
                <w:tcPr/>
                <w:p>
                  <w:pPr>
                    <w:pStyle w:val="Compact"/>
                    <w:jc w:val="center"/>
                    <w:jc w:val="center"/>
                  </w:pPr>
                  <w:r>
                    <w:t xml:space="preserve">0.775</w:t>
                  </w:r>
                </w:p>
              </w:tc>
              <w:tc>
                <w:tcPr/>
                <w:p>
                  <w:pPr>
                    <w:pStyle w:val="Compact"/>
                    <w:jc w:val="center"/>
                  </w:pPr>
                  <w:r>
                    <w:t xml:space="preserve">  Anthropometric</w:t>
                  </w:r>
                </w:p>
              </w:tc>
            </w:tr>
            <w:tr>
              <w:tc>
                <w:tcPr/>
                <w:p>
                  <w:pPr>
                    <w:pStyle w:val="Compact"/>
                    <w:jc w:val="center"/>
                  </w:pPr>
                  <w:r>
                    <w:t xml:space="preserve">   M-value</w:t>
                  </w:r>
                </w:p>
              </w:tc>
              <w:tc>
                <w:tcPr/>
                <w:p>
                  <w:pPr>
                    <w:pStyle w:val="Compact"/>
                    <w:jc w:val="center"/>
                  </w:pPr>
                  <w:r>
                    <w:t xml:space="preserve">HR: 0.98 (0.91, 1.05)</w:t>
                  </w:r>
                </w:p>
              </w:tc>
              <w:tc>
                <w:tcPr/>
                <w:p>
                  <w:pPr>
                    <w:pStyle w:val="Compact"/>
                    <w:jc w:val="center"/>
                    <w:jc w:val="center"/>
                  </w:pPr>
                  <w:r>
                    <w:t xml:space="preserve">0.535</w:t>
                  </w:r>
                </w:p>
              </w:tc>
              <w:tc>
                <w:tcPr/>
                <w:p>
                  <w:pPr>
                    <w:pStyle w:val="Compact"/>
                    <w:jc w:val="center"/>
                  </w:pPr>
                  <w:r>
                    <w:t xml:space="preserve">HR: 0.98 (0.91, 1.06)</w:t>
                  </w:r>
                </w:p>
              </w:tc>
              <w:tc>
                <w:tcPr/>
                <w:p>
                  <w:pPr>
                    <w:pStyle w:val="Compact"/>
                    <w:jc w:val="center"/>
                    <w:jc w:val="center"/>
                  </w:pPr>
                  <w:r>
                    <w:t xml:space="preserve">0.644</w:t>
                  </w:r>
                </w:p>
              </w:tc>
              <w:tc>
                <w:tcPr/>
                <w:p>
                  <w:pPr>
                    <w:pStyle w:val="Compact"/>
                    <w:jc w:val="center"/>
                  </w:pPr>
                  <w:r>
                    <w:t xml:space="preserve">  Medical History</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Wei, 2019*</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Hypoglycemic events</w:t>
                  </w:r>
                </w:p>
              </w:tc>
              <w:tc>
                <w:tcPr/>
                <w:p>
                  <w:pPr>
                    <w:pStyle w:val="Compact"/>
                    <w:jc w:val="center"/>
                  </w:pPr>
                  <w:r>
                    <w:t xml:space="preserve">HR: 1.50 (1.21, 1.87)</w:t>
                  </w:r>
                </w:p>
              </w:tc>
              <w:tc>
                <w:tcPr/>
                <w:p>
                  <w:pPr>
                    <w:pStyle w:val="Compact"/>
                    <w:jc w:val="center"/>
                    <w:jc w:val="center"/>
                  </w:pPr>
                  <w:r>
                    <w:t xml:space="preserve">nr</w:t>
                  </w:r>
                </w:p>
              </w:tc>
              <w:tc>
                <w:tcPr/>
                <w:p>
                  <w:pPr>
                    <w:pStyle w:val="Compact"/>
                    <w:jc w:val="center"/>
                  </w:pPr>
                  <w:r>
                    <w:t xml:space="preserve">HR: 1.62 (1.24, 2.11)</w:t>
                  </w:r>
                </w:p>
              </w:tc>
              <w:tc>
                <w:tcPr/>
                <w:p>
                  <w:pPr>
                    <w:pStyle w:val="Compact"/>
                    <w:jc w:val="center"/>
                    <w:jc w:val="center"/>
                  </w:pPr>
                  <w:r>
                    <w:t xml:space="preserve">&lt;0.001</w:t>
                  </w:r>
                </w:p>
              </w:tc>
              <w:tc>
                <w:tcPr/>
                <w:p>
                  <w:pPr>
                    <w:pStyle w:val="Compact"/>
                    <w:jc w:val="center"/>
                  </w:pPr>
                  <w:r>
                    <w:t xml:space="preserve">Least Adjusted:</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Unadjusted</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Most Adjusted:</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Demographic</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Anthropometric</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Lifestyle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Medical History</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Biochemical</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Medication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Macrovascular Complications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De Meulemeester, 2024†*</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TIR</w:t>
                  </w:r>
                </w:p>
              </w:tc>
              <w:tc>
                <w:tcPr/>
                <w:p>
                  <w:pPr>
                    <w:pStyle w:val="Compact"/>
                    <w:jc w:val="center"/>
                  </w:pPr>
                  <w:r>
                    <w:t xml:space="preserve">OR: 0.94 (0.83, 1.06)</w:t>
                  </w:r>
                </w:p>
              </w:tc>
              <w:tc>
                <w:tcPr/>
                <w:p>
                  <w:pPr>
                    <w:pStyle w:val="Compact"/>
                    <w:jc w:val="center"/>
                    <w:jc w:val="center"/>
                  </w:pPr>
                  <w:r>
                    <w:t xml:space="preserve">p &gt; 0.05</w:t>
                  </w:r>
                </w:p>
              </w:tc>
              <w:tc>
                <w:tcPr/>
                <w:p>
                  <w:pPr>
                    <w:pStyle w:val="Compact"/>
                    <w:jc w:val="center"/>
                  </w:pPr>
                  <w:r>
                    <w:t xml:space="preserve">OR: 0.90 (0.74, 1.09)</w:t>
                  </w:r>
                </w:p>
              </w:tc>
              <w:tc>
                <w:tcPr/>
                <w:p>
                  <w:pPr>
                    <w:pStyle w:val="Compact"/>
                    <w:jc w:val="center"/>
                    <w:jc w:val="center"/>
                  </w:pPr>
                  <w:r>
                    <w:t xml:space="preserve">p &gt; 0.05</w:t>
                  </w:r>
                </w:p>
              </w:tc>
              <w:tc>
                <w:tcPr/>
                <w:p>
                  <w:pPr>
                    <w:pStyle w:val="Compact"/>
                    <w:jc w:val="center"/>
                  </w:pPr>
                  <w:r>
                    <w:t xml:space="preserve">Least Adjusted:</w:t>
                  </w:r>
                </w:p>
              </w:tc>
            </w:tr>
            <w:tr>
              <w:tc>
                <w:tcPr/>
                <w:p>
                  <w:pPr>
                    <w:pStyle w:val="Compact"/>
                    <w:jc w:val="center"/>
                  </w:pPr>
                  <w:r>
                    <w:t xml:space="preserve">   TITR</w:t>
                  </w:r>
                </w:p>
              </w:tc>
              <w:tc>
                <w:tcPr/>
                <w:p>
                  <w:pPr>
                    <w:pStyle w:val="Compact"/>
                    <w:jc w:val="center"/>
                  </w:pPr>
                  <w:r>
                    <w:t xml:space="preserve">OR: 0.90 (0.78, 1.05)</w:t>
                  </w:r>
                </w:p>
              </w:tc>
              <w:tc>
                <w:tcPr/>
                <w:p>
                  <w:pPr>
                    <w:pStyle w:val="Compact"/>
                    <w:jc w:val="center"/>
                    <w:jc w:val="center"/>
                  </w:pPr>
                  <w:r>
                    <w:t xml:space="preserve">p &gt; 0.05</w:t>
                  </w:r>
                </w:p>
              </w:tc>
              <w:tc>
                <w:tcPr/>
                <w:p>
                  <w:pPr>
                    <w:pStyle w:val="Compact"/>
                    <w:jc w:val="center"/>
                  </w:pPr>
                  <w:r>
                    <w:t xml:space="preserve">OR: 0.93 (0.75, 1.17)</w:t>
                  </w:r>
                </w:p>
              </w:tc>
              <w:tc>
                <w:tcPr/>
                <w:p>
                  <w:pPr>
                    <w:pStyle w:val="Compact"/>
                    <w:jc w:val="center"/>
                    <w:jc w:val="center"/>
                  </w:pPr>
                  <w:r>
                    <w:t xml:space="preserve">p &gt; 0.05</w:t>
                  </w:r>
                </w:p>
              </w:tc>
              <w:tc>
                <w:tcPr/>
                <w:p>
                  <w:pPr>
                    <w:pStyle w:val="Compact"/>
                    <w:jc w:val="center"/>
                  </w:pPr>
                  <w:r>
                    <w:t xml:space="preserve">  Unadjusted</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Most Adjusted:</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Demographic</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Anthropometric</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Lifestyle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Medical History</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Physiological</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Biochemical</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Medication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Bezerra, 2023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TIR</w:t>
                  </w:r>
                </w:p>
              </w:tc>
              <w:tc>
                <w:tcPr/>
                <w:p>
                  <w:pPr>
                    <w:pStyle w:val="Compact"/>
                    <w:jc w:val="center"/>
                  </w:pPr>
                  <w:r>
                    <w:t xml:space="preserve">OR: 0.66 (0.46–0.93)</w:t>
                  </w:r>
                </w:p>
              </w:tc>
              <w:tc>
                <w:tcPr/>
                <w:p>
                  <w:pPr>
                    <w:pStyle w:val="Compact"/>
                    <w:jc w:val="center"/>
                    <w:jc w:val="center"/>
                  </w:pPr>
                  <w:r>
                    <w:t xml:space="preserve">0.019</w:t>
                  </w:r>
                </w:p>
              </w:tc>
              <w:tc>
                <w:tcPr/>
                <w:p>
                  <w:pPr>
                    <w:pStyle w:val="Compact"/>
                    <w:jc w:val="center"/>
                  </w:pPr>
                  <w:r>
                    <w:t xml:space="preserve">OR: 0.68 (0.39, 1.16),</w:t>
                  </w:r>
                </w:p>
              </w:tc>
              <w:tc>
                <w:tcPr/>
                <w:p>
                  <w:pPr>
                    <w:pStyle w:val="Compact"/>
                    <w:jc w:val="center"/>
                    <w:jc w:val="center"/>
                  </w:pPr>
                  <w:r>
                    <w:t xml:space="preserve">0.152</w:t>
                  </w:r>
                </w:p>
              </w:tc>
              <w:tc>
                <w:tcPr/>
                <w:p>
                  <w:pPr>
                    <w:pStyle w:val="Compact"/>
                    <w:jc w:val="center"/>
                  </w:pPr>
                  <w:r>
                    <w:t xml:space="preserve">Least Adjusted:</w:t>
                  </w:r>
                </w:p>
              </w:tc>
            </w:tr>
            <w:tr>
              <w:tc>
                <w:tcPr/>
                <w:p>
                  <w:pPr>
                    <w:pStyle w:val="Compact"/>
                    <w:jc w:val="center"/>
                  </w:pPr>
                  <w:r>
                    <w:t xml:space="preserve">   TB54</w:t>
                  </w:r>
                </w:p>
              </w:tc>
              <w:tc>
                <w:tcPr/>
                <w:p>
                  <w:pPr>
                    <w:pStyle w:val="Compact"/>
                    <w:jc w:val="center"/>
                  </w:pPr>
                  <w:r>
                    <w:t xml:space="preserve">OR: 1.10 (0.88–1.38)</w:t>
                  </w:r>
                </w:p>
              </w:tc>
              <w:tc>
                <w:tcPr/>
                <w:p>
                  <w:pPr>
                    <w:pStyle w:val="Compact"/>
                    <w:jc w:val="center"/>
                    <w:jc w:val="center"/>
                  </w:pPr>
                  <w:r>
                    <w:t xml:space="preserve">0.388</w:t>
                  </w:r>
                </w:p>
              </w:tc>
              <w:tc>
                <w:tcPr/>
                <w:p>
                  <w:pPr>
                    <w:pStyle w:val="Compact"/>
                    <w:jc w:val="center"/>
                  </w:pPr>
                  <w:r>
                    <w:t xml:space="preserve">OR: 0.92 (0.62, 1.34)</w:t>
                  </w:r>
                </w:p>
              </w:tc>
              <w:tc>
                <w:tcPr/>
                <w:p>
                  <w:pPr>
                    <w:pStyle w:val="Compact"/>
                    <w:jc w:val="center"/>
                    <w:jc w:val="center"/>
                  </w:pPr>
                  <w:r>
                    <w:t xml:space="preserve">0.652</w:t>
                  </w:r>
                </w:p>
              </w:tc>
              <w:tc>
                <w:tcPr/>
                <w:p>
                  <w:pPr>
                    <w:pStyle w:val="Compact"/>
                    <w:jc w:val="center"/>
                  </w:pPr>
                  <w:r>
                    <w:t xml:space="preserve">  Unadjusted</w:t>
                  </w:r>
                </w:p>
              </w:tc>
            </w:tr>
            <w:tr>
              <w:tc>
                <w:tcPr/>
                <w:p>
                  <w:pPr>
                    <w:pStyle w:val="Compact"/>
                    <w:jc w:val="center"/>
                  </w:pPr>
                  <w:r>
                    <w:t xml:space="preserve">   TBR</w:t>
                  </w:r>
                </w:p>
              </w:tc>
              <w:tc>
                <w:tcPr/>
                <w:p>
                  <w:pPr>
                    <w:pStyle w:val="Compact"/>
                    <w:jc w:val="center"/>
                  </w:pPr>
                  <w:r>
                    <w:t xml:space="preserve">OR: 0.93 (0.80–1.09)</w:t>
                  </w:r>
                </w:p>
              </w:tc>
              <w:tc>
                <w:tcPr/>
                <w:p>
                  <w:pPr>
                    <w:pStyle w:val="Compact"/>
                    <w:jc w:val="center"/>
                    <w:jc w:val="center"/>
                  </w:pPr>
                  <w:r>
                    <w:t xml:space="preserve">0.393</w:t>
                  </w:r>
                </w:p>
              </w:tc>
              <w:tc>
                <w:tcPr/>
                <w:p>
                  <w:pPr>
                    <w:pStyle w:val="Compact"/>
                    <w:jc w:val="center"/>
                  </w:pPr>
                  <w:r>
                    <w:t xml:space="preserve">OR: 0.77 (0.54, 1.11)</w:t>
                  </w:r>
                </w:p>
              </w:tc>
              <w:tc>
                <w:tcPr/>
                <w:p>
                  <w:pPr>
                    <w:pStyle w:val="Compact"/>
                    <w:jc w:val="center"/>
                    <w:jc w:val="center"/>
                  </w:pPr>
                  <w:r>
                    <w:t xml:space="preserve">0.166</w:t>
                  </w:r>
                </w:p>
              </w:tc>
              <w:tc>
                <w:tcPr/>
                <w:p>
                  <w:pPr>
                    <w:pStyle w:val="Compact"/>
                  </w:pPr>
                </w:p>
              </w:tc>
            </w:tr>
            <w:tr>
              <w:tc>
                <w:tcPr/>
                <w:p>
                  <w:pPr>
                    <w:pStyle w:val="Compact"/>
                    <w:jc w:val="center"/>
                  </w:pPr>
                  <w:r>
                    <w:t xml:space="preserve">   TAR</w:t>
                  </w:r>
                </w:p>
              </w:tc>
              <w:tc>
                <w:tcPr/>
                <w:p>
                  <w:pPr>
                    <w:pStyle w:val="Compact"/>
                    <w:jc w:val="center"/>
                  </w:pPr>
                  <w:r>
                    <w:t xml:space="preserve">OR: 1.04 (1.01–1.08)</w:t>
                  </w:r>
                </w:p>
              </w:tc>
              <w:tc>
                <w:tcPr/>
                <w:p>
                  <w:pPr>
                    <w:pStyle w:val="Compact"/>
                    <w:jc w:val="center"/>
                    <w:jc w:val="center"/>
                  </w:pPr>
                  <w:r>
                    <w:t xml:space="preserve">0.01</w:t>
                  </w:r>
                </w:p>
              </w:tc>
              <w:tc>
                <w:tcPr/>
                <w:p>
                  <w:pPr>
                    <w:pStyle w:val="Compact"/>
                    <w:jc w:val="center"/>
                  </w:pPr>
                  <w:r>
                    <w:t xml:space="preserve">OR: 1.04 (0.99, 1.10)</w:t>
                  </w:r>
                </w:p>
              </w:tc>
              <w:tc>
                <w:tcPr/>
                <w:p>
                  <w:pPr>
                    <w:pStyle w:val="Compact"/>
                    <w:jc w:val="center"/>
                    <w:jc w:val="center"/>
                  </w:pPr>
                  <w:r>
                    <w:t xml:space="preserve">0.083</w:t>
                  </w:r>
                </w:p>
              </w:tc>
              <w:tc>
                <w:tcPr/>
                <w:p>
                  <w:pPr>
                    <w:pStyle w:val="Compact"/>
                    <w:jc w:val="center"/>
                  </w:pPr>
                  <w:r>
                    <w:t xml:space="preserve">Most Adjusted:</w:t>
                  </w:r>
                </w:p>
              </w:tc>
            </w:tr>
            <w:tr>
              <w:tc>
                <w:tcPr/>
                <w:p>
                  <w:pPr>
                    <w:pStyle w:val="Compact"/>
                    <w:jc w:val="center"/>
                  </w:pPr>
                  <w:r>
                    <w:t xml:space="preserve">   TA250</w:t>
                  </w:r>
                </w:p>
              </w:tc>
              <w:tc>
                <w:tcPr/>
                <w:p>
                  <w:pPr>
                    <w:pStyle w:val="Compact"/>
                    <w:jc w:val="center"/>
                  </w:pPr>
                  <w:r>
                    <w:t xml:space="preserve">OR: 1.04 (1.00-1.08)</w:t>
                  </w:r>
                </w:p>
              </w:tc>
              <w:tc>
                <w:tcPr/>
                <w:p>
                  <w:pPr>
                    <w:pStyle w:val="Compact"/>
                    <w:jc w:val="center"/>
                    <w:jc w:val="center"/>
                  </w:pPr>
                  <w:r>
                    <w:t xml:space="preserve">0.029</w:t>
                  </w:r>
                </w:p>
              </w:tc>
              <w:tc>
                <w:tcPr/>
                <w:p>
                  <w:pPr>
                    <w:pStyle w:val="Compact"/>
                    <w:jc w:val="center"/>
                  </w:pPr>
                  <w:r>
                    <w:t xml:space="preserve">OR: 1.03 (0.97, 1.09)</w:t>
                  </w:r>
                </w:p>
              </w:tc>
              <w:tc>
                <w:tcPr/>
                <w:p>
                  <w:pPr>
                    <w:pStyle w:val="Compact"/>
                    <w:jc w:val="center"/>
                    <w:jc w:val="center"/>
                  </w:pPr>
                  <w:r>
                    <w:t xml:space="preserve">0.286</w:t>
                  </w:r>
                </w:p>
              </w:tc>
              <w:tc>
                <w:tcPr/>
                <w:p>
                  <w:pPr>
                    <w:pStyle w:val="Compact"/>
                    <w:jc w:val="center"/>
                  </w:pPr>
                  <w:r>
                    <w:t xml:space="preserve">  Demographic</w:t>
                  </w:r>
                </w:p>
              </w:tc>
            </w:tr>
            <w:tr>
              <w:tc>
                <w:tcPr/>
                <w:p>
                  <w:pPr>
                    <w:pStyle w:val="Compact"/>
                    <w:jc w:val="center"/>
                  </w:pPr>
                  <w:r>
                    <w:t xml:space="preserve">   CV</w:t>
                  </w:r>
                </w:p>
              </w:tc>
              <w:tc>
                <w:tcPr/>
                <w:p>
                  <w:pPr>
                    <w:pStyle w:val="Compact"/>
                    <w:jc w:val="center"/>
                  </w:pPr>
                  <w:r>
                    <w:t xml:space="preserve">OR: 1.03 (0.95–1.11)</w:t>
                  </w:r>
                </w:p>
              </w:tc>
              <w:tc>
                <w:tcPr/>
                <w:p>
                  <w:pPr>
                    <w:pStyle w:val="Compact"/>
                    <w:jc w:val="center"/>
                    <w:jc w:val="center"/>
                  </w:pPr>
                  <w:r>
                    <w:t xml:space="preserve">0.524</w:t>
                  </w:r>
                </w:p>
              </w:tc>
              <w:tc>
                <w:tcPr/>
                <w:p>
                  <w:pPr>
                    <w:pStyle w:val="Compact"/>
                    <w:jc w:val="center"/>
                  </w:pPr>
                  <w:r>
                    <w:t xml:space="preserve">OR: 0.92 (0.81, 1.06)</w:t>
                  </w:r>
                </w:p>
              </w:tc>
              <w:tc>
                <w:tcPr/>
                <w:p>
                  <w:pPr>
                    <w:pStyle w:val="Compact"/>
                    <w:jc w:val="center"/>
                    <w:jc w:val="center"/>
                  </w:pPr>
                  <w:r>
                    <w:t xml:space="preserve">0.252</w:t>
                  </w:r>
                </w:p>
              </w:tc>
              <w:tc>
                <w:tcPr/>
                <w:p>
                  <w:pPr>
                    <w:pStyle w:val="Compact"/>
                    <w:jc w:val="center"/>
                  </w:pPr>
                  <w:r>
                    <w:t xml:space="preserve">  Medical History</w:t>
                  </w:r>
                </w:p>
              </w:tc>
            </w:tr>
            <w:tr>
              <w:tc>
                <w:tcPr/>
                <w:p>
                  <w:pPr>
                    <w:pStyle w:val="Compact"/>
                    <w:jc w:val="center"/>
                  </w:pPr>
                  <w:r>
                    <w:t xml:space="preserve">   GMI</w:t>
                  </w:r>
                </w:p>
              </w:tc>
              <w:tc>
                <w:tcPr/>
                <w:p>
                  <w:pPr>
                    <w:pStyle w:val="Compact"/>
                    <w:jc w:val="center"/>
                  </w:pPr>
                  <w:r>
                    <w:t xml:space="preserve">OR: 2.17 (1.14–4.11)</w:t>
                  </w:r>
                </w:p>
              </w:tc>
              <w:tc>
                <w:tcPr/>
                <w:p>
                  <w:pPr>
                    <w:pStyle w:val="Compact"/>
                    <w:jc w:val="center"/>
                    <w:jc w:val="center"/>
                  </w:pPr>
                  <w:r>
                    <w:t xml:space="preserve">0.018</w:t>
                  </w:r>
                </w:p>
              </w:tc>
              <w:tc>
                <w:tcPr/>
                <w:p>
                  <w:pPr>
                    <w:pStyle w:val="Compact"/>
                    <w:jc w:val="center"/>
                  </w:pPr>
                  <w:r>
                    <w:t xml:space="preserve">OR: 2.03 (0.77, 5.37)</w:t>
                  </w:r>
                </w:p>
              </w:tc>
              <w:tc>
                <w:tcPr/>
                <w:p>
                  <w:pPr>
                    <w:pStyle w:val="Compact"/>
                    <w:jc w:val="center"/>
                    <w:jc w:val="center"/>
                  </w:pPr>
                  <w:r>
                    <w:t xml:space="preserve">0.154</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Deng, 2023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%CV Tertile 1</w:t>
                  </w:r>
                </w:p>
              </w:tc>
              <w:tc>
                <w:tcPr/>
                <w:p>
                  <w:pPr>
                    <w:pStyle w:val="Compact"/>
                    <w:jc w:val="center"/>
                  </w:pPr>
                  <w:r>
                    <w:t xml:space="preserve">Hp 1, OR: 1.000</w:t>
                  </w:r>
                </w:p>
              </w:tc>
              <w:tc>
                <w:tcPr/>
                <w:p>
                  <w:pPr>
                    <w:pStyle w:val="Compact"/>
                    <w:jc w:val="center"/>
                    <w:jc w:val="center"/>
                  </w:pPr>
                  <w:r>
                    <w:t xml:space="preserve">p-value for</w:t>
                  </w:r>
                </w:p>
              </w:tc>
              <w:tc>
                <w:tcPr/>
                <w:p>
                  <w:pPr>
                    <w:pStyle w:val="Compact"/>
                    <w:jc w:val="center"/>
                  </w:pPr>
                  <w:r>
                    <w:t xml:space="preserve">Hp 1, OR: 1.000</w:t>
                  </w:r>
                </w:p>
              </w:tc>
              <w:tc>
                <w:tcPr/>
                <w:p>
                  <w:pPr>
                    <w:pStyle w:val="Compact"/>
                    <w:jc w:val="center"/>
                    <w:jc w:val="center"/>
                  </w:pPr>
                  <w:r>
                    <w:t xml:space="preserve">p-value for interaction: 0.008</w:t>
                  </w:r>
                </w:p>
              </w:tc>
              <w:tc>
                <w:tcPr/>
                <w:p>
                  <w:pPr>
                    <w:pStyle w:val="Compact"/>
                    <w:jc w:val="center"/>
                  </w:pPr>
                  <w:r>
                    <w:t xml:space="preserve">Least Adjusted:</w:t>
                  </w:r>
                </w:p>
              </w:tc>
            </w:tr>
            <w:tr>
              <w:tc>
                <w:tcPr/>
                <w:p>
                  <w:pPr>
                    <w:pStyle w:val="Compact"/>
                  </w:pPr>
                </w:p>
              </w:tc>
              <w:tc>
                <w:tcPr/>
                <w:p>
                  <w:pPr>
                    <w:pStyle w:val="Compact"/>
                    <w:jc w:val="center"/>
                  </w:pPr>
                  <w:r>
                    <w:t xml:space="preserve">(Reference)</w:t>
                  </w:r>
                </w:p>
              </w:tc>
              <w:tc>
                <w:tcPr/>
                <w:p>
                  <w:pPr>
                    <w:pStyle w:val="Compact"/>
                    <w:jc w:val="center"/>
                    <w:jc w:val="center"/>
                  </w:pPr>
                  <w:r>
                    <w:t xml:space="preserve">interaction: 0.071</w:t>
                  </w:r>
                </w:p>
              </w:tc>
              <w:tc>
                <w:tcPr/>
                <w:p>
                  <w:pPr>
                    <w:pStyle w:val="Compact"/>
                    <w:jc w:val="center"/>
                  </w:pPr>
                  <w:r>
                    <w:t xml:space="preserve">(Reference)</w:t>
                  </w:r>
                </w:p>
              </w:tc>
              <w:tc>
                <w:tcPr/>
                <w:p>
                  <w:pPr>
                    <w:pStyle w:val="Compact"/>
                  </w:pPr>
                </w:p>
              </w:tc>
              <w:tc>
                <w:tcPr/>
                <w:p>
                  <w:pPr>
                    <w:pStyle w:val="Compact"/>
                    <w:jc w:val="center"/>
                  </w:pPr>
                  <w:r>
                    <w:t xml:space="preserve">  Unadjusted</w:t>
                  </w:r>
                </w:p>
              </w:tc>
            </w:tr>
            <w:tr>
              <w:tc>
                <w:tcPr/>
                <w:p>
                  <w:pPr>
                    <w:pStyle w:val="Compact"/>
                  </w:pPr>
                </w:p>
              </w:tc>
              <w:tc>
                <w:tcPr/>
                <w:p>
                  <w:pPr>
                    <w:pStyle w:val="Compact"/>
                    <w:jc w:val="center"/>
                  </w:pPr>
                  <w:r>
                    <w:t xml:space="preserve">Hp 2-2, OR: 1.000</w:t>
                  </w:r>
                </w:p>
              </w:tc>
              <w:tc>
                <w:tcPr/>
                <w:p>
                  <w:pPr>
                    <w:pStyle w:val="Compact"/>
                    <w:jc w:val="center"/>
                    <w:jc w:val="center"/>
                  </w:pPr>
                  <w:r>
                    <w:t xml:space="preserve">p-value for</w:t>
                  </w:r>
                </w:p>
              </w:tc>
              <w:tc>
                <w:tcPr/>
                <w:p>
                  <w:pPr>
                    <w:pStyle w:val="Compact"/>
                    <w:jc w:val="center"/>
                  </w:pPr>
                  <w:r>
                    <w:t xml:space="preserve">Hp 2-2, OR: 1.000</w:t>
                  </w:r>
                </w:p>
              </w:tc>
              <w:tc>
                <w:tcPr/>
                <w:p>
                  <w:pPr>
                    <w:pStyle w:val="Compact"/>
                  </w:pPr>
                </w:p>
              </w:tc>
              <w:tc>
                <w:tcPr/>
                <w:p>
                  <w:pPr>
                    <w:pStyle w:val="Compact"/>
                  </w:pPr>
                </w:p>
              </w:tc>
            </w:tr>
            <w:tr>
              <w:tc>
                <w:tcPr/>
                <w:p>
                  <w:pPr>
                    <w:pStyle w:val="Compact"/>
                  </w:pPr>
                </w:p>
              </w:tc>
              <w:tc>
                <w:tcPr/>
                <w:p>
                  <w:pPr>
                    <w:pStyle w:val="Compact"/>
                    <w:jc w:val="center"/>
                  </w:pPr>
                  <w:r>
                    <w:t xml:space="preserve">(Reference)</w:t>
                  </w:r>
                </w:p>
              </w:tc>
              <w:tc>
                <w:tcPr/>
                <w:p>
                  <w:pPr>
                    <w:pStyle w:val="Compact"/>
                    <w:jc w:val="center"/>
                    <w:jc w:val="center"/>
                  </w:pPr>
                  <w:r>
                    <w:t xml:space="preserve">interaction: 0.071</w:t>
                  </w:r>
                </w:p>
              </w:tc>
              <w:tc>
                <w:tcPr/>
                <w:p>
                  <w:pPr>
                    <w:pStyle w:val="Compact"/>
                    <w:jc w:val="center"/>
                  </w:pPr>
                  <w:r>
                    <w:t xml:space="preserve">(Reference)</w:t>
                  </w:r>
                </w:p>
              </w:tc>
              <w:tc>
                <w:tcPr/>
                <w:p>
                  <w:pPr>
                    <w:pStyle w:val="Compact"/>
                  </w:pPr>
                </w:p>
              </w:tc>
              <w:tc>
                <w:tcPr/>
                <w:p>
                  <w:pPr>
                    <w:pStyle w:val="Compact"/>
                    <w:jc w:val="center"/>
                  </w:pPr>
                  <w:r>
                    <w:t xml:space="preserve">Most Adjusted:</w:t>
                  </w:r>
                </w:p>
              </w:tc>
            </w:tr>
            <w:tr>
              <w:tc>
                <w:tcPr/>
                <w:p>
                  <w:pPr>
                    <w:pStyle w:val="Compact"/>
                    <w:jc w:val="center"/>
                  </w:pPr>
                  <w:r>
                    <w:t xml:space="preserve">   %CV Tertile 2</w:t>
                  </w:r>
                </w:p>
              </w:tc>
              <w:tc>
                <w:tcPr/>
                <w:p>
                  <w:pPr>
                    <w:pStyle w:val="Compact"/>
                    <w:jc w:val="center"/>
                  </w:pPr>
                  <w:r>
                    <w:t xml:space="preserve">Hp 1,</w:t>
                  </w:r>
                </w:p>
              </w:tc>
              <w:tc>
                <w:tcPr/>
                <w:p>
                  <w:pPr>
                    <w:pStyle w:val="Compact"/>
                    <w:jc w:val="center"/>
                    <w:jc w:val="center"/>
                  </w:pPr>
                  <w:r>
                    <w:t xml:space="preserve">0.116</w:t>
                  </w:r>
                </w:p>
              </w:tc>
              <w:tc>
                <w:tcPr/>
                <w:p>
                  <w:pPr>
                    <w:pStyle w:val="Compact"/>
                    <w:jc w:val="center"/>
                  </w:pPr>
                  <w:r>
                    <w:t xml:space="preserve">Hp 1,</w:t>
                  </w:r>
                </w:p>
              </w:tc>
              <w:tc>
                <w:tcPr/>
                <w:p>
                  <w:pPr>
                    <w:pStyle w:val="Compact"/>
                    <w:jc w:val="center"/>
                    <w:jc w:val="center"/>
                  </w:pPr>
                  <w:r>
                    <w:t xml:space="preserve">0.89</w:t>
                  </w:r>
                </w:p>
              </w:tc>
              <w:tc>
                <w:tcPr/>
                <w:p>
                  <w:pPr>
                    <w:pStyle w:val="Compact"/>
                    <w:jc w:val="center"/>
                  </w:pPr>
                  <w:r>
                    <w:t xml:space="preserve">  Demographic</w:t>
                  </w:r>
                </w:p>
              </w:tc>
            </w:tr>
            <w:tr>
              <w:tc>
                <w:tcPr/>
                <w:p>
                  <w:pPr>
                    <w:pStyle w:val="Compact"/>
                  </w:pPr>
                </w:p>
              </w:tc>
              <w:tc>
                <w:tcPr/>
                <w:p>
                  <w:pPr>
                    <w:pStyle w:val="Compact"/>
                    <w:jc w:val="center"/>
                  </w:pPr>
                  <w:r>
                    <w:t xml:space="preserve">OR: 48 (0.91, 2.43)</w:t>
                  </w:r>
                </w:p>
              </w:tc>
              <w:tc>
                <w:tcPr/>
                <w:p>
                  <w:pPr>
                    <w:pStyle w:val="Compact"/>
                  </w:pPr>
                </w:p>
              </w:tc>
              <w:tc>
                <w:tcPr/>
                <w:p>
                  <w:pPr>
                    <w:pStyle w:val="Compact"/>
                    <w:jc w:val="center"/>
                  </w:pPr>
                  <w:r>
                    <w:t xml:space="preserve">OR: 1.05 (0.53, 2.08)</w:t>
                  </w:r>
                </w:p>
              </w:tc>
              <w:tc>
                <w:tcPr/>
                <w:p>
                  <w:pPr>
                    <w:pStyle w:val="Compact"/>
                  </w:pPr>
                </w:p>
              </w:tc>
              <w:tc>
                <w:tcPr/>
                <w:p>
                  <w:pPr>
                    <w:pStyle w:val="Compact"/>
                    <w:jc w:val="center"/>
                  </w:pPr>
                  <w:r>
                    <w:t xml:space="preserve">  Anthropometric</w:t>
                  </w:r>
                </w:p>
              </w:tc>
            </w:tr>
            <w:tr>
              <w:tc>
                <w:tcPr/>
                <w:p>
                  <w:pPr>
                    <w:pStyle w:val="Compact"/>
                  </w:pPr>
                </w:p>
              </w:tc>
              <w:tc>
                <w:tcPr/>
                <w:p>
                  <w:pPr>
                    <w:pStyle w:val="Compact"/>
                    <w:jc w:val="center"/>
                  </w:pPr>
                  <w:r>
                    <w:t xml:space="preserve">Hp 2-2 ,</w:t>
                  </w:r>
                </w:p>
              </w:tc>
              <w:tc>
                <w:tcPr/>
                <w:p>
                  <w:pPr>
                    <w:pStyle w:val="Compact"/>
                    <w:jc w:val="center"/>
                    <w:jc w:val="center"/>
                  </w:pPr>
                  <w:r>
                    <w:t xml:space="preserve">0.208</w:t>
                  </w:r>
                </w:p>
              </w:tc>
              <w:tc>
                <w:tcPr/>
                <w:p>
                  <w:pPr>
                    <w:pStyle w:val="Compact"/>
                    <w:jc w:val="center"/>
                  </w:pPr>
                  <w:r>
                    <w:t xml:space="preserve">Hp 2-2 ,</w:t>
                  </w:r>
                </w:p>
              </w:tc>
              <w:tc>
                <w:tcPr/>
                <w:p>
                  <w:pPr>
                    <w:pStyle w:val="Compact"/>
                    <w:jc w:val="center"/>
                    <w:jc w:val="center"/>
                  </w:pPr>
                  <w:r>
                    <w:t xml:space="preserve">0.306</w:t>
                  </w:r>
                </w:p>
              </w:tc>
              <w:tc>
                <w:tcPr/>
                <w:p>
                  <w:pPr>
                    <w:pStyle w:val="Compact"/>
                    <w:jc w:val="center"/>
                  </w:pPr>
                  <w:r>
                    <w:t xml:space="preserve">  Medical History</w:t>
                  </w:r>
                </w:p>
              </w:tc>
            </w:tr>
            <w:tr>
              <w:tc>
                <w:tcPr/>
                <w:p>
                  <w:pPr>
                    <w:pStyle w:val="Compact"/>
                  </w:pPr>
                </w:p>
              </w:tc>
              <w:tc>
                <w:tcPr/>
                <w:p>
                  <w:pPr>
                    <w:pStyle w:val="Compact"/>
                    <w:jc w:val="center"/>
                  </w:pPr>
                  <w:r>
                    <w:t xml:space="preserve">OR: 1.40 (0.83, 2.36)</w:t>
                  </w:r>
                </w:p>
              </w:tc>
              <w:tc>
                <w:tcPr/>
                <w:p>
                  <w:pPr>
                    <w:pStyle w:val="Compact"/>
                  </w:pPr>
                </w:p>
              </w:tc>
              <w:tc>
                <w:tcPr/>
                <w:p>
                  <w:pPr>
                    <w:pStyle w:val="Compact"/>
                    <w:jc w:val="center"/>
                  </w:pPr>
                  <w:r>
                    <w:t xml:space="preserve">OR: 0.66 (0.30, 1.47)</w:t>
                  </w:r>
                </w:p>
              </w:tc>
              <w:tc>
                <w:tcPr/>
                <w:p>
                  <w:pPr>
                    <w:pStyle w:val="Compact"/>
                  </w:pPr>
                </w:p>
              </w:tc>
              <w:tc>
                <w:tcPr/>
                <w:p>
                  <w:pPr>
                    <w:pStyle w:val="Compact"/>
                    <w:jc w:val="center"/>
                  </w:pPr>
                  <w:r>
                    <w:t xml:space="preserve">  Physiological</w:t>
                  </w:r>
                </w:p>
              </w:tc>
            </w:tr>
            <w:tr>
              <w:tc>
                <w:tcPr/>
                <w:p>
                  <w:pPr>
                    <w:pStyle w:val="Compact"/>
                    <w:jc w:val="center"/>
                  </w:pPr>
                  <w:r>
                    <w:t xml:space="preserve">   %CV Tertile 3</w:t>
                  </w:r>
                </w:p>
              </w:tc>
              <w:tc>
                <w:tcPr/>
                <w:p>
                  <w:pPr>
                    <w:pStyle w:val="Compact"/>
                    <w:jc w:val="center"/>
                  </w:pPr>
                  <w:r>
                    <w:t xml:space="preserve">Hp 1,</w:t>
                  </w:r>
                </w:p>
              </w:tc>
              <w:tc>
                <w:tcPr/>
                <w:p>
                  <w:pPr>
                    <w:pStyle w:val="Compact"/>
                    <w:jc w:val="center"/>
                    <w:jc w:val="center"/>
                  </w:pPr>
                  <w:r>
                    <w:t xml:space="preserve">0.001</w:t>
                  </w:r>
                </w:p>
              </w:tc>
              <w:tc>
                <w:tcPr/>
                <w:p>
                  <w:pPr>
                    <w:pStyle w:val="Compact"/>
                    <w:jc w:val="center"/>
                  </w:pPr>
                  <w:r>
                    <w:t xml:space="preserve">Hp 1,</w:t>
                  </w:r>
                </w:p>
              </w:tc>
              <w:tc>
                <w:tcPr/>
                <w:p>
                  <w:pPr>
                    <w:pStyle w:val="Compact"/>
                    <w:jc w:val="center"/>
                    <w:jc w:val="center"/>
                  </w:pPr>
                  <w:r>
                    <w:t xml:space="preserve">0.016</w:t>
                  </w:r>
                </w:p>
              </w:tc>
              <w:tc>
                <w:tcPr/>
                <w:p>
                  <w:pPr>
                    <w:pStyle w:val="Compact"/>
                    <w:jc w:val="center"/>
                  </w:pPr>
                  <w:r>
                    <w:t xml:space="preserve">  Biochemical</w:t>
                  </w:r>
                </w:p>
              </w:tc>
            </w:tr>
            <w:tr>
              <w:tc>
                <w:tcPr/>
                <w:p>
                  <w:pPr>
                    <w:pStyle w:val="Compact"/>
                  </w:pPr>
                </w:p>
              </w:tc>
              <w:tc>
                <w:tcPr/>
                <w:p>
                  <w:pPr>
                    <w:pStyle w:val="Compact"/>
                    <w:jc w:val="center"/>
                  </w:pPr>
                  <w:r>
                    <w:t xml:space="preserve">OR: 2.35 (1.39, 3.96)</w:t>
                  </w:r>
                </w:p>
              </w:tc>
              <w:tc>
                <w:tcPr/>
                <w:p>
                  <w:pPr>
                    <w:pStyle w:val="Compact"/>
                  </w:pPr>
                </w:p>
              </w:tc>
              <w:tc>
                <w:tcPr/>
                <w:p>
                  <w:pPr>
                    <w:pStyle w:val="Compact"/>
                    <w:jc w:val="center"/>
                  </w:pPr>
                  <w:r>
                    <w:t xml:space="preserve">OR: 2.46 (1.18, 5.12)</w:t>
                  </w:r>
                </w:p>
              </w:tc>
              <w:tc>
                <w:tcPr/>
                <w:p>
                  <w:pPr>
                    <w:pStyle w:val="Compact"/>
                  </w:pPr>
                </w:p>
              </w:tc>
              <w:tc>
                <w:tcPr/>
                <w:p>
                  <w:pPr>
                    <w:pStyle w:val="Compact"/>
                  </w:pPr>
                </w:p>
              </w:tc>
            </w:tr>
            <w:tr>
              <w:tc>
                <w:tcPr/>
                <w:p>
                  <w:pPr>
                    <w:pStyle w:val="Compact"/>
                  </w:pPr>
                </w:p>
              </w:tc>
              <w:tc>
                <w:tcPr/>
                <w:p>
                  <w:pPr>
                    <w:pStyle w:val="Compact"/>
                    <w:jc w:val="center"/>
                  </w:pPr>
                  <w:r>
                    <w:t xml:space="preserve">Hp 2-2,</w:t>
                  </w:r>
                </w:p>
              </w:tc>
              <w:tc>
                <w:tcPr/>
                <w:p>
                  <w:pPr>
                    <w:pStyle w:val="Compact"/>
                    <w:jc w:val="center"/>
                    <w:jc w:val="center"/>
                  </w:pPr>
                  <w:r>
                    <w:t xml:space="preserve">0.451</w:t>
                  </w:r>
                </w:p>
              </w:tc>
              <w:tc>
                <w:tcPr/>
                <w:p>
                  <w:pPr>
                    <w:pStyle w:val="Compact"/>
                    <w:jc w:val="center"/>
                  </w:pPr>
                  <w:r>
                    <w:t xml:space="preserve">Hp 2-2,</w:t>
                  </w:r>
                </w:p>
              </w:tc>
              <w:tc>
                <w:tcPr/>
                <w:p>
                  <w:pPr>
                    <w:pStyle w:val="Compact"/>
                    <w:jc w:val="center"/>
                    <w:jc w:val="center"/>
                  </w:pPr>
                  <w:r>
                    <w:t xml:space="preserve">0.127</w:t>
                  </w:r>
                </w:p>
              </w:tc>
              <w:tc>
                <w:tcPr/>
                <w:p>
                  <w:pPr>
                    <w:pStyle w:val="Compact"/>
                  </w:pPr>
                </w:p>
              </w:tc>
            </w:tr>
            <w:tr>
              <w:tc>
                <w:tcPr/>
                <w:p>
                  <w:pPr>
                    <w:pStyle w:val="Compact"/>
                  </w:pPr>
                </w:p>
              </w:tc>
              <w:tc>
                <w:tcPr/>
                <w:p>
                  <w:pPr>
                    <w:pStyle w:val="Compact"/>
                    <w:jc w:val="center"/>
                  </w:pPr>
                  <w:r>
                    <w:t xml:space="preserve">OR: 1.22 (0.73, 2.03)</w:t>
                  </w:r>
                </w:p>
              </w:tc>
              <w:tc>
                <w:tcPr/>
                <w:p>
                  <w:pPr>
                    <w:pStyle w:val="Compact"/>
                  </w:pPr>
                </w:p>
              </w:tc>
              <w:tc>
                <w:tcPr/>
                <w:p>
                  <w:pPr>
                    <w:pStyle w:val="Compact"/>
                    <w:jc w:val="center"/>
                  </w:pPr>
                  <w:r>
                    <w:t xml:space="preserve">OR: 0.54 (0.25, 1.19)</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El Malahi, 2022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TIR</w:t>
                  </w:r>
                </w:p>
              </w:tc>
              <w:tc>
                <w:tcPr/>
                <w:p>
                  <w:pPr>
                    <w:pStyle w:val="Compact"/>
                    <w:jc w:val="center"/>
                  </w:pPr>
                  <w:r>
                    <w:t xml:space="preserve">nr</w:t>
                  </w:r>
                </w:p>
              </w:tc>
              <w:tc>
                <w:tcPr/>
                <w:p>
                  <w:pPr>
                    <w:pStyle w:val="Compact"/>
                    <w:jc w:val="center"/>
                    <w:jc w:val="center"/>
                  </w:pPr>
                  <w:r>
                    <w:t xml:space="preserve">nr</w:t>
                  </w:r>
                </w:p>
              </w:tc>
              <w:tc>
                <w:tcPr/>
                <w:p>
                  <w:pPr>
                    <w:pStyle w:val="Compact"/>
                    <w:jc w:val="center"/>
                  </w:pPr>
                  <w:r>
                    <w:t xml:space="preserve">nr</w:t>
                  </w:r>
                </w:p>
              </w:tc>
              <w:tc>
                <w:tcPr/>
                <w:p>
                  <w:pPr>
                    <w:pStyle w:val="Compact"/>
                    <w:jc w:val="center"/>
                    <w:jc w:val="center"/>
                  </w:pPr>
                  <w:r>
                    <w:t xml:space="preserve">p &gt; 0.05</w:t>
                  </w:r>
                </w:p>
              </w:tc>
              <w:tc>
                <w:tcPr/>
                <w:p>
                  <w:pPr>
                    <w:pStyle w:val="Compact"/>
                    <w:jc w:val="center"/>
                  </w:pPr>
                  <w:r>
                    <w:t xml:space="preserve">Demographic</w:t>
                  </w:r>
                </w:p>
              </w:tc>
            </w:tr>
            <w:tr>
              <w:tc>
                <w:tcPr/>
                <w:p>
                  <w:pPr>
                    <w:pStyle w:val="Compact"/>
                    <w:jc w:val="center"/>
                  </w:pPr>
                  <w:r>
                    <w:t xml:space="preserve">   SD</w:t>
                  </w:r>
                </w:p>
              </w:tc>
              <w:tc>
                <w:tcPr/>
                <w:p>
                  <w:pPr>
                    <w:pStyle w:val="Compact"/>
                    <w:jc w:val="center"/>
                  </w:pPr>
                  <w:r>
                    <w:t xml:space="preserve">nr</w:t>
                  </w:r>
                </w:p>
              </w:tc>
              <w:tc>
                <w:tcPr/>
                <w:p>
                  <w:pPr>
                    <w:pStyle w:val="Compact"/>
                    <w:jc w:val="center"/>
                    <w:jc w:val="center"/>
                  </w:pPr>
                  <w:r>
                    <w:t xml:space="preserve">nr</w:t>
                  </w:r>
                </w:p>
              </w:tc>
              <w:tc>
                <w:tcPr/>
                <w:p>
                  <w:pPr>
                    <w:pStyle w:val="Compact"/>
                    <w:jc w:val="center"/>
                  </w:pPr>
                  <w:r>
                    <w:t xml:space="preserve">nr</w:t>
                  </w:r>
                </w:p>
              </w:tc>
              <w:tc>
                <w:tcPr/>
                <w:p>
                  <w:pPr>
                    <w:pStyle w:val="Compact"/>
                    <w:jc w:val="center"/>
                    <w:jc w:val="center"/>
                  </w:pPr>
                  <w:r>
                    <w:t xml:space="preserve">p &gt; 0.05</w:t>
                  </w:r>
                </w:p>
              </w:tc>
              <w:tc>
                <w:tcPr/>
                <w:p>
                  <w:pPr>
                    <w:pStyle w:val="Compact"/>
                    <w:jc w:val="center"/>
                  </w:pPr>
                  <w:r>
                    <w:t xml:space="preserve">Medical History</w:t>
                  </w:r>
                </w:p>
              </w:tc>
            </w:tr>
            <w:tr>
              <w:tc>
                <w:tcPr/>
                <w:p>
                  <w:pPr>
                    <w:pStyle w:val="Compact"/>
                    <w:jc w:val="center"/>
                  </w:pPr>
                  <w:r>
                    <w:t xml:space="preserve">   CV</w:t>
                  </w:r>
                </w:p>
              </w:tc>
              <w:tc>
                <w:tcPr/>
                <w:p>
                  <w:pPr>
                    <w:pStyle w:val="Compact"/>
                    <w:jc w:val="center"/>
                  </w:pPr>
                  <w:r>
                    <w:t xml:space="preserve">nr</w:t>
                  </w:r>
                </w:p>
              </w:tc>
              <w:tc>
                <w:tcPr/>
                <w:p>
                  <w:pPr>
                    <w:pStyle w:val="Compact"/>
                    <w:jc w:val="center"/>
                    <w:jc w:val="center"/>
                  </w:pPr>
                  <w:r>
                    <w:t xml:space="preserve">nr</w:t>
                  </w:r>
                </w:p>
              </w:tc>
              <w:tc>
                <w:tcPr/>
                <w:p>
                  <w:pPr>
                    <w:pStyle w:val="Compact"/>
                    <w:jc w:val="center"/>
                  </w:pPr>
                  <w:r>
                    <w:t xml:space="preserve">nr</w:t>
                  </w:r>
                </w:p>
              </w:tc>
              <w:tc>
                <w:tcPr/>
                <w:p>
                  <w:pPr>
                    <w:pStyle w:val="Compact"/>
                    <w:jc w:val="center"/>
                    <w:jc w:val="center"/>
                  </w:pPr>
                  <w:r>
                    <w:t xml:space="preserve">p &gt; 0.05</w:t>
                  </w:r>
                </w:p>
              </w:tc>
              <w:tc>
                <w:tcPr/>
                <w:p>
                  <w:pPr>
                    <w:pStyle w:val="Compact"/>
                    <w:jc w:val="center"/>
                  </w:pPr>
                  <w:r>
                    <w:t xml:space="preserve">CGM/GV metrics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Magri, 2018†</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TBR</w:t>
                  </w:r>
                </w:p>
              </w:tc>
              <w:tc>
                <w:tcPr/>
                <w:p>
                  <w:pPr>
                    <w:pStyle w:val="Compact"/>
                    <w:jc w:val="center"/>
                  </w:pPr>
                  <w:r>
                    <w:t xml:space="preserve">nr</w:t>
                  </w:r>
                </w:p>
              </w:tc>
              <w:tc>
                <w:tcPr/>
                <w:p>
                  <w:pPr>
                    <w:pStyle w:val="Compact"/>
                    <w:jc w:val="center"/>
                    <w:jc w:val="center"/>
                  </w:pPr>
                  <w:r>
                    <w:t xml:space="preserve">nr</w:t>
                  </w:r>
                </w:p>
              </w:tc>
              <w:tc>
                <w:tcPr/>
                <w:p>
                  <w:pPr>
                    <w:pStyle w:val="Compact"/>
                    <w:jc w:val="center"/>
                  </w:pPr>
                  <w:r>
                    <w:t xml:space="preserve">OR: 1.12 (1.01–1.23)</w:t>
                  </w:r>
                </w:p>
              </w:tc>
              <w:tc>
                <w:tcPr/>
                <w:p>
                  <w:pPr>
                    <w:pStyle w:val="Compact"/>
                    <w:jc w:val="center"/>
                    <w:jc w:val="center"/>
                  </w:pPr>
                  <w:r>
                    <w:t xml:space="preserve">0.024</w:t>
                  </w:r>
                </w:p>
              </w:tc>
              <w:tc>
                <w:tcPr/>
                <w:p>
                  <w:pPr>
                    <w:pStyle w:val="Compact"/>
                    <w:jc w:val="center"/>
                  </w:pPr>
                  <w:r>
                    <w:t xml:space="preserve">Anthropometric</w:t>
                  </w:r>
                </w:p>
              </w:tc>
            </w:tr>
            <w:tr>
              <w:tc>
                <w:tcPr/>
                <w:p>
                  <w:pPr>
                    <w:pStyle w:val="Compact"/>
                    <w:jc w:val="center"/>
                  </w:pPr>
                  <w:r>
                    <w:t xml:space="preserve">   Lowest BG value</w:t>
                  </w:r>
                </w:p>
              </w:tc>
              <w:tc>
                <w:tcPr/>
                <w:p>
                  <w:pPr>
                    <w:pStyle w:val="Compact"/>
                    <w:jc w:val="center"/>
                  </w:pPr>
                  <w:r>
                    <w:t xml:space="preserve">nr</w:t>
                  </w:r>
                </w:p>
              </w:tc>
              <w:tc>
                <w:tcPr/>
                <w:p>
                  <w:pPr>
                    <w:pStyle w:val="Compact"/>
                    <w:jc w:val="center"/>
                    <w:jc w:val="center"/>
                  </w:pPr>
                  <w:r>
                    <w:t xml:space="preserve">nr</w:t>
                  </w:r>
                </w:p>
              </w:tc>
              <w:tc>
                <w:tcPr/>
                <w:p>
                  <w:pPr>
                    <w:pStyle w:val="Compact"/>
                    <w:jc w:val="center"/>
                  </w:pPr>
                  <w:r>
                    <w:t xml:space="preserve">nr</w:t>
                  </w:r>
                </w:p>
              </w:tc>
              <w:tc>
                <w:tcPr/>
                <w:p>
                  <w:pPr>
                    <w:pStyle w:val="Compact"/>
                    <w:jc w:val="center"/>
                    <w:jc w:val="center"/>
                  </w:pPr>
                  <w:r>
                    <w:t xml:space="preserve">ns</w:t>
                  </w:r>
                </w:p>
              </w:tc>
              <w:tc>
                <w:tcPr/>
                <w:p>
                  <w:pPr>
                    <w:pStyle w:val="Compact"/>
                    <w:jc w:val="center"/>
                  </w:pPr>
                  <w:r>
                    <w:t xml:space="preserve">Lifestyle</w:t>
                  </w:r>
                </w:p>
              </w:tc>
            </w:tr>
            <w:tr>
              <w:tc>
                <w:tcPr/>
                <w:p>
                  <w:pPr>
                    <w:pStyle w:val="Compact"/>
                    <w:jc w:val="center"/>
                  </w:pPr>
                  <w:r>
                    <w:t xml:space="preserve">   AUC under TBR</w:t>
                  </w:r>
                </w:p>
              </w:tc>
              <w:tc>
                <w:tcPr/>
                <w:p>
                  <w:pPr>
                    <w:pStyle w:val="Compact"/>
                    <w:jc w:val="center"/>
                  </w:pPr>
                  <w:r>
                    <w:t xml:space="preserve">nr</w:t>
                  </w:r>
                </w:p>
              </w:tc>
              <w:tc>
                <w:tcPr/>
                <w:p>
                  <w:pPr>
                    <w:pStyle w:val="Compact"/>
                    <w:jc w:val="center"/>
                    <w:jc w:val="center"/>
                  </w:pPr>
                  <w:r>
                    <w:t xml:space="preserve">nr</w:t>
                  </w:r>
                </w:p>
              </w:tc>
              <w:tc>
                <w:tcPr/>
                <w:p>
                  <w:pPr>
                    <w:pStyle w:val="Compact"/>
                    <w:jc w:val="center"/>
                  </w:pPr>
                  <w:r>
                    <w:t xml:space="preserve">nr</w:t>
                  </w:r>
                </w:p>
              </w:tc>
              <w:tc>
                <w:tcPr/>
                <w:p>
                  <w:pPr>
                    <w:pStyle w:val="Compact"/>
                    <w:jc w:val="center"/>
                    <w:jc w:val="center"/>
                  </w:pPr>
                  <w:r>
                    <w:t xml:space="preserve">ns</w:t>
                  </w:r>
                </w:p>
              </w:tc>
              <w:tc>
                <w:tcPr/>
                <w:p>
                  <w:pPr>
                    <w:pStyle w:val="Compact"/>
                    <w:jc w:val="center"/>
                  </w:pPr>
                  <w:r>
                    <w:t xml:space="preserve">Medical History</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Biochemical</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CGM/GV metrics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Coronary Artery Disease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De Meulemeester, 2024†*</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TITR</w:t>
                  </w:r>
                </w:p>
              </w:tc>
              <w:tc>
                <w:tcPr/>
                <w:p>
                  <w:pPr>
                    <w:pStyle w:val="Compact"/>
                    <w:jc w:val="center"/>
                  </w:pPr>
                  <w:r>
                    <w:t xml:space="preserve">OR: 1.04 (0.81, 1.33)</w:t>
                  </w:r>
                </w:p>
              </w:tc>
              <w:tc>
                <w:tcPr/>
                <w:p>
                  <w:pPr>
                    <w:pStyle w:val="Compact"/>
                    <w:jc w:val="center"/>
                    <w:jc w:val="center"/>
                  </w:pPr>
                  <w:r>
                    <w:t xml:space="preserve">p &gt; 0.05</w:t>
                  </w:r>
                </w:p>
              </w:tc>
              <w:tc>
                <w:tcPr/>
                <w:p>
                  <w:pPr>
                    <w:pStyle w:val="Compact"/>
                    <w:jc w:val="center"/>
                  </w:pPr>
                  <w:r>
                    <w:t xml:space="preserve">OR: 1.255 (0.87, 1.80)</w:t>
                  </w:r>
                </w:p>
              </w:tc>
              <w:tc>
                <w:tcPr/>
                <w:p>
                  <w:pPr>
                    <w:pStyle w:val="Compact"/>
                    <w:jc w:val="center"/>
                    <w:jc w:val="center"/>
                  </w:pPr>
                  <w:r>
                    <w:t xml:space="preserve">p &gt; 0.05</w:t>
                  </w:r>
                </w:p>
              </w:tc>
              <w:tc>
                <w:tcPr/>
                <w:p>
                  <w:pPr>
                    <w:pStyle w:val="Compact"/>
                    <w:jc w:val="center"/>
                  </w:pPr>
                  <w:r>
                    <w:t xml:space="preserve">Least Adjusted:</w:t>
                  </w:r>
                </w:p>
              </w:tc>
            </w:tr>
            <w:tr>
              <w:tc>
                <w:tcPr/>
                <w:p>
                  <w:pPr>
                    <w:pStyle w:val="Compact"/>
                    <w:jc w:val="center"/>
                  </w:pPr>
                  <w:r>
                    <w:t xml:space="preserve">   TIR</w:t>
                  </w:r>
                </w:p>
              </w:tc>
              <w:tc>
                <w:tcPr/>
                <w:p>
                  <w:pPr>
                    <w:pStyle w:val="Compact"/>
                    <w:jc w:val="center"/>
                  </w:pPr>
                  <w:r>
                    <w:t xml:space="preserve">OR: 1.07 (0.87, 1.33)</w:t>
                  </w:r>
                </w:p>
              </w:tc>
              <w:tc>
                <w:tcPr/>
                <w:p>
                  <w:pPr>
                    <w:pStyle w:val="Compact"/>
                    <w:jc w:val="center"/>
                    <w:jc w:val="center"/>
                  </w:pPr>
                  <w:r>
                    <w:t xml:space="preserve">p &gt; 0.05</w:t>
                  </w:r>
                </w:p>
              </w:tc>
              <w:tc>
                <w:tcPr/>
                <w:p>
                  <w:pPr>
                    <w:pStyle w:val="Compact"/>
                    <w:jc w:val="center"/>
                  </w:pPr>
                  <w:r>
                    <w:t xml:space="preserve">OR: 1.164 (0.84, 1.61)</w:t>
                  </w:r>
                </w:p>
              </w:tc>
              <w:tc>
                <w:tcPr/>
                <w:p>
                  <w:pPr>
                    <w:pStyle w:val="Compact"/>
                    <w:jc w:val="center"/>
                    <w:jc w:val="center"/>
                  </w:pPr>
                  <w:r>
                    <w:t xml:space="preserve">p &gt; 0.05</w:t>
                  </w:r>
                </w:p>
              </w:tc>
              <w:tc>
                <w:tcPr/>
                <w:p>
                  <w:pPr>
                    <w:pStyle w:val="Compact"/>
                    <w:jc w:val="center"/>
                  </w:pPr>
                  <w:r>
                    <w:t xml:space="preserve">  Unadjusted</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Most Adjusted:</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Demographic</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Anthropometric</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Lifestyle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Medical History</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Physiological</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Biochemical</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Medication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Sheng, 2023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TIR(%): &lt;20</w:t>
                  </w:r>
                </w:p>
              </w:tc>
              <w:tc>
                <w:tcPr/>
                <w:p>
                  <w:pPr>
                    <w:pStyle w:val="Compact"/>
                    <w:jc w:val="center"/>
                  </w:pPr>
                  <w:r>
                    <w:t xml:space="preserve">nr</w:t>
                  </w:r>
                </w:p>
              </w:tc>
              <w:tc>
                <w:tcPr/>
                <w:p>
                  <w:pPr>
                    <w:pStyle w:val="Compact"/>
                    <w:jc w:val="center"/>
                    <w:jc w:val="center"/>
                  </w:pPr>
                  <w:r>
                    <w:t xml:space="preserve">nr</w:t>
                  </w:r>
                </w:p>
              </w:tc>
              <w:tc>
                <w:tcPr/>
                <w:p>
                  <w:pPr>
                    <w:pStyle w:val="Compact"/>
                    <w:jc w:val="center"/>
                  </w:pPr>
                  <w:r>
                    <w:t xml:space="preserve">OR: 2.143 (1.55–3.29)</w:t>
                  </w:r>
                </w:p>
              </w:tc>
              <w:tc>
                <w:tcPr/>
                <w:p>
                  <w:pPr>
                    <w:pStyle w:val="Compact"/>
                    <w:jc w:val="center"/>
                    <w:jc w:val="center"/>
                  </w:pPr>
                  <w:r>
                    <w:t xml:space="preserve">nr</w:t>
                  </w:r>
                </w:p>
              </w:tc>
              <w:tc>
                <w:tcPr/>
                <w:p>
                  <w:pPr>
                    <w:pStyle w:val="Compact"/>
                    <w:jc w:val="center"/>
                  </w:pPr>
                  <w:r>
                    <w:t xml:space="preserve">Study states</w:t>
                  </w:r>
                </w:p>
              </w:tc>
            </w:tr>
            <w:tr>
              <w:tc>
                <w:tcPr/>
                <w:p>
                  <w:pPr>
                    <w:pStyle w:val="Compact"/>
                    <w:jc w:val="center"/>
                  </w:pPr>
                  <w:r>
                    <w:t xml:space="preserve">   TIR(%): 20–40</w:t>
                  </w:r>
                </w:p>
              </w:tc>
              <w:tc>
                <w:tcPr/>
                <w:p>
                  <w:pPr>
                    <w:pStyle w:val="Compact"/>
                    <w:jc w:val="center"/>
                  </w:pPr>
                  <w:r>
                    <w:t xml:space="preserve">nr</w:t>
                  </w:r>
                </w:p>
              </w:tc>
              <w:tc>
                <w:tcPr/>
                <w:p>
                  <w:pPr>
                    <w:pStyle w:val="Compact"/>
                    <w:jc w:val="center"/>
                    <w:jc w:val="center"/>
                  </w:pPr>
                  <w:r>
                    <w:t xml:space="preserve">nr</w:t>
                  </w:r>
                </w:p>
              </w:tc>
              <w:tc>
                <w:tcPr/>
                <w:p>
                  <w:pPr>
                    <w:pStyle w:val="Compact"/>
                    <w:jc w:val="center"/>
                  </w:pPr>
                  <w:r>
                    <w:t xml:space="preserve">OR: 1.05 (0.95–2.02)</w:t>
                  </w:r>
                </w:p>
              </w:tc>
              <w:tc>
                <w:tcPr/>
                <w:p>
                  <w:pPr>
                    <w:pStyle w:val="Compact"/>
                    <w:jc w:val="center"/>
                    <w:jc w:val="center"/>
                  </w:pPr>
                  <w:r>
                    <w:t xml:space="preserve">nr</w:t>
                  </w:r>
                </w:p>
              </w:tc>
              <w:tc>
                <w:tcPr/>
                <w:p>
                  <w:pPr>
                    <w:pStyle w:val="Compact"/>
                    <w:jc w:val="center"/>
                  </w:pPr>
                  <w:r>
                    <w:t xml:space="preserve">that they adjust</w:t>
                  </w:r>
                </w:p>
              </w:tc>
            </w:tr>
            <w:tr>
              <w:tc>
                <w:tcPr/>
                <w:p>
                  <w:pPr>
                    <w:pStyle w:val="Compact"/>
                    <w:jc w:val="center"/>
                  </w:pPr>
                  <w:r>
                    <w:t xml:space="preserve">   TIR(%): 40–60</w:t>
                  </w:r>
                </w:p>
              </w:tc>
              <w:tc>
                <w:tcPr/>
                <w:p>
                  <w:pPr>
                    <w:pStyle w:val="Compact"/>
                    <w:jc w:val="center"/>
                  </w:pPr>
                  <w:r>
                    <w:t xml:space="preserve">nr</w:t>
                  </w:r>
                </w:p>
              </w:tc>
              <w:tc>
                <w:tcPr/>
                <w:p>
                  <w:pPr>
                    <w:pStyle w:val="Compact"/>
                    <w:jc w:val="center"/>
                    <w:jc w:val="center"/>
                  </w:pPr>
                  <w:r>
                    <w:t xml:space="preserve">nr</w:t>
                  </w:r>
                </w:p>
              </w:tc>
              <w:tc>
                <w:tcPr/>
                <w:p>
                  <w:pPr>
                    <w:pStyle w:val="Compact"/>
                    <w:jc w:val="center"/>
                  </w:pPr>
                  <w:r>
                    <w:t xml:space="preserve">OR: 0.85 (0.495–1.47)</w:t>
                  </w:r>
                </w:p>
              </w:tc>
              <w:tc>
                <w:tcPr/>
                <w:p>
                  <w:pPr>
                    <w:pStyle w:val="Compact"/>
                    <w:jc w:val="center"/>
                    <w:jc w:val="center"/>
                  </w:pPr>
                  <w:r>
                    <w:t xml:space="preserve">nr</w:t>
                  </w:r>
                </w:p>
              </w:tc>
              <w:tc>
                <w:tcPr/>
                <w:p>
                  <w:pPr>
                    <w:pStyle w:val="Compact"/>
                    <w:jc w:val="center"/>
                  </w:pPr>
                  <w:r>
                    <w:t xml:space="preserve">for confounders</w:t>
                  </w:r>
                </w:p>
              </w:tc>
            </w:tr>
            <w:tr>
              <w:tc>
                <w:tcPr/>
                <w:p>
                  <w:pPr>
                    <w:pStyle w:val="Compact"/>
                    <w:jc w:val="center"/>
                  </w:pPr>
                  <w:r>
                    <w:t xml:space="preserve">   TIR(%): 60–80</w:t>
                  </w:r>
                </w:p>
              </w:tc>
              <w:tc>
                <w:tcPr/>
                <w:p>
                  <w:pPr>
                    <w:pStyle w:val="Compact"/>
                    <w:jc w:val="center"/>
                  </w:pPr>
                  <w:r>
                    <w:t xml:space="preserve">nr</w:t>
                  </w:r>
                </w:p>
              </w:tc>
              <w:tc>
                <w:tcPr/>
                <w:p>
                  <w:pPr>
                    <w:pStyle w:val="Compact"/>
                    <w:jc w:val="center"/>
                    <w:jc w:val="center"/>
                  </w:pPr>
                  <w:r>
                    <w:t xml:space="preserve">nr</w:t>
                  </w:r>
                </w:p>
              </w:tc>
              <w:tc>
                <w:tcPr/>
                <w:p>
                  <w:pPr>
                    <w:pStyle w:val="Compact"/>
                    <w:jc w:val="center"/>
                  </w:pPr>
                  <w:r>
                    <w:t xml:space="preserve">OR: 0.62 (0.42–1.31)</w:t>
                  </w:r>
                </w:p>
              </w:tc>
              <w:tc>
                <w:tcPr/>
                <w:p>
                  <w:pPr>
                    <w:pStyle w:val="Compact"/>
                    <w:jc w:val="center"/>
                    <w:jc w:val="center"/>
                  </w:pPr>
                  <w:r>
                    <w:t xml:space="preserve">nr</w:t>
                  </w:r>
                </w:p>
              </w:tc>
              <w:tc>
                <w:tcPr/>
                <w:p>
                  <w:pPr>
                    <w:pStyle w:val="Compact"/>
                    <w:jc w:val="center"/>
                  </w:pPr>
                  <w:r>
                    <w:t xml:space="preserve">(The confounders</w:t>
                  </w:r>
                </w:p>
              </w:tc>
            </w:tr>
            <w:tr>
              <w:tc>
                <w:tcPr/>
                <w:p>
                  <w:pPr>
                    <w:pStyle w:val="Compact"/>
                    <w:jc w:val="center"/>
                  </w:pPr>
                  <w:r>
                    <w:t xml:space="preserve">   TIR(%): &gt;80</w:t>
                  </w:r>
                </w:p>
              </w:tc>
              <w:tc>
                <w:tcPr/>
                <w:p>
                  <w:pPr>
                    <w:pStyle w:val="Compact"/>
                    <w:jc w:val="center"/>
                  </w:pPr>
                  <w:r>
                    <w:t xml:space="preserve">nr</w:t>
                  </w:r>
                </w:p>
              </w:tc>
              <w:tc>
                <w:tcPr/>
                <w:p>
                  <w:pPr>
                    <w:pStyle w:val="Compact"/>
                    <w:jc w:val="center"/>
                    <w:jc w:val="center"/>
                  </w:pPr>
                  <w:r>
                    <w:t xml:space="preserve">nr</w:t>
                  </w:r>
                </w:p>
              </w:tc>
              <w:tc>
                <w:tcPr/>
                <w:p>
                  <w:pPr>
                    <w:pStyle w:val="Compact"/>
                    <w:jc w:val="center"/>
                  </w:pPr>
                  <w:r>
                    <w:t xml:space="preserve">OR: 0.47 (0.14–1.55)</w:t>
                  </w:r>
                </w:p>
              </w:tc>
              <w:tc>
                <w:tcPr/>
                <w:p>
                  <w:pPr>
                    <w:pStyle w:val="Compact"/>
                    <w:jc w:val="center"/>
                    <w:jc w:val="center"/>
                  </w:pPr>
                  <w:r>
                    <w:t xml:space="preserve">nr</w:t>
                  </w:r>
                </w:p>
              </w:tc>
              <w:tc>
                <w:tcPr/>
                <w:p>
                  <w:pPr>
                    <w:pStyle w:val="Compact"/>
                    <w:jc w:val="center"/>
                  </w:pPr>
                  <w:r>
                    <w:t xml:space="preserve">are not reported)</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Chen, 2020†*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Controls with:</w:t>
                  </w:r>
                </w:p>
              </w:tc>
              <w:tc>
                <w:tcPr/>
                <w:p>
                  <w:pPr>
                    <w:pStyle w:val="Compact"/>
                    <w:jc w:val="center"/>
                  </w:pPr>
                  <w:r>
                    <w:t xml:space="preserve">N/A</w:t>
                  </w:r>
                </w:p>
              </w:tc>
              <w:tc>
                <w:tcPr/>
                <w:p>
                  <w:pPr>
                    <w:pStyle w:val="Compact"/>
                    <w:jc w:val="center"/>
                    <w:jc w:val="center"/>
                  </w:pPr>
                  <w:r>
                    <w:t xml:space="preserve">N/A</w:t>
                  </w:r>
                </w:p>
              </w:tc>
              <w:tc>
                <w:tcPr/>
                <w:p>
                  <w:pPr>
                    <w:pStyle w:val="Compact"/>
                    <w:jc w:val="center"/>
                  </w:pPr>
                  <w:r>
                    <w:t xml:space="preserve">Myocardial Infarction, 𝜒^2: 5.797</w:t>
                  </w:r>
                </w:p>
              </w:tc>
              <w:tc>
                <w:tcPr/>
                <w:p>
                  <w:pPr>
                    <w:pStyle w:val="Compact"/>
                    <w:jc w:val="center"/>
                    <w:jc w:val="center"/>
                  </w:pPr>
                  <w:r>
                    <w:t xml:space="preserve">0.016</w:t>
                  </w:r>
                </w:p>
              </w:tc>
              <w:tc>
                <w:tcPr/>
                <w:p>
                  <w:pPr>
                    <w:pStyle w:val="Compact"/>
                    <w:jc w:val="center"/>
                  </w:pPr>
                  <w:r>
                    <w:t xml:space="preserve">N/A</w:t>
                  </w:r>
                </w:p>
              </w:tc>
            </w:tr>
            <w:tr>
              <w:tc>
                <w:tcPr/>
                <w:p>
                  <w:pPr>
                    <w:pStyle w:val="Compact"/>
                    <w:jc w:val="center"/>
                  </w:pPr>
                  <w:r>
                    <w:t xml:space="preserve">   SD&lt;1.40 mmol/L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MAGE&lt;3.90 mmol/L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LAGE&lt;4.40 mmol/L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MODD&lt;0.83 mmol/L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vs High BG</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fluctuations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t xml:space="preserve">N/A</w:t>
                  </w:r>
                </w:p>
              </w:tc>
              <w:tc>
                <w:tcPr/>
                <w:p>
                  <w:pPr>
                    <w:pStyle w:val="Compact"/>
                    <w:jc w:val="center"/>
                    <w:jc w:val="center"/>
                  </w:pPr>
                  <w:r>
                    <w:t xml:space="preserve">N/A</w:t>
                  </w:r>
                </w:p>
              </w:tc>
              <w:tc>
                <w:tcPr/>
                <w:p>
                  <w:pPr>
                    <w:pStyle w:val="Compact"/>
                    <w:jc w:val="center"/>
                  </w:pPr>
                  <w:r>
                    <w:t xml:space="preserve">Angina pectoris, 𝜒^2: 7.49</w:t>
                  </w:r>
                </w:p>
              </w:tc>
              <w:tc>
                <w:tcPr/>
                <w:p>
                  <w:pPr>
                    <w:pStyle w:val="Compact"/>
                    <w:jc w:val="center"/>
                    <w:jc w:val="center"/>
                  </w:pPr>
                  <w:r>
                    <w:t xml:space="preserve">0.006</w:t>
                  </w:r>
                </w:p>
              </w:tc>
              <w:tc>
                <w:tcPr/>
                <w:p>
                  <w:pPr>
                    <w:pStyle w:val="Compact"/>
                    <w:jc w:val="center"/>
                  </w:pPr>
                  <w:r>
                    <w:t xml:space="preserve">N/A</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Wei, 2019*</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Hypoglycemic events</w:t>
                  </w:r>
                </w:p>
              </w:tc>
              <w:tc>
                <w:tcPr/>
                <w:p>
                  <w:pPr>
                    <w:pStyle w:val="Compact"/>
                    <w:jc w:val="center"/>
                  </w:pPr>
                  <w:r>
                    <w:t xml:space="preserve">MI, HR: 1.90 (1.07, 3.39)</w:t>
                  </w:r>
                </w:p>
              </w:tc>
              <w:tc>
                <w:tcPr/>
                <w:p>
                  <w:pPr>
                    <w:pStyle w:val="Compact"/>
                    <w:jc w:val="center"/>
                    <w:jc w:val="center"/>
                  </w:pPr>
                  <w:r>
                    <w:t xml:space="preserve">nr</w:t>
                  </w:r>
                </w:p>
              </w:tc>
              <w:tc>
                <w:tcPr/>
                <w:p>
                  <w:pPr>
                    <w:pStyle w:val="Compact"/>
                    <w:jc w:val="center"/>
                  </w:pPr>
                  <w:r>
                    <w:t xml:space="preserve">MI, HR: 1.55 (0.77, 3.13)</w:t>
                  </w:r>
                </w:p>
              </w:tc>
              <w:tc>
                <w:tcPr/>
                <w:p>
                  <w:pPr>
                    <w:pStyle w:val="Compact"/>
                    <w:jc w:val="center"/>
                    <w:jc w:val="center"/>
                  </w:pPr>
                  <w:r>
                    <w:t xml:space="preserve">0.03</w:t>
                  </w:r>
                </w:p>
              </w:tc>
              <w:tc>
                <w:tcPr/>
                <w:p>
                  <w:pPr>
                    <w:pStyle w:val="Compact"/>
                    <w:jc w:val="center"/>
                  </w:pPr>
                  <w:r>
                    <w:t xml:space="preserve">Least Adjusted:</w:t>
                  </w:r>
                </w:p>
              </w:tc>
            </w:tr>
            <w:tr>
              <w:tc>
                <w:tcPr/>
                <w:p>
                  <w:pPr>
                    <w:pStyle w:val="Compact"/>
                    <w:jc w:val="center"/>
                  </w:pPr>
                  <w:r>
                    <w:t xml:space="preserve">   Hypoglycemic events</w:t>
                  </w:r>
                </w:p>
              </w:tc>
              <w:tc>
                <w:tcPr/>
                <w:p>
                  <w:pPr>
                    <w:pStyle w:val="Compact"/>
                    <w:jc w:val="center"/>
                  </w:pPr>
                  <w:r>
                    <w:t xml:space="preserve">Unstable angina pectoris, HR: 1.23 (0.86, 1.75)</w:t>
                  </w:r>
                </w:p>
              </w:tc>
              <w:tc>
                <w:tcPr/>
                <w:p>
                  <w:pPr>
                    <w:pStyle w:val="Compact"/>
                    <w:jc w:val="center"/>
                    <w:jc w:val="center"/>
                  </w:pPr>
                  <w:r>
                    <w:t xml:space="preserve">nr</w:t>
                  </w:r>
                </w:p>
              </w:tc>
              <w:tc>
                <w:tcPr/>
                <w:p>
                  <w:pPr>
                    <w:pStyle w:val="Compact"/>
                    <w:jc w:val="center"/>
                  </w:pPr>
                  <w:r>
                    <w:t xml:space="preserve">Unstable angina pectoris, HR: 1.22 (0.79, 1.87)</w:t>
                  </w:r>
                </w:p>
              </w:tc>
              <w:tc>
                <w:tcPr/>
                <w:p>
                  <w:pPr>
                    <w:pStyle w:val="Compact"/>
                    <w:jc w:val="center"/>
                    <w:jc w:val="center"/>
                  </w:pPr>
                  <w:r>
                    <w:t xml:space="preserve">0.3</w:t>
                  </w:r>
                </w:p>
              </w:tc>
              <w:tc>
                <w:tcPr/>
                <w:p>
                  <w:pPr>
                    <w:pStyle w:val="Compact"/>
                    <w:jc w:val="center"/>
                  </w:pPr>
                  <w:r>
                    <w:t xml:space="preserve">  Unadjusted</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Most Adjusted:</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Demographic</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Anthropometric</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Lifestyle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Medical History</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Biochemical</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Medication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Mi, 2012†*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MAGE level (≥3.4 mmol/L):</w:t>
                  </w:r>
                </w:p>
              </w:tc>
              <w:tc>
                <w:tcPr/>
                <w:p>
                  <w:pPr>
                    <w:pStyle w:val="Compact"/>
                    <w:jc w:val="center"/>
                  </w:pPr>
                  <w:r>
                    <w:t xml:space="preserve">nr</w:t>
                  </w:r>
                </w:p>
              </w:tc>
              <w:tc>
                <w:tcPr/>
                <w:p>
                  <w:pPr>
                    <w:pStyle w:val="Compact"/>
                    <w:jc w:val="center"/>
                    <w:jc w:val="center"/>
                  </w:pPr>
                  <w:r>
                    <w:t xml:space="preserve">nr</w:t>
                  </w:r>
                </w:p>
              </w:tc>
              <w:tc>
                <w:tcPr/>
                <w:p>
                  <w:pPr>
                    <w:pStyle w:val="Compact"/>
                    <w:jc w:val="center"/>
                  </w:pPr>
                  <w:r>
                    <w:t xml:space="preserve">OR: 2.29 (1.18, 4.45),</w:t>
                  </w:r>
                </w:p>
              </w:tc>
              <w:tc>
                <w:tcPr/>
                <w:p>
                  <w:pPr>
                    <w:pStyle w:val="Compact"/>
                    <w:jc w:val="center"/>
                    <w:jc w:val="center"/>
                  </w:pPr>
                  <w:r>
                    <w:t xml:space="preserve">0.015</w:t>
                  </w:r>
                </w:p>
              </w:tc>
              <w:tc>
                <w:tcPr/>
                <w:p>
                  <w:pPr>
                    <w:pStyle w:val="Compact"/>
                    <w:jc w:val="center"/>
                  </w:pPr>
                  <w:r>
                    <w:t xml:space="preserve">Demographic</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Lifestyle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Medical History</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Biochemical</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CGM/GV metrics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Su, 2011†*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MAGE≥3.4 mmol/L</w:t>
                  </w:r>
                </w:p>
              </w:tc>
              <w:tc>
                <w:tcPr/>
                <w:p>
                  <w:pPr>
                    <w:pStyle w:val="Compact"/>
                    <w:jc w:val="center"/>
                  </w:pPr>
                  <w:r>
                    <w:t xml:space="preserve">nr</w:t>
                  </w:r>
                </w:p>
              </w:tc>
              <w:tc>
                <w:tcPr/>
                <w:p>
                  <w:pPr>
                    <w:pStyle w:val="Compact"/>
                    <w:jc w:val="center"/>
                    <w:jc w:val="center"/>
                  </w:pPr>
                  <w:r>
                    <w:t xml:space="preserve">nr</w:t>
                  </w:r>
                </w:p>
              </w:tc>
              <w:tc>
                <w:tcPr/>
                <w:p>
                  <w:pPr>
                    <w:pStyle w:val="Compact"/>
                    <w:jc w:val="center"/>
                  </w:pPr>
                  <w:r>
                    <w:t xml:space="preserve">OR: 2.61 (1.42, 4.83)</w:t>
                  </w:r>
                </w:p>
              </w:tc>
              <w:tc>
                <w:tcPr/>
                <w:p>
                  <w:pPr>
                    <w:pStyle w:val="Compact"/>
                    <w:jc w:val="center"/>
                    <w:jc w:val="center"/>
                  </w:pPr>
                  <w:r>
                    <w:t xml:space="preserve">0.002</w:t>
                  </w:r>
                </w:p>
              </w:tc>
              <w:tc>
                <w:tcPr/>
                <w:p>
                  <w:pPr>
                    <w:pStyle w:val="Compact"/>
                    <w:jc w:val="center"/>
                  </w:pPr>
                  <w:r>
                    <w:t xml:space="preserve">Demographic</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Lifestyle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Medical History</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Biochemical</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Medication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MAGE</w:t>
                  </w:r>
                </w:p>
              </w:tc>
              <w:tc>
                <w:tcPr/>
                <w:p>
                  <w:pPr>
                    <w:pStyle w:val="Compact"/>
                    <w:jc w:val="center"/>
                  </w:pPr>
                  <w:r>
                    <w:t xml:space="preserve">nr</w:t>
                  </w:r>
                </w:p>
              </w:tc>
              <w:tc>
                <w:tcPr/>
                <w:p>
                  <w:pPr>
                    <w:pStyle w:val="Compact"/>
                    <w:jc w:val="center"/>
                    <w:jc w:val="center"/>
                  </w:pPr>
                  <w:r>
                    <w:t xml:space="preserve">nr</w:t>
                  </w:r>
                </w:p>
              </w:tc>
              <w:tc>
                <w:tcPr/>
                <w:p>
                  <w:pPr>
                    <w:pStyle w:val="Compact"/>
                    <w:jc w:val="center"/>
                  </w:pPr>
                  <w:r>
                    <w:t xml:space="preserve">AUC: 0.618 (0.555, 0.680)</w:t>
                  </w:r>
                </w:p>
              </w:tc>
              <w:tc>
                <w:tcPr/>
                <w:p>
                  <w:pPr>
                    <w:pStyle w:val="Compact"/>
                    <w:jc w:val="center"/>
                    <w:jc w:val="center"/>
                  </w:pPr>
                  <w:r>
                    <w:t xml:space="preserve">0.001</w:t>
                  </w:r>
                </w:p>
              </w:tc>
              <w:tc>
                <w:tcPr/>
                <w:p>
                  <w:pPr>
                    <w:pStyle w:val="Compact"/>
                    <w:jc w:val="center"/>
                  </w:pPr>
                  <w:r>
                    <w:t xml:space="preserve">N/A</w:t>
                  </w:r>
                </w:p>
              </w:tc>
            </w:tr>
            <w:tr>
              <w:tc>
                <w:tcPr/>
                <w:p>
                  <w:pPr>
                    <w:pStyle w:val="Compact"/>
                    <w:jc w:val="center"/>
                  </w:pPr>
                  <w:r>
                    <w:rPr>
                      <w:b/>
                      <w:bCs/>
                    </w:rPr>
                    <w:t xml:space="preserve">Gensini score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Chen, 2020†*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Controls with: SD &lt;1.40 mmol/L MAGE &lt;3.90 mmol/L LAGE &lt;4.40 mmol/L MODD &lt;0.83 mmol/L vs high BG fluctuations</w:t>
                  </w:r>
                </w:p>
              </w:tc>
              <w:tc>
                <w:tcPr/>
                <w:p>
                  <w:pPr>
                    <w:pStyle w:val="Compact"/>
                    <w:jc w:val="center"/>
                  </w:pPr>
                  <w:r>
                    <w:t xml:space="preserve">N/A</w:t>
                  </w:r>
                </w:p>
              </w:tc>
              <w:tc>
                <w:tcPr/>
                <w:p>
                  <w:pPr>
                    <w:pStyle w:val="Compact"/>
                    <w:jc w:val="center"/>
                    <w:jc w:val="center"/>
                  </w:pPr>
                  <w:r>
                    <w:t xml:space="preserve">N/A</w:t>
                  </w:r>
                </w:p>
              </w:tc>
              <w:tc>
                <w:tcPr/>
                <w:p>
                  <w:pPr>
                    <w:pStyle w:val="Compact"/>
                    <w:jc w:val="center"/>
                  </w:pPr>
                  <w:r>
                    <w:t xml:space="preserve">𝘵: 6.210</w:t>
                  </w:r>
                </w:p>
              </w:tc>
              <w:tc>
                <w:tcPr/>
                <w:p>
                  <w:pPr>
                    <w:pStyle w:val="Compact"/>
                    <w:jc w:val="center"/>
                    <w:jc w:val="center"/>
                  </w:pPr>
                  <w:r>
                    <w:t xml:space="preserve">p &lt; 0.001</w:t>
                  </w:r>
                </w:p>
              </w:tc>
              <w:tc>
                <w:tcPr/>
                <w:p>
                  <w:pPr>
                    <w:pStyle w:val="Compact"/>
                    <w:jc w:val="center"/>
                  </w:pPr>
                  <w:r>
                    <w:t xml:space="preserve">N/A</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Watanabe, 2017*</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MAGE</w:t>
                  </w:r>
                </w:p>
              </w:tc>
              <w:tc>
                <w:tcPr/>
                <w:p>
                  <w:pPr>
                    <w:pStyle w:val="Compact"/>
                    <w:jc w:val="center"/>
                  </w:pPr>
                  <w:r>
                    <w:t xml:space="preserve">N/A</w:t>
                  </w:r>
                </w:p>
              </w:tc>
              <w:tc>
                <w:tcPr/>
                <w:p>
                  <w:pPr>
                    <w:pStyle w:val="Compact"/>
                    <w:jc w:val="center"/>
                    <w:jc w:val="center"/>
                  </w:pPr>
                  <w:r>
                    <w:t xml:space="preserve">N/A</w:t>
                  </w:r>
                </w:p>
              </w:tc>
              <w:tc>
                <w:tcPr/>
                <w:p>
                  <w:pPr>
                    <w:pStyle w:val="Compact"/>
                    <w:jc w:val="center"/>
                  </w:pPr>
                  <w:r>
                    <w:t xml:space="preserve">r = 0.742</w:t>
                  </w:r>
                </w:p>
              </w:tc>
              <w:tc>
                <w:tcPr/>
                <w:p>
                  <w:pPr>
                    <w:pStyle w:val="Compact"/>
                    <w:jc w:val="center"/>
                    <w:jc w:val="center"/>
                  </w:pPr>
                  <w:r>
                    <w:t xml:space="preserve">p &lt; 0.001</w:t>
                  </w:r>
                </w:p>
              </w:tc>
              <w:tc>
                <w:tcPr/>
                <w:p>
                  <w:pPr>
                    <w:pStyle w:val="Compact"/>
                    <w:jc w:val="center"/>
                  </w:pPr>
                  <w:r>
                    <w:t xml:space="preserve">N/A</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Mi, 2012†*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MAGE</w:t>
                  </w:r>
                </w:p>
              </w:tc>
              <w:tc>
                <w:tcPr/>
                <w:p>
                  <w:pPr>
                    <w:pStyle w:val="Compact"/>
                    <w:jc w:val="center"/>
                  </w:pPr>
                  <w:r>
                    <w:t xml:space="preserve">nr</w:t>
                  </w:r>
                </w:p>
              </w:tc>
              <w:tc>
                <w:tcPr/>
                <w:p>
                  <w:pPr>
                    <w:pStyle w:val="Compact"/>
                    <w:jc w:val="center"/>
                    <w:jc w:val="center"/>
                  </w:pPr>
                  <w:r>
                    <w:t xml:space="preserve">nr</w:t>
                  </w:r>
                </w:p>
              </w:tc>
              <w:tc>
                <w:tcPr/>
                <w:p>
                  <w:pPr>
                    <w:pStyle w:val="Compact"/>
                    <w:jc w:val="center"/>
                  </w:pPr>
                  <w:r>
                    <w:t xml:space="preserve">Unstandardized coefficients beta: 4.817, SE: 1.614 Standardized coefficients beta: 0.170, t = 2.984</w:t>
                  </w:r>
                </w:p>
              </w:tc>
              <w:tc>
                <w:tcPr/>
                <w:p>
                  <w:pPr>
                    <w:pStyle w:val="Compact"/>
                    <w:jc w:val="center"/>
                    <w:jc w:val="center"/>
                  </w:pPr>
                  <w:r>
                    <w:t xml:space="preserve">0.003</w:t>
                  </w:r>
                </w:p>
              </w:tc>
              <w:tc>
                <w:tcPr/>
                <w:p>
                  <w:pPr>
                    <w:pStyle w:val="Compact"/>
                    <w:jc w:val="center"/>
                  </w:pPr>
                  <w:r>
                    <w:t xml:space="preserve">Demographic</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Anthropometric</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Physiological</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Biochemical</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Su, 2011†*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MAGE</w:t>
                  </w:r>
                </w:p>
              </w:tc>
              <w:tc>
                <w:tcPr/>
                <w:p>
                  <w:pPr>
                    <w:pStyle w:val="Compact"/>
                    <w:jc w:val="center"/>
                  </w:pPr>
                  <w:r>
                    <w:t xml:space="preserve">nr</w:t>
                  </w:r>
                </w:p>
              </w:tc>
              <w:tc>
                <w:tcPr/>
                <w:p>
                  <w:pPr>
                    <w:pStyle w:val="Compact"/>
                    <w:jc w:val="center"/>
                    <w:jc w:val="center"/>
                  </w:pPr>
                  <w:r>
                    <w:t xml:space="preserve">nr</w:t>
                  </w:r>
                </w:p>
              </w:tc>
              <w:tc>
                <w:tcPr/>
                <w:p>
                  <w:pPr>
                    <w:pStyle w:val="Compact"/>
                    <w:jc w:val="center"/>
                  </w:pPr>
                  <w:r>
                    <w:t xml:space="preserve">Unstandardized beta: 7.010, SE: 1.466 Standardized beta: 0.237, t = 4.783</w:t>
                  </w:r>
                </w:p>
              </w:tc>
              <w:tc>
                <w:tcPr/>
                <w:p>
                  <w:pPr>
                    <w:pStyle w:val="Compact"/>
                    <w:jc w:val="center"/>
                    <w:jc w:val="center"/>
                  </w:pPr>
                  <w:r>
                    <w:t xml:space="preserve">&lt;0.001</w:t>
                  </w:r>
                </w:p>
              </w:tc>
              <w:tc>
                <w:tcPr/>
                <w:p>
                  <w:pPr>
                    <w:pStyle w:val="Compact"/>
                    <w:jc w:val="center"/>
                  </w:pPr>
                  <w:r>
                    <w:t xml:space="preserve">Demographic</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Medical History</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Physiological</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Biochemical</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CGM/GV metrics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Syntax score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Watanabe, 2017*</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MAGE</w:t>
                  </w:r>
                </w:p>
              </w:tc>
              <w:tc>
                <w:tcPr/>
                <w:p>
                  <w:pPr>
                    <w:pStyle w:val="Compact"/>
                    <w:jc w:val="center"/>
                  </w:pPr>
                  <w:r>
                    <w:t xml:space="preserve">N/A</w:t>
                  </w:r>
                </w:p>
              </w:tc>
              <w:tc>
                <w:tcPr/>
                <w:p>
                  <w:pPr>
                    <w:pStyle w:val="Compact"/>
                    <w:jc w:val="center"/>
                    <w:jc w:val="center"/>
                  </w:pPr>
                  <w:r>
                    <w:t xml:space="preserve">N/A</w:t>
                  </w:r>
                </w:p>
              </w:tc>
              <w:tc>
                <w:tcPr/>
                <w:p>
                  <w:pPr>
                    <w:pStyle w:val="Compact"/>
                    <w:jc w:val="center"/>
                  </w:pPr>
                  <w:r>
                    <w:t xml:space="preserve">r = 0.776</w:t>
                  </w:r>
                </w:p>
              </w:tc>
              <w:tc>
                <w:tcPr/>
                <w:p>
                  <w:pPr>
                    <w:pStyle w:val="Compact"/>
                    <w:jc w:val="center"/>
                    <w:jc w:val="center"/>
                  </w:pPr>
                  <w:r>
                    <w:t xml:space="preserve">p &lt; 0.001</w:t>
                  </w:r>
                </w:p>
              </w:tc>
              <w:tc>
                <w:tcPr/>
                <w:p>
                  <w:pPr>
                    <w:pStyle w:val="Compact"/>
                    <w:jc w:val="center"/>
                  </w:pPr>
                  <w:r>
                    <w:t xml:space="preserve">N/A</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Zhang, 2013*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MAGE</w:t>
                  </w:r>
                </w:p>
              </w:tc>
              <w:tc>
                <w:tcPr/>
                <w:p>
                  <w:pPr>
                    <w:pStyle w:val="Compact"/>
                    <w:jc w:val="center"/>
                  </w:pPr>
                  <w:r>
                    <w:t xml:space="preserve">N/A</w:t>
                  </w:r>
                </w:p>
              </w:tc>
              <w:tc>
                <w:tcPr/>
                <w:p>
                  <w:pPr>
                    <w:pStyle w:val="Compact"/>
                    <w:jc w:val="center"/>
                    <w:jc w:val="center"/>
                  </w:pPr>
                  <w:r>
                    <w:t xml:space="preserve">N/A</w:t>
                  </w:r>
                </w:p>
              </w:tc>
              <w:tc>
                <w:tcPr/>
                <w:p>
                  <w:pPr>
                    <w:pStyle w:val="Compact"/>
                    <w:jc w:val="center"/>
                  </w:pPr>
                  <w:r>
                    <w:t xml:space="preserve">r = 0.518</w:t>
                  </w:r>
                </w:p>
              </w:tc>
              <w:tc>
                <w:tcPr/>
                <w:p>
                  <w:pPr>
                    <w:pStyle w:val="Compact"/>
                    <w:jc w:val="center"/>
                    <w:jc w:val="center"/>
                  </w:pPr>
                  <w:r>
                    <w:t xml:space="preserve">0.011</w:t>
                  </w:r>
                </w:p>
              </w:tc>
              <w:tc>
                <w:tcPr/>
                <w:p>
                  <w:pPr>
                    <w:pStyle w:val="Compact"/>
                    <w:jc w:val="center"/>
                  </w:pPr>
                  <w:r>
                    <w:t xml:space="preserve">N/A</w:t>
                  </w:r>
                </w:p>
              </w:tc>
            </w:tr>
            <w:tr>
              <w:tc>
                <w:tcPr/>
                <w:p>
                  <w:pPr>
                    <w:pStyle w:val="Compact"/>
                    <w:jc w:val="center"/>
                  </w:pPr>
                  <w:r>
                    <w:t xml:space="preserve">   BG fluctuations at 00:00 - 03:00</w:t>
                  </w:r>
                </w:p>
              </w:tc>
              <w:tc>
                <w:tcPr/>
                <w:p>
                  <w:pPr>
                    <w:pStyle w:val="Compact"/>
                    <w:jc w:val="center"/>
                  </w:pPr>
                  <w:r>
                    <w:t xml:space="preserve">N/A</w:t>
                  </w:r>
                </w:p>
              </w:tc>
              <w:tc>
                <w:tcPr/>
                <w:p>
                  <w:pPr>
                    <w:pStyle w:val="Compact"/>
                    <w:jc w:val="center"/>
                    <w:jc w:val="center"/>
                  </w:pPr>
                  <w:r>
                    <w:t xml:space="preserve">N/A</w:t>
                  </w:r>
                </w:p>
              </w:tc>
              <w:tc>
                <w:tcPr/>
                <w:p>
                  <w:pPr>
                    <w:pStyle w:val="Compact"/>
                    <w:jc w:val="center"/>
                  </w:pPr>
                  <w:r>
                    <w:t xml:space="preserve">r = −0.442</w:t>
                  </w:r>
                </w:p>
              </w:tc>
              <w:tc>
                <w:tcPr/>
                <w:p>
                  <w:pPr>
                    <w:pStyle w:val="Compact"/>
                    <w:jc w:val="center"/>
                    <w:jc w:val="center"/>
                  </w:pPr>
                  <w:r>
                    <w:t xml:space="preserve">0.035</w:t>
                  </w:r>
                </w:p>
              </w:tc>
              <w:tc>
                <w:tcPr/>
                <w:p>
                  <w:pPr>
                    <w:pStyle w:val="Compact"/>
                    <w:jc w:val="center"/>
                  </w:pPr>
                  <w:r>
                    <w:t xml:space="preserve">N/A</w:t>
                  </w:r>
                </w:p>
              </w:tc>
            </w:tr>
            <w:tr>
              <w:tc>
                <w:tcPr/>
                <w:p>
                  <w:pPr>
                    <w:pStyle w:val="Compact"/>
                    <w:jc w:val="center"/>
                  </w:pPr>
                  <w:r>
                    <w:t xml:space="preserve">   BG fluctuations at 03:00 - 06:00</w:t>
                  </w:r>
                </w:p>
              </w:tc>
              <w:tc>
                <w:tcPr/>
                <w:p>
                  <w:pPr>
                    <w:pStyle w:val="Compact"/>
                    <w:jc w:val="center"/>
                  </w:pPr>
                  <w:r>
                    <w:t xml:space="preserve">N/A</w:t>
                  </w:r>
                </w:p>
              </w:tc>
              <w:tc>
                <w:tcPr/>
                <w:p>
                  <w:pPr>
                    <w:pStyle w:val="Compact"/>
                    <w:jc w:val="center"/>
                    <w:jc w:val="center"/>
                  </w:pPr>
                  <w:r>
                    <w:t xml:space="preserve">N/A</w:t>
                  </w:r>
                </w:p>
              </w:tc>
              <w:tc>
                <w:tcPr/>
                <w:p>
                  <w:pPr>
                    <w:pStyle w:val="Compact"/>
                    <w:jc w:val="center"/>
                  </w:pPr>
                  <w:r>
                    <w:t xml:space="preserve">r = −0.208</w:t>
                  </w:r>
                </w:p>
              </w:tc>
              <w:tc>
                <w:tcPr/>
                <w:p>
                  <w:pPr>
                    <w:pStyle w:val="Compact"/>
                    <w:jc w:val="center"/>
                    <w:jc w:val="center"/>
                  </w:pPr>
                  <w:r>
                    <w:t xml:space="preserve">0.34</w:t>
                  </w:r>
                </w:p>
              </w:tc>
              <w:tc>
                <w:tcPr/>
                <w:p>
                  <w:pPr>
                    <w:pStyle w:val="Compact"/>
                    <w:jc w:val="center"/>
                  </w:pPr>
                  <w:r>
                    <w:t xml:space="preserve">N/A</w:t>
                  </w:r>
                </w:p>
              </w:tc>
            </w:tr>
            <w:tr>
              <w:tc>
                <w:tcPr/>
                <w:p>
                  <w:pPr>
                    <w:pStyle w:val="Compact"/>
                    <w:jc w:val="center"/>
                  </w:pPr>
                  <w:r>
                    <w:t xml:space="preserve">   BG fluctuations at 06:00 - 08:00</w:t>
                  </w:r>
                </w:p>
              </w:tc>
              <w:tc>
                <w:tcPr/>
                <w:p>
                  <w:pPr>
                    <w:pStyle w:val="Compact"/>
                    <w:jc w:val="center"/>
                  </w:pPr>
                  <w:r>
                    <w:t xml:space="preserve">N/A</w:t>
                  </w:r>
                </w:p>
              </w:tc>
              <w:tc>
                <w:tcPr/>
                <w:p>
                  <w:pPr>
                    <w:pStyle w:val="Compact"/>
                    <w:jc w:val="center"/>
                    <w:jc w:val="center"/>
                  </w:pPr>
                  <w:r>
                    <w:t xml:space="preserve">N/A</w:t>
                  </w:r>
                </w:p>
              </w:tc>
              <w:tc>
                <w:tcPr/>
                <w:p>
                  <w:pPr>
                    <w:pStyle w:val="Compact"/>
                    <w:jc w:val="center"/>
                  </w:pPr>
                  <w:r>
                    <w:t xml:space="preserve">r = 0.678</w:t>
                  </w:r>
                </w:p>
              </w:tc>
              <w:tc>
                <w:tcPr/>
                <w:p>
                  <w:pPr>
                    <w:pStyle w:val="Compact"/>
                    <w:jc w:val="center"/>
                    <w:jc w:val="center"/>
                  </w:pPr>
                  <w:r>
                    <w:t xml:space="preserve">&lt;0.001</w:t>
                  </w:r>
                </w:p>
              </w:tc>
              <w:tc>
                <w:tcPr/>
                <w:p>
                  <w:pPr>
                    <w:pStyle w:val="Compact"/>
                    <w:jc w:val="center"/>
                  </w:pPr>
                  <w:r>
                    <w:t xml:space="preserve">N/A</w:t>
                  </w:r>
                </w:p>
              </w:tc>
            </w:tr>
            <w:tr>
              <w:tc>
                <w:tcPr/>
                <w:p>
                  <w:pPr>
                    <w:pStyle w:val="Compact"/>
                    <w:jc w:val="center"/>
                  </w:pPr>
                  <w:r>
                    <w:t xml:space="preserve">   BG fluctuations at 08:00 - 11:00</w:t>
                  </w:r>
                </w:p>
              </w:tc>
              <w:tc>
                <w:tcPr/>
                <w:p>
                  <w:pPr>
                    <w:pStyle w:val="Compact"/>
                    <w:jc w:val="center"/>
                  </w:pPr>
                  <w:r>
                    <w:t xml:space="preserve">N/A</w:t>
                  </w:r>
                </w:p>
              </w:tc>
              <w:tc>
                <w:tcPr/>
                <w:p>
                  <w:pPr>
                    <w:pStyle w:val="Compact"/>
                    <w:jc w:val="center"/>
                    <w:jc w:val="center"/>
                  </w:pPr>
                  <w:r>
                    <w:t xml:space="preserve">N/A</w:t>
                  </w:r>
                </w:p>
              </w:tc>
              <w:tc>
                <w:tcPr/>
                <w:p>
                  <w:pPr>
                    <w:pStyle w:val="Compact"/>
                    <w:jc w:val="center"/>
                  </w:pPr>
                  <w:r>
                    <w:t xml:space="preserve">r = 0.115</w:t>
                  </w:r>
                </w:p>
              </w:tc>
              <w:tc>
                <w:tcPr/>
                <w:p>
                  <w:pPr>
                    <w:pStyle w:val="Compact"/>
                    <w:jc w:val="center"/>
                    <w:jc w:val="center"/>
                  </w:pPr>
                  <w:r>
                    <w:t xml:space="preserve">0.6</w:t>
                  </w:r>
                </w:p>
              </w:tc>
              <w:tc>
                <w:tcPr/>
                <w:p>
                  <w:pPr>
                    <w:pStyle w:val="Compact"/>
                    <w:jc w:val="center"/>
                  </w:pPr>
                  <w:r>
                    <w:t xml:space="preserve">N/A</w:t>
                  </w:r>
                </w:p>
              </w:tc>
            </w:tr>
            <w:tr>
              <w:tc>
                <w:tcPr/>
                <w:p>
                  <w:pPr>
                    <w:pStyle w:val="Compact"/>
                    <w:jc w:val="center"/>
                  </w:pPr>
                  <w:r>
                    <w:t xml:space="preserve">   BG fluctuations at 11:00 - 13:00</w:t>
                  </w:r>
                </w:p>
              </w:tc>
              <w:tc>
                <w:tcPr/>
                <w:p>
                  <w:pPr>
                    <w:pStyle w:val="Compact"/>
                    <w:jc w:val="center"/>
                  </w:pPr>
                  <w:r>
                    <w:t xml:space="preserve">N/A</w:t>
                  </w:r>
                </w:p>
              </w:tc>
              <w:tc>
                <w:tcPr/>
                <w:p>
                  <w:pPr>
                    <w:pStyle w:val="Compact"/>
                    <w:jc w:val="center"/>
                    <w:jc w:val="center"/>
                  </w:pPr>
                  <w:r>
                    <w:t xml:space="preserve">N/A</w:t>
                  </w:r>
                </w:p>
              </w:tc>
              <w:tc>
                <w:tcPr/>
                <w:p>
                  <w:pPr>
                    <w:pStyle w:val="Compact"/>
                    <w:jc w:val="center"/>
                  </w:pPr>
                  <w:r>
                    <w:t xml:space="preserve">r = 0.523</w:t>
                  </w:r>
                </w:p>
              </w:tc>
              <w:tc>
                <w:tcPr/>
                <w:p>
                  <w:pPr>
                    <w:pStyle w:val="Compact"/>
                    <w:jc w:val="center"/>
                    <w:jc w:val="center"/>
                  </w:pPr>
                  <w:r>
                    <w:t xml:space="preserve">0.011</w:t>
                  </w:r>
                </w:p>
              </w:tc>
              <w:tc>
                <w:tcPr/>
                <w:p>
                  <w:pPr>
                    <w:pStyle w:val="Compact"/>
                    <w:jc w:val="center"/>
                  </w:pPr>
                  <w:r>
                    <w:t xml:space="preserve">N/A</w:t>
                  </w:r>
                </w:p>
              </w:tc>
            </w:tr>
            <w:tr>
              <w:tc>
                <w:tcPr/>
                <w:p>
                  <w:pPr>
                    <w:pStyle w:val="Compact"/>
                    <w:jc w:val="center"/>
                  </w:pPr>
                  <w:r>
                    <w:t xml:space="preserve">   BG fluctuations at 13:00 - 17:00</w:t>
                  </w:r>
                </w:p>
              </w:tc>
              <w:tc>
                <w:tcPr/>
                <w:p>
                  <w:pPr>
                    <w:pStyle w:val="Compact"/>
                    <w:jc w:val="center"/>
                  </w:pPr>
                  <w:r>
                    <w:t xml:space="preserve">N/A</w:t>
                  </w:r>
                </w:p>
              </w:tc>
              <w:tc>
                <w:tcPr/>
                <w:p>
                  <w:pPr>
                    <w:pStyle w:val="Compact"/>
                    <w:jc w:val="center"/>
                    <w:jc w:val="center"/>
                  </w:pPr>
                  <w:r>
                    <w:t xml:space="preserve">N/A</w:t>
                  </w:r>
                </w:p>
              </w:tc>
              <w:tc>
                <w:tcPr/>
                <w:p>
                  <w:pPr>
                    <w:pStyle w:val="Compact"/>
                    <w:jc w:val="center"/>
                  </w:pPr>
                  <w:r>
                    <w:t xml:space="preserve">r = 0.257</w:t>
                  </w:r>
                </w:p>
              </w:tc>
              <w:tc>
                <w:tcPr/>
                <w:p>
                  <w:pPr>
                    <w:pStyle w:val="Compact"/>
                    <w:jc w:val="center"/>
                    <w:jc w:val="center"/>
                  </w:pPr>
                  <w:r>
                    <w:t xml:space="preserve">0.237</w:t>
                  </w:r>
                </w:p>
              </w:tc>
              <w:tc>
                <w:tcPr/>
                <w:p>
                  <w:pPr>
                    <w:pStyle w:val="Compact"/>
                    <w:jc w:val="center"/>
                  </w:pPr>
                  <w:r>
                    <w:t xml:space="preserve">N/A</w:t>
                  </w:r>
                </w:p>
              </w:tc>
            </w:tr>
            <w:tr>
              <w:tc>
                <w:tcPr/>
                <w:p>
                  <w:pPr>
                    <w:pStyle w:val="Compact"/>
                    <w:jc w:val="center"/>
                  </w:pPr>
                  <w:r>
                    <w:t xml:space="preserve">   BG fluctuations at 17:00 - 19:00</w:t>
                  </w:r>
                </w:p>
              </w:tc>
              <w:tc>
                <w:tcPr/>
                <w:p>
                  <w:pPr>
                    <w:pStyle w:val="Compact"/>
                    <w:jc w:val="center"/>
                  </w:pPr>
                  <w:r>
                    <w:t xml:space="preserve">N/A</w:t>
                  </w:r>
                </w:p>
              </w:tc>
              <w:tc>
                <w:tcPr/>
                <w:p>
                  <w:pPr>
                    <w:pStyle w:val="Compact"/>
                    <w:jc w:val="center"/>
                    <w:jc w:val="center"/>
                  </w:pPr>
                  <w:r>
                    <w:t xml:space="preserve">N/A</w:t>
                  </w:r>
                </w:p>
              </w:tc>
              <w:tc>
                <w:tcPr/>
                <w:p>
                  <w:pPr>
                    <w:pStyle w:val="Compact"/>
                    <w:jc w:val="center"/>
                  </w:pPr>
                  <w:r>
                    <w:t xml:space="preserve">r = 0.358</w:t>
                  </w:r>
                </w:p>
              </w:tc>
              <w:tc>
                <w:tcPr/>
                <w:p>
                  <w:pPr>
                    <w:pStyle w:val="Compact"/>
                    <w:jc w:val="center"/>
                    <w:jc w:val="center"/>
                  </w:pPr>
                  <w:r>
                    <w:t xml:space="preserve">0.094</w:t>
                  </w:r>
                </w:p>
              </w:tc>
              <w:tc>
                <w:tcPr/>
                <w:p>
                  <w:pPr>
                    <w:pStyle w:val="Compact"/>
                    <w:jc w:val="center"/>
                  </w:pPr>
                  <w:r>
                    <w:t xml:space="preserve">N/A</w:t>
                  </w:r>
                </w:p>
              </w:tc>
            </w:tr>
            <w:tr>
              <w:tc>
                <w:tcPr/>
                <w:p>
                  <w:pPr>
                    <w:pStyle w:val="Compact"/>
                    <w:jc w:val="center"/>
                  </w:pPr>
                  <w:r>
                    <w:t xml:space="preserve">   BG fluctuations at 19:00 - 24:00</w:t>
                  </w:r>
                </w:p>
              </w:tc>
              <w:tc>
                <w:tcPr/>
                <w:p>
                  <w:pPr>
                    <w:pStyle w:val="Compact"/>
                    <w:jc w:val="center"/>
                  </w:pPr>
                  <w:r>
                    <w:t xml:space="preserve">N/A</w:t>
                  </w:r>
                </w:p>
              </w:tc>
              <w:tc>
                <w:tcPr/>
                <w:p>
                  <w:pPr>
                    <w:pStyle w:val="Compact"/>
                    <w:jc w:val="center"/>
                    <w:jc w:val="center"/>
                  </w:pPr>
                  <w:r>
                    <w:t xml:space="preserve">N/A</w:t>
                  </w:r>
                </w:p>
              </w:tc>
              <w:tc>
                <w:tcPr/>
                <w:p>
                  <w:pPr>
                    <w:pStyle w:val="Compact"/>
                    <w:jc w:val="center"/>
                  </w:pPr>
                  <w:r>
                    <w:t xml:space="preserve">r = −0.018</w:t>
                  </w:r>
                </w:p>
              </w:tc>
              <w:tc>
                <w:tcPr/>
                <w:p>
                  <w:pPr>
                    <w:pStyle w:val="Compact"/>
                    <w:jc w:val="center"/>
                    <w:jc w:val="center"/>
                  </w:pPr>
                  <w:r>
                    <w:t xml:space="preserve">0.933</w:t>
                  </w:r>
                </w:p>
              </w:tc>
              <w:tc>
                <w:tcPr/>
                <w:p>
                  <w:pPr>
                    <w:pStyle w:val="Compact"/>
                    <w:jc w:val="center"/>
                  </w:pPr>
                  <w:r>
                    <w:t xml:space="preserve">N/A</w:t>
                  </w:r>
                </w:p>
              </w:tc>
            </w:tr>
            <w:tr>
              <w:tc>
                <w:tcPr/>
                <w:p>
                  <w:pPr>
                    <w:pStyle w:val="Compact"/>
                    <w:jc w:val="center"/>
                  </w:pPr>
                  <w:r>
                    <w:rPr>
                      <w:b/>
                      <w:bCs/>
                    </w:rPr>
                    <w:t xml:space="preserve">Stroke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De Meulemeester, 2024†*</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TITR</w:t>
                  </w:r>
                </w:p>
              </w:tc>
              <w:tc>
                <w:tcPr/>
                <w:p>
                  <w:pPr>
                    <w:pStyle w:val="Compact"/>
                    <w:jc w:val="center"/>
                  </w:pPr>
                  <w:r>
                    <w:t xml:space="preserve">OR: 0.65 (0.47, 0.90)</w:t>
                  </w:r>
                </w:p>
              </w:tc>
              <w:tc>
                <w:tcPr/>
                <w:p>
                  <w:pPr>
                    <w:pStyle w:val="Compact"/>
                    <w:jc w:val="center"/>
                    <w:jc w:val="center"/>
                  </w:pPr>
                  <w:r>
                    <w:t xml:space="preserve">p &lt; 0.05</w:t>
                  </w:r>
                </w:p>
              </w:tc>
              <w:tc>
                <w:tcPr/>
                <w:p>
                  <w:pPr>
                    <w:pStyle w:val="Compact"/>
                    <w:jc w:val="center"/>
                  </w:pPr>
                  <w:r>
                    <w:t xml:space="preserve">OR: 0.55 (0.35, 0.86)</w:t>
                  </w:r>
                </w:p>
              </w:tc>
              <w:tc>
                <w:tcPr/>
                <w:p>
                  <w:pPr>
                    <w:pStyle w:val="Compact"/>
                    <w:jc w:val="center"/>
                    <w:jc w:val="center"/>
                  </w:pPr>
                  <w:r>
                    <w:t xml:space="preserve">p &lt; 0.01</w:t>
                  </w:r>
                </w:p>
              </w:tc>
              <w:tc>
                <w:tcPr/>
                <w:p>
                  <w:pPr>
                    <w:pStyle w:val="Compact"/>
                    <w:jc w:val="center"/>
                  </w:pPr>
                  <w:r>
                    <w:t xml:space="preserve">Least Adjusted:</w:t>
                  </w:r>
                </w:p>
              </w:tc>
            </w:tr>
            <w:tr>
              <w:tc>
                <w:tcPr/>
                <w:p>
                  <w:pPr>
                    <w:pStyle w:val="Compact"/>
                    <w:jc w:val="center"/>
                  </w:pPr>
                  <w:r>
                    <w:t xml:space="preserve">   TIR</w:t>
                  </w:r>
                </w:p>
              </w:tc>
              <w:tc>
                <w:tcPr/>
                <w:p>
                  <w:pPr>
                    <w:pStyle w:val="Compact"/>
                    <w:jc w:val="center"/>
                  </w:pPr>
                  <w:r>
                    <w:t xml:space="preserve">OR: 0.75 (0.59, 0.96)</w:t>
                  </w:r>
                </w:p>
              </w:tc>
              <w:tc>
                <w:tcPr/>
                <w:p>
                  <w:pPr>
                    <w:pStyle w:val="Compact"/>
                    <w:jc w:val="center"/>
                    <w:jc w:val="center"/>
                  </w:pPr>
                  <w:r>
                    <w:t xml:space="preserve">p &lt; 0.05</w:t>
                  </w:r>
                </w:p>
              </w:tc>
              <w:tc>
                <w:tcPr/>
                <w:p>
                  <w:pPr>
                    <w:pStyle w:val="Compact"/>
                    <w:jc w:val="center"/>
                  </w:pPr>
                  <w:r>
                    <w:t xml:space="preserve">OR: 0.62 (0.44, 0.87)</w:t>
                  </w:r>
                </w:p>
              </w:tc>
              <w:tc>
                <w:tcPr/>
                <w:p>
                  <w:pPr>
                    <w:pStyle w:val="Compact"/>
                    <w:jc w:val="center"/>
                    <w:jc w:val="center"/>
                  </w:pPr>
                  <w:r>
                    <w:t xml:space="preserve">p &lt; 0.01</w:t>
                  </w:r>
                </w:p>
              </w:tc>
              <w:tc>
                <w:tcPr/>
                <w:p>
                  <w:pPr>
                    <w:pStyle w:val="Compact"/>
                    <w:jc w:val="center"/>
                  </w:pPr>
                  <w:r>
                    <w:t xml:space="preserve">  Unadjusted</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Most adjusted:</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Demographic</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Anthropometric</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Lifestyle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Medical History</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Physiological</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Biochemical</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Medication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Guo, 2021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TIR: Q1 (≤46%)</w:t>
                  </w:r>
                </w:p>
              </w:tc>
              <w:tc>
                <w:tcPr/>
                <w:p>
                  <w:pPr>
                    <w:pStyle w:val="Compact"/>
                    <w:jc w:val="center"/>
                  </w:pPr>
                  <w:r>
                    <w:t xml:space="preserve">OR: 1.00 (Reference)</w:t>
                  </w:r>
                </w:p>
              </w:tc>
              <w:tc>
                <w:tcPr/>
                <w:p>
                  <w:pPr>
                    <w:pStyle w:val="Compact"/>
                    <w:jc w:val="center"/>
                    <w:jc w:val="center"/>
                  </w:pPr>
                  <w:r>
                    <w:t xml:space="preserve">p &lt; 0.001</w:t>
                  </w:r>
                </w:p>
              </w:tc>
              <w:tc>
                <w:tcPr/>
                <w:p>
                  <w:pPr>
                    <w:pStyle w:val="Compact"/>
                    <w:jc w:val="center"/>
                  </w:pPr>
                  <w:r>
                    <w:t xml:space="preserve">OR: 1.00 (Reference)</w:t>
                  </w:r>
                </w:p>
              </w:tc>
              <w:tc>
                <w:tcPr/>
                <w:p>
                  <w:pPr>
                    <w:pStyle w:val="Compact"/>
                    <w:jc w:val="center"/>
                    <w:jc w:val="center"/>
                  </w:pPr>
                  <w:r>
                    <w:t xml:space="preserve">p &lt; 0.001</w:t>
                  </w:r>
                </w:p>
              </w:tc>
              <w:tc>
                <w:tcPr/>
                <w:p>
                  <w:pPr>
                    <w:pStyle w:val="Compact"/>
                    <w:jc w:val="center"/>
                  </w:pPr>
                  <w:r>
                    <w:t xml:space="preserve">Least adjusted:</w:t>
                  </w:r>
                </w:p>
              </w:tc>
            </w:tr>
            <w:tr>
              <w:tc>
                <w:tcPr/>
                <w:p>
                  <w:pPr>
                    <w:pStyle w:val="Compact"/>
                    <w:jc w:val="center"/>
                  </w:pPr>
                  <w:r>
                    <w:t xml:space="preserve">   TIR: Q2 (46-65%)</w:t>
                  </w:r>
                </w:p>
              </w:tc>
              <w:tc>
                <w:tcPr/>
                <w:p>
                  <w:pPr>
                    <w:pStyle w:val="Compact"/>
                    <w:jc w:val="center"/>
                  </w:pPr>
                  <w:r>
                    <w:t xml:space="preserve">0.86 (0.72, 0.95)</w:t>
                  </w:r>
                </w:p>
              </w:tc>
              <w:tc>
                <w:tcPr/>
                <w:p>
                  <w:pPr>
                    <w:pStyle w:val="Compact"/>
                    <w:jc w:val="center"/>
                    <w:jc w:val="center"/>
                  </w:pPr>
                  <w:r>
                    <w:t xml:space="preserve">p &lt; 0.001</w:t>
                  </w:r>
                </w:p>
              </w:tc>
              <w:tc>
                <w:tcPr/>
                <w:p>
                  <w:pPr>
                    <w:pStyle w:val="Compact"/>
                    <w:jc w:val="center"/>
                  </w:pPr>
                  <w:r>
                    <w:t xml:space="preserve">OR: 0.80 (0.68, 0.92)</w:t>
                  </w:r>
                </w:p>
              </w:tc>
              <w:tc>
                <w:tcPr/>
                <w:p>
                  <w:pPr>
                    <w:pStyle w:val="Compact"/>
                    <w:jc w:val="center"/>
                    <w:jc w:val="center"/>
                  </w:pPr>
                  <w:r>
                    <w:t xml:space="preserve">p &lt; 0.001</w:t>
                  </w:r>
                </w:p>
              </w:tc>
              <w:tc>
                <w:tcPr/>
                <w:p>
                  <w:pPr>
                    <w:pStyle w:val="Compact"/>
                    <w:jc w:val="center"/>
                  </w:pPr>
                  <w:r>
                    <w:t xml:space="preserve">  Univariate</w:t>
                  </w:r>
                </w:p>
              </w:tc>
            </w:tr>
            <w:tr>
              <w:tc>
                <w:tcPr/>
                <w:p>
                  <w:pPr>
                    <w:pStyle w:val="Compact"/>
                    <w:jc w:val="center"/>
                  </w:pPr>
                  <w:r>
                    <w:t xml:space="preserve">   TIR: Q3 (65-81%)</w:t>
                  </w:r>
                </w:p>
              </w:tc>
              <w:tc>
                <w:tcPr/>
                <w:p>
                  <w:pPr>
                    <w:pStyle w:val="Compact"/>
                    <w:jc w:val="center"/>
                  </w:pPr>
                  <w:r>
                    <w:t xml:space="preserve">0.71 (0.61, 0.81)</w:t>
                  </w:r>
                </w:p>
              </w:tc>
              <w:tc>
                <w:tcPr/>
                <w:p>
                  <w:pPr>
                    <w:pStyle w:val="Compact"/>
                    <w:jc w:val="center"/>
                    <w:jc w:val="center"/>
                  </w:pPr>
                  <w:r>
                    <w:t xml:space="preserve">p &lt; 0.001</w:t>
                  </w:r>
                </w:p>
              </w:tc>
              <w:tc>
                <w:tcPr/>
                <w:p>
                  <w:pPr>
                    <w:pStyle w:val="Compact"/>
                    <w:jc w:val="center"/>
                  </w:pPr>
                  <w:r>
                    <w:t xml:space="preserve">OR: 0.64 (0.53, 0.79)</w:t>
                  </w:r>
                </w:p>
              </w:tc>
              <w:tc>
                <w:tcPr/>
                <w:p>
                  <w:pPr>
                    <w:pStyle w:val="Compact"/>
                    <w:jc w:val="center"/>
                    <w:jc w:val="center"/>
                  </w:pPr>
                  <w:r>
                    <w:t xml:space="preserve">p &lt; 0.001</w:t>
                  </w:r>
                </w:p>
              </w:tc>
              <w:tc>
                <w:tcPr/>
                <w:p>
                  <w:pPr>
                    <w:pStyle w:val="Compact"/>
                  </w:pPr>
                </w:p>
              </w:tc>
            </w:tr>
            <w:tr>
              <w:tc>
                <w:tcPr/>
                <w:p>
                  <w:pPr>
                    <w:pStyle w:val="Compact"/>
                    <w:jc w:val="center"/>
                  </w:pPr>
                  <w:r>
                    <w:t xml:space="preserve">   TIR: Q4 (&gt;81%)</w:t>
                  </w:r>
                </w:p>
              </w:tc>
              <w:tc>
                <w:tcPr/>
                <w:p>
                  <w:pPr>
                    <w:pStyle w:val="Compact"/>
                    <w:jc w:val="center"/>
                  </w:pPr>
                  <w:r>
                    <w:t xml:space="preserve">0.66 (0.58, 0.80)</w:t>
                  </w:r>
                </w:p>
              </w:tc>
              <w:tc>
                <w:tcPr/>
                <w:p>
                  <w:pPr>
                    <w:pStyle w:val="Compact"/>
                    <w:jc w:val="center"/>
                    <w:jc w:val="center"/>
                  </w:pPr>
                  <w:r>
                    <w:t xml:space="preserve">p &lt; 0.001</w:t>
                  </w:r>
                </w:p>
              </w:tc>
              <w:tc>
                <w:tcPr/>
                <w:p>
                  <w:pPr>
                    <w:pStyle w:val="Compact"/>
                    <w:jc w:val="center"/>
                  </w:pPr>
                  <w:r>
                    <w:t xml:space="preserve">OR: 0.59 (0.50, 0.74)</w:t>
                  </w:r>
                </w:p>
              </w:tc>
              <w:tc>
                <w:tcPr/>
                <w:p>
                  <w:pPr>
                    <w:pStyle w:val="Compact"/>
                    <w:jc w:val="center"/>
                    <w:jc w:val="center"/>
                  </w:pPr>
                  <w:r>
                    <w:t xml:space="preserve">p &lt; 0.001</w:t>
                  </w:r>
                </w:p>
              </w:tc>
              <w:tc>
                <w:tcPr/>
                <w:p>
                  <w:pPr>
                    <w:pStyle w:val="Compact"/>
                    <w:jc w:val="center"/>
                  </w:pPr>
                  <w:r>
                    <w:t xml:space="preserve">Most Adjusted:</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Demographic</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Anthropometric</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Medical History</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Biochemical</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Medication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CVD marker</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TIR, per 10% increase</w:t>
                  </w:r>
                </w:p>
              </w:tc>
              <w:tc>
                <w:tcPr/>
                <w:p>
                  <w:pPr>
                    <w:pStyle w:val="Compact"/>
                    <w:jc w:val="center"/>
                  </w:pPr>
                  <w:r>
                    <w:t xml:space="preserve">0.93 (0.85, 0.98) 0.008</w:t>
                  </w:r>
                </w:p>
              </w:tc>
              <w:tc>
                <w:tcPr/>
                <w:p>
                  <w:pPr>
                    <w:pStyle w:val="Compact"/>
                    <w:jc w:val="center"/>
                    <w:jc w:val="center"/>
                  </w:pPr>
                  <w:r>
                    <w:t xml:space="preserve">0.008</w:t>
                  </w:r>
                </w:p>
              </w:tc>
              <w:tc>
                <w:tcPr/>
                <w:p>
                  <w:pPr>
                    <w:pStyle w:val="Compact"/>
                    <w:jc w:val="center"/>
                  </w:pPr>
                  <w:r>
                    <w:t xml:space="preserve">OR: 0.89 (0.82, 0.95)</w:t>
                  </w:r>
                </w:p>
              </w:tc>
              <w:tc>
                <w:tcPr/>
                <w:p>
                  <w:pPr>
                    <w:pStyle w:val="Compact"/>
                    <w:jc w:val="center"/>
                    <w:jc w:val="center"/>
                  </w:pPr>
                  <w:r>
                    <w:t xml:space="preserve">p = 0.001</w:t>
                  </w:r>
                </w:p>
              </w:tc>
              <w:tc>
                <w:tcPr/>
                <w:p>
                  <w:pPr>
                    <w:pStyle w:val="Compact"/>
                    <w:jc w:val="center"/>
                  </w:pPr>
                  <w:r>
                    <w:t xml:space="preserve">Model 1:</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Demographic</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Anthropometric</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Model 3:</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Demographic</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Anthropometric</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Medical History</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Biochemical</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Medication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CVD marker</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Wei, 2019*</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Hypoglycemic events</w:t>
                  </w:r>
                </w:p>
              </w:tc>
              <w:tc>
                <w:tcPr/>
                <w:p>
                  <w:pPr>
                    <w:pStyle w:val="Compact"/>
                    <w:jc w:val="center"/>
                  </w:pPr>
                  <w:r>
                    <w:t xml:space="preserve">HR: 1.691 (1.144, 2.499)</w:t>
                  </w:r>
                </w:p>
              </w:tc>
              <w:tc>
                <w:tcPr/>
                <w:p>
                  <w:pPr>
                    <w:pStyle w:val="Compact"/>
                    <w:jc w:val="center"/>
                    <w:jc w:val="center"/>
                  </w:pPr>
                  <w:r>
                    <w:t xml:space="preserve">nr</w:t>
                  </w:r>
                </w:p>
              </w:tc>
              <w:tc>
                <w:tcPr/>
                <w:p>
                  <w:pPr>
                    <w:pStyle w:val="Compact"/>
                    <w:jc w:val="center"/>
                  </w:pPr>
                  <w:r>
                    <w:t xml:space="preserve">HR: 1.813 (1.110, 2.960)</w:t>
                  </w:r>
                </w:p>
              </w:tc>
              <w:tc>
                <w:tcPr/>
                <w:p>
                  <w:pPr>
                    <w:pStyle w:val="Compact"/>
                    <w:jc w:val="center"/>
                    <w:jc w:val="center"/>
                  </w:pPr>
                  <w:r>
                    <w:t xml:space="preserve">0.06</w:t>
                  </w:r>
                </w:p>
              </w:tc>
              <w:tc>
                <w:tcPr/>
                <w:p>
                  <w:pPr>
                    <w:pStyle w:val="Compact"/>
                    <w:jc w:val="center"/>
                  </w:pPr>
                  <w:r>
                    <w:t xml:space="preserve">Least Adjusted:</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Unadjusted</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Most Adjusted:</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Demographic</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Anthropometric</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Lifestyle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Medical History</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Biochemical Medication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Peripheral Artery Disease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De Meulemeester, 2024†*</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TITR</w:t>
                  </w:r>
                </w:p>
              </w:tc>
              <w:tc>
                <w:tcPr/>
                <w:p>
                  <w:pPr>
                    <w:pStyle w:val="Compact"/>
                    <w:jc w:val="center"/>
                  </w:pPr>
                  <w:r>
                    <w:t xml:space="preserve">OR: 0.680 (0.426, 1.085)</w:t>
                  </w:r>
                </w:p>
              </w:tc>
              <w:tc>
                <w:tcPr/>
                <w:p>
                  <w:pPr>
                    <w:pStyle w:val="Compact"/>
                    <w:jc w:val="center"/>
                    <w:jc w:val="center"/>
                  </w:pPr>
                  <w:r>
                    <w:t xml:space="preserve">p &gt; 0.05</w:t>
                  </w:r>
                </w:p>
              </w:tc>
              <w:tc>
                <w:tcPr/>
                <w:p>
                  <w:pPr>
                    <w:pStyle w:val="Compact"/>
                    <w:jc w:val="center"/>
                  </w:pPr>
                  <w:r>
                    <w:t xml:space="preserve">OR: 0.807 (0.382, 1.703)</w:t>
                  </w:r>
                </w:p>
              </w:tc>
              <w:tc>
                <w:tcPr/>
                <w:p>
                  <w:pPr>
                    <w:pStyle w:val="Compact"/>
                    <w:jc w:val="center"/>
                    <w:jc w:val="center"/>
                  </w:pPr>
                  <w:r>
                    <w:t xml:space="preserve">p &gt; 0.05</w:t>
                  </w:r>
                </w:p>
              </w:tc>
              <w:tc>
                <w:tcPr/>
                <w:p>
                  <w:pPr>
                    <w:pStyle w:val="Compact"/>
                    <w:jc w:val="center"/>
                  </w:pPr>
                  <w:r>
                    <w:t xml:space="preserve">Least Adjusted:</w:t>
                  </w:r>
                </w:p>
              </w:tc>
            </w:tr>
            <w:tr>
              <w:tc>
                <w:tcPr/>
                <w:p>
                  <w:pPr>
                    <w:pStyle w:val="Compact"/>
                    <w:jc w:val="center"/>
                  </w:pPr>
                  <w:r>
                    <w:t xml:space="preserve">   TIR</w:t>
                  </w:r>
                </w:p>
              </w:tc>
              <w:tc>
                <w:tcPr/>
                <w:p>
                  <w:pPr>
                    <w:pStyle w:val="Compact"/>
                    <w:jc w:val="center"/>
                  </w:pPr>
                  <w:r>
                    <w:t xml:space="preserve">OR: 0.736 (0.520, 1.042)</w:t>
                  </w:r>
                </w:p>
              </w:tc>
              <w:tc>
                <w:tcPr/>
                <w:p>
                  <w:pPr>
                    <w:pStyle w:val="Compact"/>
                    <w:jc w:val="center"/>
                    <w:jc w:val="center"/>
                  </w:pPr>
                  <w:r>
                    <w:t xml:space="preserve">p &gt; 0.05</w:t>
                  </w:r>
                </w:p>
              </w:tc>
              <w:tc>
                <w:tcPr/>
                <w:p>
                  <w:pPr>
                    <w:pStyle w:val="Compact"/>
                    <w:jc w:val="center"/>
                  </w:pPr>
                  <w:r>
                    <w:t xml:space="preserve">OR: 0.811 (0.470, 1.398)</w:t>
                  </w:r>
                </w:p>
              </w:tc>
              <w:tc>
                <w:tcPr/>
                <w:p>
                  <w:pPr>
                    <w:pStyle w:val="Compact"/>
                    <w:jc w:val="center"/>
                    <w:jc w:val="center"/>
                  </w:pPr>
                  <w:r>
                    <w:t xml:space="preserve">p &gt; 0.05</w:t>
                  </w:r>
                </w:p>
              </w:tc>
              <w:tc>
                <w:tcPr/>
                <w:p>
                  <w:pPr>
                    <w:pStyle w:val="Compact"/>
                    <w:jc w:val="center"/>
                  </w:pPr>
                  <w:r>
                    <w:t xml:space="preserve">  Unadjusted</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Most Adjusted:</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Demographic</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Anthropometric</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Lifestyle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Medical History</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Physiological</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Biochemical</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Medication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Lower extremity arterial disease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Li, 2020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TIR</w:t>
                  </w:r>
                </w:p>
              </w:tc>
              <w:tc>
                <w:tcPr/>
                <w:p>
                  <w:pPr>
                    <w:pStyle w:val="Compact"/>
                    <w:jc w:val="center"/>
                  </w:pPr>
                  <w:r>
                    <w:t xml:space="preserve">OR: 0.98 (0.97,0.99)</w:t>
                  </w:r>
                </w:p>
              </w:tc>
              <w:tc>
                <w:tcPr/>
                <w:p>
                  <w:pPr>
                    <w:pStyle w:val="Compact"/>
                    <w:jc w:val="center"/>
                    <w:jc w:val="center"/>
                  </w:pPr>
                  <w:r>
                    <w:t xml:space="preserve">p &lt; 0.001</w:t>
                  </w:r>
                </w:p>
              </w:tc>
              <w:tc>
                <w:tcPr/>
                <w:p>
                  <w:pPr>
                    <w:pStyle w:val="Compact"/>
                    <w:jc w:val="center"/>
                  </w:pPr>
                  <w:r>
                    <w:t xml:space="preserve">OR: 0.979 (0.97,0.99)</w:t>
                  </w:r>
                </w:p>
              </w:tc>
              <w:tc>
                <w:tcPr/>
                <w:p>
                  <w:pPr>
                    <w:pStyle w:val="Compact"/>
                    <w:jc w:val="center"/>
                    <w:jc w:val="center"/>
                  </w:pPr>
                  <w:r>
                    <w:t xml:space="preserve">0.002</w:t>
                  </w:r>
                </w:p>
              </w:tc>
              <w:tc>
                <w:tcPr/>
                <w:p>
                  <w:pPr>
                    <w:pStyle w:val="Compact"/>
                    <w:jc w:val="center"/>
                  </w:pPr>
                  <w:r>
                    <w:t xml:space="preserve">Least Adjusted:</w:t>
                  </w:r>
                </w:p>
              </w:tc>
            </w:tr>
            <w:tr>
              <w:tc>
                <w:tcPr/>
                <w:p>
                  <w:pPr>
                    <w:pStyle w:val="Compact"/>
                    <w:jc w:val="center"/>
                  </w:pPr>
                  <w:r>
                    <w:t xml:space="preserve">   CV</w:t>
                  </w:r>
                </w:p>
              </w:tc>
              <w:tc>
                <w:tcPr/>
                <w:p>
                  <w:pPr>
                    <w:pStyle w:val="Compact"/>
                    <w:jc w:val="center"/>
                  </w:pPr>
                  <w:r>
                    <w:t xml:space="preserve">OR: 1.04 (1.00,1.08)</w:t>
                  </w:r>
                </w:p>
              </w:tc>
              <w:tc>
                <w:tcPr/>
                <w:p>
                  <w:pPr>
                    <w:pStyle w:val="Compact"/>
                    <w:jc w:val="center"/>
                    <w:jc w:val="center"/>
                  </w:pPr>
                  <w:r>
                    <w:t xml:space="preserve">0.035</w:t>
                  </w:r>
                </w:p>
              </w:tc>
              <w:tc>
                <w:tcPr/>
                <w:p>
                  <w:pPr>
                    <w:pStyle w:val="Compact"/>
                    <w:jc w:val="center"/>
                  </w:pPr>
                  <w:r>
                    <w:t xml:space="preserve">OR: 1.04 (1.00,1.08)</w:t>
                  </w:r>
                </w:p>
              </w:tc>
              <w:tc>
                <w:tcPr/>
                <w:p>
                  <w:pPr>
                    <w:pStyle w:val="Compact"/>
                    <w:jc w:val="center"/>
                    <w:jc w:val="center"/>
                  </w:pPr>
                  <w:r>
                    <w:t xml:space="preserve">0.075</w:t>
                  </w:r>
                </w:p>
              </w:tc>
              <w:tc>
                <w:tcPr/>
                <w:p>
                  <w:pPr>
                    <w:pStyle w:val="Compact"/>
                    <w:jc w:val="center"/>
                  </w:pPr>
                  <w:r>
                    <w:t xml:space="preserve">  Unadjusted</w:t>
                  </w:r>
                </w:p>
              </w:tc>
            </w:tr>
            <w:tr>
              <w:tc>
                <w:tcPr/>
                <w:p>
                  <w:pPr>
                    <w:pStyle w:val="Compact"/>
                    <w:jc w:val="center"/>
                  </w:pPr>
                  <w:r>
                    <w:t xml:space="preserve">   SD</w:t>
                  </w:r>
                </w:p>
              </w:tc>
              <w:tc>
                <w:tcPr/>
                <w:p>
                  <w:pPr>
                    <w:pStyle w:val="Compact"/>
                    <w:jc w:val="center"/>
                  </w:pPr>
                  <w:r>
                    <w:t xml:space="preserve">OR: 1.33 (1.04,1.69)</w:t>
                  </w:r>
                </w:p>
              </w:tc>
              <w:tc>
                <w:tcPr/>
                <w:p>
                  <w:pPr>
                    <w:pStyle w:val="Compact"/>
                    <w:jc w:val="center"/>
                    <w:jc w:val="center"/>
                  </w:pPr>
                  <w:r>
                    <w:t xml:space="preserve">0.024</w:t>
                  </w:r>
                </w:p>
              </w:tc>
              <w:tc>
                <w:tcPr/>
                <w:p>
                  <w:pPr>
                    <w:pStyle w:val="Compact"/>
                    <w:jc w:val="center"/>
                  </w:pPr>
                  <w:r>
                    <w:t xml:space="preserve">OR: 1.16 (0.82,1.63)</w:t>
                  </w:r>
                </w:p>
              </w:tc>
              <w:tc>
                <w:tcPr/>
                <w:p>
                  <w:pPr>
                    <w:pStyle w:val="Compact"/>
                    <w:jc w:val="center"/>
                    <w:jc w:val="center"/>
                  </w:pPr>
                  <w:r>
                    <w:t xml:space="preserve">0.399</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Model 3:</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Demographic</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Anthropometric</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Lifestyle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Medical History</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Physiological</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Biochemical Medication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TIR -&gt; without LEAD</w:t>
                  </w:r>
                </w:p>
              </w:tc>
              <w:tc>
                <w:tcPr/>
                <w:p>
                  <w:pPr>
                    <w:pStyle w:val="Compact"/>
                    <w:jc w:val="center"/>
                  </w:pPr>
                  <w:r>
                    <w:t xml:space="preserve">OR: 1.00</w:t>
                  </w:r>
                </w:p>
              </w:tc>
              <w:tc>
                <w:tcPr/>
                <w:p>
                  <w:pPr>
                    <w:pStyle w:val="Compact"/>
                    <w:jc w:val="center"/>
                    <w:jc w:val="center"/>
                  </w:pPr>
                  <w:r>
                    <w:t xml:space="preserve">Reference</w:t>
                  </w:r>
                </w:p>
              </w:tc>
              <w:tc>
                <w:tcPr/>
                <w:p>
                  <w:pPr>
                    <w:pStyle w:val="Compact"/>
                    <w:jc w:val="center"/>
                  </w:pPr>
                  <w:r>
                    <w:t xml:space="preserve">OR: 1.00</w:t>
                  </w:r>
                </w:p>
              </w:tc>
              <w:tc>
                <w:tcPr/>
                <w:p>
                  <w:pPr>
                    <w:pStyle w:val="Compact"/>
                    <w:jc w:val="center"/>
                    <w:jc w:val="center"/>
                  </w:pPr>
                  <w:r>
                    <w:t xml:space="preserve">Reference</w:t>
                  </w:r>
                </w:p>
              </w:tc>
              <w:tc>
                <w:tcPr/>
                <w:p>
                  <w:pPr>
                    <w:pStyle w:val="Compact"/>
                    <w:jc w:val="center"/>
                  </w:pPr>
                  <w:r>
                    <w:t xml:space="preserve">Model 1:</w:t>
                  </w:r>
                </w:p>
              </w:tc>
            </w:tr>
            <w:tr>
              <w:tc>
                <w:tcPr/>
                <w:p>
                  <w:pPr>
                    <w:pStyle w:val="Compact"/>
                    <w:jc w:val="center"/>
                  </w:pPr>
                  <w:r>
                    <w:t xml:space="preserve">   TIR -&gt; mild LEAD</w:t>
                  </w:r>
                </w:p>
              </w:tc>
              <w:tc>
                <w:tcPr/>
                <w:p>
                  <w:pPr>
                    <w:pStyle w:val="Compact"/>
                    <w:jc w:val="center"/>
                  </w:pPr>
                  <w:r>
                    <w:t xml:space="preserve">OR: 0.98 (0.97,1.00)</w:t>
                  </w:r>
                </w:p>
              </w:tc>
              <w:tc>
                <w:tcPr/>
                <w:p>
                  <w:pPr>
                    <w:pStyle w:val="Compact"/>
                    <w:jc w:val="center"/>
                    <w:jc w:val="center"/>
                  </w:pPr>
                  <w:r>
                    <w:t xml:space="preserve">0.142</w:t>
                  </w:r>
                </w:p>
              </w:tc>
              <w:tc>
                <w:tcPr/>
                <w:p>
                  <w:pPr>
                    <w:pStyle w:val="Compact"/>
                    <w:jc w:val="center"/>
                  </w:pPr>
                  <w:r>
                    <w:t xml:space="preserve">OR: 0.99 (0.97,1.01)</w:t>
                  </w:r>
                </w:p>
              </w:tc>
              <w:tc>
                <w:tcPr/>
                <w:p>
                  <w:pPr>
                    <w:pStyle w:val="Compact"/>
                    <w:jc w:val="center"/>
                    <w:jc w:val="center"/>
                  </w:pPr>
                  <w:r>
                    <w:t xml:space="preserve">0.25</w:t>
                  </w:r>
                </w:p>
              </w:tc>
              <w:tc>
                <w:tcPr/>
                <w:p>
                  <w:pPr>
                    <w:pStyle w:val="Compact"/>
                    <w:jc w:val="center"/>
                  </w:pPr>
                  <w:r>
                    <w:t xml:space="preserve">  Demographic</w:t>
                  </w:r>
                </w:p>
              </w:tc>
            </w:tr>
            <w:tr>
              <w:tc>
                <w:tcPr/>
                <w:p>
                  <w:pPr>
                    <w:pStyle w:val="Compact"/>
                    <w:jc w:val="center"/>
                  </w:pPr>
                  <w:r>
                    <w:t xml:space="preserve">   TIR -&gt; moderate LEAD</w:t>
                  </w:r>
                </w:p>
              </w:tc>
              <w:tc>
                <w:tcPr/>
                <w:p>
                  <w:pPr>
                    <w:pStyle w:val="Compact"/>
                    <w:jc w:val="center"/>
                  </w:pPr>
                  <w:r>
                    <w:t xml:space="preserve">OR: 0.97 (0.95,0.99)</w:t>
                  </w:r>
                </w:p>
              </w:tc>
              <w:tc>
                <w:tcPr/>
                <w:p>
                  <w:pPr>
                    <w:pStyle w:val="Compact"/>
                    <w:jc w:val="center"/>
                    <w:jc w:val="center"/>
                  </w:pPr>
                  <w:r>
                    <w:t xml:space="preserve">0.007</w:t>
                  </w:r>
                </w:p>
              </w:tc>
              <w:tc>
                <w:tcPr/>
                <w:p>
                  <w:pPr>
                    <w:pStyle w:val="Compact"/>
                    <w:jc w:val="center"/>
                  </w:pPr>
                  <w:r>
                    <w:t xml:space="preserve">OR: 0.97 (0.95,0.99)</w:t>
                  </w:r>
                </w:p>
              </w:tc>
              <w:tc>
                <w:tcPr/>
                <w:p>
                  <w:pPr>
                    <w:pStyle w:val="Compact"/>
                    <w:jc w:val="center"/>
                    <w:jc w:val="center"/>
                  </w:pPr>
                  <w:r>
                    <w:t xml:space="preserve">0.013</w:t>
                  </w:r>
                </w:p>
              </w:tc>
              <w:tc>
                <w:tcPr/>
                <w:p>
                  <w:pPr>
                    <w:pStyle w:val="Compact"/>
                    <w:jc w:val="center"/>
                  </w:pPr>
                  <w:r>
                    <w:t xml:space="preserve">  Anthropometric</w:t>
                  </w:r>
                </w:p>
              </w:tc>
            </w:tr>
            <w:tr>
              <w:tc>
                <w:tcPr/>
                <w:p>
                  <w:pPr>
                    <w:pStyle w:val="Compact"/>
                    <w:jc w:val="center"/>
                  </w:pPr>
                  <w:r>
                    <w:t xml:space="preserve">   TIR -&gt; without severe</w:t>
                  </w:r>
                </w:p>
              </w:tc>
              <w:tc>
                <w:tcPr/>
                <w:p>
                  <w:pPr>
                    <w:pStyle w:val="Compact"/>
                    <w:jc w:val="center"/>
                  </w:pPr>
                  <w:r>
                    <w:t xml:space="preserve">OR: 0.96 (0.94,0.98)</w:t>
                  </w:r>
                </w:p>
              </w:tc>
              <w:tc>
                <w:tcPr/>
                <w:p>
                  <w:pPr>
                    <w:pStyle w:val="Compact"/>
                    <w:jc w:val="center"/>
                    <w:jc w:val="center"/>
                  </w:pPr>
                  <w:r>
                    <w:t xml:space="preserve">0.002</w:t>
                  </w:r>
                </w:p>
              </w:tc>
              <w:tc>
                <w:tcPr/>
                <w:p>
                  <w:pPr>
                    <w:pStyle w:val="Compact"/>
                    <w:jc w:val="center"/>
                  </w:pPr>
                  <w:r>
                    <w:t xml:space="preserve">OR: 0.96 (0.94,0.98)</w:t>
                  </w:r>
                </w:p>
              </w:tc>
              <w:tc>
                <w:tcPr/>
                <w:p>
                  <w:pPr>
                    <w:pStyle w:val="Compact"/>
                    <w:jc w:val="center"/>
                    <w:jc w:val="center"/>
                  </w:pPr>
                  <w:r>
                    <w:t xml:space="preserve">0.003</w:t>
                  </w:r>
                </w:p>
              </w:tc>
              <w:tc>
                <w:tcPr/>
                <w:p>
                  <w:pPr>
                    <w:pStyle w:val="Compact"/>
                    <w:jc w:val="center"/>
                  </w:pPr>
                  <w:r>
                    <w:t xml:space="preserve">  Medical History</w:t>
                  </w:r>
                </w:p>
              </w:tc>
            </w:tr>
            <w:tr>
              <w:tc>
                <w:tcPr/>
                <w:p>
                  <w:pPr>
                    <w:pStyle w:val="Compact"/>
                    <w:jc w:val="center"/>
                  </w:pPr>
                  <w:r>
                    <w:t xml:space="preserve">   CV -&gt; without LEAD</w:t>
                  </w:r>
                </w:p>
              </w:tc>
              <w:tc>
                <w:tcPr/>
                <w:p>
                  <w:pPr>
                    <w:pStyle w:val="Compact"/>
                    <w:jc w:val="center"/>
                  </w:pPr>
                  <w:r>
                    <w:t xml:space="preserve">N/A</w:t>
                  </w:r>
                </w:p>
              </w:tc>
              <w:tc>
                <w:tcPr/>
                <w:p>
                  <w:pPr>
                    <w:pStyle w:val="Compact"/>
                    <w:jc w:val="center"/>
                    <w:jc w:val="center"/>
                  </w:pPr>
                  <w:r>
                    <w:t xml:space="preserve">N/A</w:t>
                  </w:r>
                </w:p>
              </w:tc>
              <w:tc>
                <w:tcPr/>
                <w:p>
                  <w:pPr>
                    <w:pStyle w:val="Compact"/>
                    <w:jc w:val="center"/>
                  </w:pPr>
                  <w:r>
                    <w:t xml:space="preserve">OR: 1.00</w:t>
                  </w:r>
                </w:p>
              </w:tc>
              <w:tc>
                <w:tcPr/>
                <w:p>
                  <w:pPr>
                    <w:pStyle w:val="Compact"/>
                    <w:jc w:val="center"/>
                    <w:jc w:val="center"/>
                  </w:pPr>
                  <w:r>
                    <w:t xml:space="preserve">Reference</w:t>
                  </w:r>
                </w:p>
              </w:tc>
              <w:tc>
                <w:tcPr/>
                <w:p>
                  <w:pPr>
                    <w:pStyle w:val="Compact"/>
                    <w:jc w:val="center"/>
                  </w:pPr>
                  <w:r>
                    <w:t xml:space="preserve">  Physiological</w:t>
                  </w:r>
                </w:p>
              </w:tc>
            </w:tr>
            <w:tr>
              <w:tc>
                <w:tcPr/>
                <w:p>
                  <w:pPr>
                    <w:pStyle w:val="Compact"/>
                    <w:jc w:val="center"/>
                  </w:pPr>
                  <w:r>
                    <w:t xml:space="preserve">   CV -&gt; mild LEAD</w:t>
                  </w:r>
                </w:p>
              </w:tc>
              <w:tc>
                <w:tcPr/>
                <w:p>
                  <w:pPr>
                    <w:pStyle w:val="Compact"/>
                    <w:jc w:val="center"/>
                  </w:pPr>
                  <w:r>
                    <w:t xml:space="preserve">N/A</w:t>
                  </w:r>
                </w:p>
              </w:tc>
              <w:tc>
                <w:tcPr/>
                <w:p>
                  <w:pPr>
                    <w:pStyle w:val="Compact"/>
                    <w:jc w:val="center"/>
                    <w:jc w:val="center"/>
                  </w:pPr>
                  <w:r>
                    <w:t xml:space="preserve">N/A</w:t>
                  </w:r>
                </w:p>
              </w:tc>
              <w:tc>
                <w:tcPr/>
                <w:p>
                  <w:pPr>
                    <w:pStyle w:val="Compact"/>
                    <w:jc w:val="center"/>
                  </w:pPr>
                  <w:r>
                    <w:t xml:space="preserve">OR: 1.03 (0.98,1.07)</w:t>
                  </w:r>
                </w:p>
              </w:tc>
              <w:tc>
                <w:tcPr/>
                <w:p>
                  <w:pPr>
                    <w:pStyle w:val="Compact"/>
                    <w:jc w:val="center"/>
                    <w:jc w:val="center"/>
                  </w:pPr>
                  <w:r>
                    <w:t xml:space="preserve">0.28</w:t>
                  </w:r>
                </w:p>
              </w:tc>
              <w:tc>
                <w:tcPr/>
                <w:p>
                  <w:pPr>
                    <w:pStyle w:val="Compact"/>
                    <w:jc w:val="center"/>
                  </w:pPr>
                  <w:r>
                    <w:t xml:space="preserve">  Biochemical</w:t>
                  </w:r>
                </w:p>
              </w:tc>
            </w:tr>
            <w:tr>
              <w:tc>
                <w:tcPr/>
                <w:p>
                  <w:pPr>
                    <w:pStyle w:val="Compact"/>
                    <w:jc w:val="center"/>
                  </w:pPr>
                  <w:r>
                    <w:t xml:space="preserve">   CV -&gt; moderate LEAD</w:t>
                  </w:r>
                </w:p>
              </w:tc>
              <w:tc>
                <w:tcPr/>
                <w:p>
                  <w:pPr>
                    <w:pStyle w:val="Compact"/>
                    <w:jc w:val="center"/>
                  </w:pPr>
                  <w:r>
                    <w:t xml:space="preserve">N/A</w:t>
                  </w:r>
                </w:p>
              </w:tc>
              <w:tc>
                <w:tcPr/>
                <w:p>
                  <w:pPr>
                    <w:pStyle w:val="Compact"/>
                    <w:jc w:val="center"/>
                    <w:jc w:val="center"/>
                  </w:pPr>
                  <w:r>
                    <w:t xml:space="preserve">N/A</w:t>
                  </w:r>
                </w:p>
              </w:tc>
              <w:tc>
                <w:tcPr/>
                <w:p>
                  <w:pPr>
                    <w:pStyle w:val="Compact"/>
                    <w:jc w:val="center"/>
                  </w:pPr>
                  <w:r>
                    <w:t xml:space="preserve">OR: 1.02 (0.96,1.09)</w:t>
                  </w:r>
                </w:p>
              </w:tc>
              <w:tc>
                <w:tcPr/>
                <w:p>
                  <w:pPr>
                    <w:pStyle w:val="Compact"/>
                    <w:jc w:val="center"/>
                    <w:jc w:val="center"/>
                  </w:pPr>
                  <w:r>
                    <w:t xml:space="preserve">0.478</w:t>
                  </w:r>
                </w:p>
              </w:tc>
              <w:tc>
                <w:tcPr/>
                <w:p>
                  <w:pPr>
                    <w:pStyle w:val="Compact"/>
                  </w:pPr>
                </w:p>
              </w:tc>
            </w:tr>
            <w:tr>
              <w:tc>
                <w:tcPr/>
                <w:p>
                  <w:pPr>
                    <w:pStyle w:val="Compact"/>
                    <w:jc w:val="center"/>
                  </w:pPr>
                  <w:r>
                    <w:t xml:space="preserve">   CV -&gt; without severe</w:t>
                  </w:r>
                </w:p>
              </w:tc>
              <w:tc>
                <w:tcPr/>
                <w:p>
                  <w:pPr>
                    <w:pStyle w:val="Compact"/>
                    <w:jc w:val="center"/>
                  </w:pPr>
                  <w:r>
                    <w:t xml:space="preserve">N/A</w:t>
                  </w:r>
                </w:p>
              </w:tc>
              <w:tc>
                <w:tcPr/>
                <w:p>
                  <w:pPr>
                    <w:pStyle w:val="Compact"/>
                    <w:jc w:val="center"/>
                    <w:jc w:val="center"/>
                  </w:pPr>
                  <w:r>
                    <w:t xml:space="preserve">N/A</w:t>
                  </w:r>
                </w:p>
              </w:tc>
              <w:tc>
                <w:tcPr/>
                <w:p>
                  <w:pPr>
                    <w:pStyle w:val="Compact"/>
                    <w:jc w:val="center"/>
                  </w:pPr>
                  <w:r>
                    <w:t xml:space="preserve">OR: 1.02 (0.95,1.09)</w:t>
                  </w:r>
                </w:p>
              </w:tc>
              <w:tc>
                <w:tcPr/>
                <w:p>
                  <w:pPr>
                    <w:pStyle w:val="Compact"/>
                    <w:jc w:val="center"/>
                    <w:jc w:val="center"/>
                  </w:pPr>
                  <w:r>
                    <w:t xml:space="preserve">0.598</w:t>
                  </w:r>
                </w:p>
              </w:tc>
              <w:tc>
                <w:tcPr/>
                <w:p>
                  <w:pPr>
                    <w:pStyle w:val="Compact"/>
                    <w:jc w:val="center"/>
                  </w:pPr>
                  <w:r>
                    <w:t xml:space="preserve">Model 2:</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Demographic</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Anthropometric</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Medical History</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Physiological</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Biochemical</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SD metric</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TIR -&gt; without LEAD</w:t>
                  </w:r>
                </w:p>
              </w:tc>
              <w:tc>
                <w:tcPr/>
                <w:p>
                  <w:pPr>
                    <w:pStyle w:val="Compact"/>
                    <w:jc w:val="center"/>
                  </w:pPr>
                  <w:r>
                    <w:t xml:space="preserve">N/A</w:t>
                  </w:r>
                </w:p>
              </w:tc>
              <w:tc>
                <w:tcPr/>
                <w:p>
                  <w:pPr>
                    <w:pStyle w:val="Compact"/>
                    <w:jc w:val="center"/>
                    <w:jc w:val="center"/>
                  </w:pPr>
                  <w:r>
                    <w:t xml:space="preserve">N/A</w:t>
                  </w:r>
                </w:p>
              </w:tc>
              <w:tc>
                <w:tcPr/>
                <w:p>
                  <w:pPr>
                    <w:pStyle w:val="Compact"/>
                    <w:jc w:val="center"/>
                  </w:pPr>
                  <w:r>
                    <w:t xml:space="preserve">OR: 1.00</w:t>
                  </w:r>
                </w:p>
              </w:tc>
              <w:tc>
                <w:tcPr/>
                <w:p>
                  <w:pPr>
                    <w:pStyle w:val="Compact"/>
                    <w:jc w:val="center"/>
                    <w:jc w:val="center"/>
                  </w:pPr>
                  <w:r>
                    <w:t xml:space="preserve">Reference</w:t>
                  </w:r>
                </w:p>
              </w:tc>
              <w:tc>
                <w:tcPr/>
                <w:p>
                  <w:pPr>
                    <w:pStyle w:val="Compact"/>
                    <w:jc w:val="center"/>
                  </w:pPr>
                  <w:r>
                    <w:t xml:space="preserve">Model 3:</w:t>
                  </w:r>
                </w:p>
              </w:tc>
            </w:tr>
            <w:tr>
              <w:tc>
                <w:tcPr/>
                <w:p>
                  <w:pPr>
                    <w:pStyle w:val="Compact"/>
                    <w:jc w:val="center"/>
                  </w:pPr>
                  <w:r>
                    <w:t xml:space="preserve">   TIR -&gt; mild LEAD</w:t>
                  </w:r>
                </w:p>
              </w:tc>
              <w:tc>
                <w:tcPr/>
                <w:p>
                  <w:pPr>
                    <w:pStyle w:val="Compact"/>
                    <w:jc w:val="center"/>
                  </w:pPr>
                  <w:r>
                    <w:t xml:space="preserve">N/A</w:t>
                  </w:r>
                </w:p>
              </w:tc>
              <w:tc>
                <w:tcPr/>
                <w:p>
                  <w:pPr>
                    <w:pStyle w:val="Compact"/>
                    <w:jc w:val="center"/>
                    <w:jc w:val="center"/>
                  </w:pPr>
                  <w:r>
                    <w:t xml:space="preserve">N/A</w:t>
                  </w:r>
                </w:p>
              </w:tc>
              <w:tc>
                <w:tcPr/>
                <w:p>
                  <w:pPr>
                    <w:pStyle w:val="Compact"/>
                    <w:jc w:val="center"/>
                  </w:pPr>
                  <w:r>
                    <w:t xml:space="preserve">OR: 0.97 (0.96,1.08)</w:t>
                  </w:r>
                </w:p>
              </w:tc>
              <w:tc>
                <w:tcPr/>
                <w:p>
                  <w:pPr>
                    <w:pStyle w:val="Compact"/>
                    <w:jc w:val="center"/>
                    <w:jc w:val="center"/>
                  </w:pPr>
                  <w:r>
                    <w:t xml:space="preserve">0.06</w:t>
                  </w:r>
                </w:p>
              </w:tc>
              <w:tc>
                <w:tcPr/>
                <w:p>
                  <w:pPr>
                    <w:pStyle w:val="Compact"/>
                    <w:jc w:val="center"/>
                  </w:pPr>
                  <w:r>
                    <w:t xml:space="preserve">Demographic</w:t>
                  </w:r>
                </w:p>
              </w:tc>
            </w:tr>
            <w:tr>
              <w:tc>
                <w:tcPr/>
                <w:p>
                  <w:pPr>
                    <w:pStyle w:val="Compact"/>
                    <w:jc w:val="center"/>
                  </w:pPr>
                  <w:r>
                    <w:t xml:space="preserve">   TIR -&gt; moderate LEAD</w:t>
                  </w:r>
                </w:p>
              </w:tc>
              <w:tc>
                <w:tcPr/>
                <w:p>
                  <w:pPr>
                    <w:pStyle w:val="Compact"/>
                    <w:jc w:val="center"/>
                  </w:pPr>
                  <w:r>
                    <w:t xml:space="preserve">N/A</w:t>
                  </w:r>
                </w:p>
              </w:tc>
              <w:tc>
                <w:tcPr/>
                <w:p>
                  <w:pPr>
                    <w:pStyle w:val="Compact"/>
                    <w:jc w:val="center"/>
                    <w:jc w:val="center"/>
                  </w:pPr>
                  <w:r>
                    <w:t xml:space="preserve">N/A</w:t>
                  </w:r>
                </w:p>
              </w:tc>
              <w:tc>
                <w:tcPr/>
                <w:p>
                  <w:pPr>
                    <w:pStyle w:val="Compact"/>
                    <w:jc w:val="center"/>
                  </w:pPr>
                  <w:r>
                    <w:t xml:space="preserve">OR: 0.98 (0.95,0.99)</w:t>
                  </w:r>
                </w:p>
              </w:tc>
              <w:tc>
                <w:tcPr/>
                <w:p>
                  <w:pPr>
                    <w:pStyle w:val="Compact"/>
                    <w:jc w:val="center"/>
                    <w:jc w:val="center"/>
                  </w:pPr>
                  <w:r>
                    <w:t xml:space="preserve">0.013</w:t>
                  </w:r>
                </w:p>
              </w:tc>
              <w:tc>
                <w:tcPr/>
                <w:p>
                  <w:pPr>
                    <w:pStyle w:val="Compact"/>
                    <w:jc w:val="center"/>
                  </w:pPr>
                  <w:r>
                    <w:t xml:space="preserve">Anthropometric</w:t>
                  </w:r>
                </w:p>
              </w:tc>
            </w:tr>
            <w:tr>
              <w:tc>
                <w:tcPr/>
                <w:p>
                  <w:pPr>
                    <w:pStyle w:val="Compact"/>
                    <w:jc w:val="center"/>
                  </w:pPr>
                  <w:r>
                    <w:t xml:space="preserve">   TIR -&gt; without severe</w:t>
                  </w:r>
                </w:p>
              </w:tc>
              <w:tc>
                <w:tcPr/>
                <w:p>
                  <w:pPr>
                    <w:pStyle w:val="Compact"/>
                    <w:jc w:val="center"/>
                  </w:pPr>
                  <w:r>
                    <w:t xml:space="preserve">N/A</w:t>
                  </w:r>
                </w:p>
              </w:tc>
              <w:tc>
                <w:tcPr/>
                <w:p>
                  <w:pPr>
                    <w:pStyle w:val="Compact"/>
                    <w:jc w:val="center"/>
                    <w:jc w:val="center"/>
                  </w:pPr>
                  <w:r>
                    <w:t xml:space="preserve">N/A</w:t>
                  </w:r>
                </w:p>
              </w:tc>
              <w:tc>
                <w:tcPr/>
                <w:p>
                  <w:pPr>
                    <w:pStyle w:val="Compact"/>
                    <w:jc w:val="center"/>
                  </w:pPr>
                  <w:r>
                    <w:t xml:space="preserve">OR: 0.97 (0.95,0.99)</w:t>
                  </w:r>
                </w:p>
              </w:tc>
              <w:tc>
                <w:tcPr/>
                <w:p>
                  <w:pPr>
                    <w:pStyle w:val="Compact"/>
                    <w:jc w:val="center"/>
                    <w:jc w:val="center"/>
                  </w:pPr>
                  <w:r>
                    <w:t xml:space="preserve">0.024</w:t>
                  </w:r>
                </w:p>
              </w:tc>
              <w:tc>
                <w:tcPr/>
                <w:p>
                  <w:pPr>
                    <w:pStyle w:val="Compact"/>
                    <w:jc w:val="center"/>
                  </w:pPr>
                  <w:r>
                    <w:t xml:space="preserve">Medical History</w:t>
                  </w:r>
                </w:p>
              </w:tc>
            </w:tr>
            <w:tr>
              <w:tc>
                <w:tcPr/>
                <w:p>
                  <w:pPr>
                    <w:pStyle w:val="Compact"/>
                    <w:jc w:val="center"/>
                  </w:pPr>
                  <w:r>
                    <w:t xml:space="preserve">   SD -&gt; without LEAD</w:t>
                  </w:r>
                </w:p>
              </w:tc>
              <w:tc>
                <w:tcPr/>
                <w:p>
                  <w:pPr>
                    <w:pStyle w:val="Compact"/>
                    <w:jc w:val="center"/>
                  </w:pPr>
                  <w:r>
                    <w:t xml:space="preserve">N/A</w:t>
                  </w:r>
                </w:p>
              </w:tc>
              <w:tc>
                <w:tcPr/>
                <w:p>
                  <w:pPr>
                    <w:pStyle w:val="Compact"/>
                    <w:jc w:val="center"/>
                    <w:jc w:val="center"/>
                  </w:pPr>
                  <w:r>
                    <w:t xml:space="preserve">N/A</w:t>
                  </w:r>
                </w:p>
              </w:tc>
              <w:tc>
                <w:tcPr/>
                <w:p>
                  <w:pPr>
                    <w:pStyle w:val="Compact"/>
                    <w:jc w:val="center"/>
                  </w:pPr>
                  <w:r>
                    <w:t xml:space="preserve">OR: 1.00</w:t>
                  </w:r>
                </w:p>
              </w:tc>
              <w:tc>
                <w:tcPr/>
                <w:p>
                  <w:pPr>
                    <w:pStyle w:val="Compact"/>
                    <w:jc w:val="center"/>
                    <w:jc w:val="center"/>
                  </w:pPr>
                  <w:r>
                    <w:t xml:space="preserve">Reference</w:t>
                  </w:r>
                </w:p>
              </w:tc>
              <w:tc>
                <w:tcPr/>
                <w:p>
                  <w:pPr>
                    <w:pStyle w:val="Compact"/>
                    <w:jc w:val="center"/>
                  </w:pPr>
                  <w:r>
                    <w:t xml:space="preserve">Physiological</w:t>
                  </w:r>
                </w:p>
              </w:tc>
            </w:tr>
            <w:tr>
              <w:tc>
                <w:tcPr/>
                <w:p>
                  <w:pPr>
                    <w:pStyle w:val="Compact"/>
                    <w:jc w:val="center"/>
                  </w:pPr>
                  <w:r>
                    <w:t xml:space="preserve">   SD -&gt; mild LEAD</w:t>
                  </w:r>
                </w:p>
              </w:tc>
              <w:tc>
                <w:tcPr/>
                <w:p>
                  <w:pPr>
                    <w:pStyle w:val="Compact"/>
                    <w:jc w:val="center"/>
                  </w:pPr>
                  <w:r>
                    <w:t xml:space="preserve">N/A</w:t>
                  </w:r>
                </w:p>
              </w:tc>
              <w:tc>
                <w:tcPr/>
                <w:p>
                  <w:pPr>
                    <w:pStyle w:val="Compact"/>
                    <w:jc w:val="center"/>
                    <w:jc w:val="center"/>
                  </w:pPr>
                  <w:r>
                    <w:t xml:space="preserve">N/A</w:t>
                  </w:r>
                </w:p>
              </w:tc>
              <w:tc>
                <w:tcPr/>
                <w:p>
                  <w:pPr>
                    <w:pStyle w:val="Compact"/>
                    <w:jc w:val="center"/>
                  </w:pPr>
                  <w:r>
                    <w:t xml:space="preserve">OR: 0.88 (0.47,1.64)</w:t>
                  </w:r>
                </w:p>
              </w:tc>
              <w:tc>
                <w:tcPr/>
                <w:p>
                  <w:pPr>
                    <w:pStyle w:val="Compact"/>
                    <w:jc w:val="center"/>
                    <w:jc w:val="center"/>
                  </w:pPr>
                  <w:r>
                    <w:t xml:space="preserve">0.69</w:t>
                  </w:r>
                </w:p>
              </w:tc>
              <w:tc>
                <w:tcPr/>
                <w:p>
                  <w:pPr>
                    <w:pStyle w:val="Compact"/>
                    <w:jc w:val="center"/>
                  </w:pPr>
                  <w:r>
                    <w:t xml:space="preserve">Biochemical</w:t>
                  </w:r>
                </w:p>
              </w:tc>
            </w:tr>
            <w:tr>
              <w:tc>
                <w:tcPr/>
                <w:p>
                  <w:pPr>
                    <w:pStyle w:val="Compact"/>
                    <w:jc w:val="center"/>
                  </w:pPr>
                  <w:r>
                    <w:t xml:space="preserve">   SD -&gt; moderate LEAD</w:t>
                  </w:r>
                </w:p>
              </w:tc>
              <w:tc>
                <w:tcPr/>
                <w:p>
                  <w:pPr>
                    <w:pStyle w:val="Compact"/>
                    <w:jc w:val="center"/>
                  </w:pPr>
                  <w:r>
                    <w:t xml:space="preserve">N/A</w:t>
                  </w:r>
                </w:p>
              </w:tc>
              <w:tc>
                <w:tcPr/>
                <w:p>
                  <w:pPr>
                    <w:pStyle w:val="Compact"/>
                    <w:jc w:val="center"/>
                    <w:jc w:val="center"/>
                  </w:pPr>
                  <w:r>
                    <w:t xml:space="preserve">N/A</w:t>
                  </w:r>
                </w:p>
              </w:tc>
              <w:tc>
                <w:tcPr/>
                <w:p>
                  <w:pPr>
                    <w:pStyle w:val="Compact"/>
                    <w:jc w:val="center"/>
                  </w:pPr>
                  <w:r>
                    <w:t xml:space="preserve">OR: 1.28 (0.58,3.07)</w:t>
                  </w:r>
                </w:p>
              </w:tc>
              <w:tc>
                <w:tcPr/>
                <w:p>
                  <w:pPr>
                    <w:pStyle w:val="Compact"/>
                    <w:jc w:val="center"/>
                    <w:jc w:val="center"/>
                  </w:pPr>
                  <w:r>
                    <w:t xml:space="preserve">0.582</w:t>
                  </w:r>
                </w:p>
              </w:tc>
              <w:tc>
                <w:tcPr/>
                <w:p>
                  <w:pPr>
                    <w:pStyle w:val="Compact"/>
                    <w:jc w:val="center"/>
                  </w:pPr>
                  <w:r>
                    <w:t xml:space="preserve">CV metric</w:t>
                  </w:r>
                </w:p>
              </w:tc>
            </w:tr>
            <w:tr>
              <w:tc>
                <w:tcPr/>
                <w:p>
                  <w:pPr>
                    <w:pStyle w:val="Compact"/>
                    <w:jc w:val="center"/>
                  </w:pPr>
                  <w:r>
                    <w:t xml:space="preserve">   SD -&gt; without severe</w:t>
                  </w:r>
                </w:p>
              </w:tc>
              <w:tc>
                <w:tcPr/>
                <w:p>
                  <w:pPr>
                    <w:pStyle w:val="Compact"/>
                    <w:jc w:val="center"/>
                  </w:pPr>
                  <w:r>
                    <w:t xml:space="preserve">N/A</w:t>
                  </w:r>
                </w:p>
              </w:tc>
              <w:tc>
                <w:tcPr/>
                <w:p>
                  <w:pPr>
                    <w:pStyle w:val="Compact"/>
                    <w:jc w:val="center"/>
                    <w:jc w:val="center"/>
                  </w:pPr>
                  <w:r>
                    <w:t xml:space="preserve">N/A</w:t>
                  </w:r>
                </w:p>
              </w:tc>
              <w:tc>
                <w:tcPr/>
                <w:p>
                  <w:pPr>
                    <w:pStyle w:val="Compact"/>
                    <w:jc w:val="center"/>
                  </w:pPr>
                  <w:r>
                    <w:t xml:space="preserve">OR: 1.52 (0.92,2.41)</w:t>
                  </w:r>
                </w:p>
              </w:tc>
              <w:tc>
                <w:tcPr/>
                <w:p>
                  <w:pPr>
                    <w:pStyle w:val="Compact"/>
                    <w:jc w:val="center"/>
                    <w:jc w:val="center"/>
                  </w:pPr>
                  <w:r>
                    <w:t xml:space="preserve">0.1</w:t>
                  </w:r>
                </w:p>
              </w:tc>
              <w:tc>
                <w:tcPr/>
                <w:p>
                  <w:pPr>
                    <w:pStyle w:val="Compact"/>
                  </w:pPr>
                </w:p>
              </w:tc>
            </w:tr>
          </w:tbl>
          <w:bookmarkEnd w:id="450"/>
          <w:p/>
        </w:tc>
      </w:tr>
    </w:tbl>
    <w:p>
      <w:pPr>
        <w:sectPr>
          <w:pgSz w:h="11906" w:w="16838" w:orient="landscape"/>
        </w:sectPr>
      </w:pPr>
    </w:p>
    <w:p>
      <w:pPr>
        <w:sectPr/>
      </w:pPr>
    </w:p>
    <w:tbl>
      <w:tblPr>
        <w:tblStyle w:val="Table"/>
        <w:tblW w:type="pct" w:w="5000"/>
        <w:tblLayout w:type="fixed"/>
        <w:tblLook w:firstRow="0" w:lastRow="0" w:firstColumn="0" w:lastColumn="0" w:noHBand="0" w:noVBand="0" w:val="0000"/>
      </w:tblPr>
      <w:tblGrid>
        <w:gridCol w:w="7920"/>
      </w:tblGrid>
      <w:tr>
        <w:tc>
          <w:tcPr/>
          <w:bookmarkStart w:id="451" w:name="tbl-main-subclinical-findings"/>
          <w:p>
            <w:pPr>
              <w:jc w:val="center"/>
            </w:pPr>
            <w:pPr>
              <w:jc w:val="left"/>
              <w:spacing w:before="200"/>
              <w:pStyle w:val="ImageCaption"/>
            </w:pPr>
            <w:r>
              <w:t xml:space="preserve">Table D.4: Main findings of the included studies on subclinical cardiovascular outcomes.</w:t>
            </w:r>
          </w:p>
          <w:tbl>
            <w:tblPr>
              <w:tblStyle w:val="Table"/>
              <w:tblW w:type="pct" w:w="5000"/>
              <w:tblLayout w:type="fixed"/>
              <w:tblLook w:firstRow="1" w:lastRow="0" w:firstColumn="0" w:lastColumn="0" w:noHBand="0" w:noVBand="0" w:val="0020"/>
            </w:tblPr>
            <w:tblGrid>
              <w:gridCol w:w="1980"/>
              <w:gridCol w:w="1980"/>
              <w:gridCol w:w="396"/>
              <w:gridCol w:w="396"/>
              <w:gridCol w:w="396"/>
              <w:gridCol w:w="396"/>
              <w:gridCol w:w="396"/>
              <w:gridCol w:w="396"/>
              <w:gridCol w:w="396"/>
              <w:gridCol w:w="396"/>
              <w:gridCol w:w="792"/>
            </w:tblGrid>
            <w:tr>
              <w:trPr>
                <w:tblHeader w:val="on"/>
              </w:trPr>
              <w:tc>
                <w:tcPr/>
                <w:p>
                  <w:pPr>
                    <w:pStyle w:val="Compact"/>
                    <w:jc w:val="center"/>
                  </w:pPr>
                  <w:r>
                    <w:t xml:space="preserve">Author, year</w:t>
                  </w:r>
                </w:p>
              </w:tc>
              <w:tc>
                <w:tcPr/>
                <w:p>
                  <w:pPr>
                    <w:pStyle w:val="Compact"/>
                    <w:jc w:val="center"/>
                  </w:pPr>
                  <w:r>
                    <w:t xml:space="preserve">Outcomes</w:t>
                  </w:r>
                </w:p>
              </w:tc>
              <w:tc>
                <w:tcPr/>
                <w:p>
                  <w:pPr>
                    <w:pStyle w:val="Compact"/>
                    <w:jc w:val="center"/>
                  </w:pPr>
                  <w:r>
                    <w:t xml:space="preserve">MBG</w:t>
                  </w:r>
                </w:p>
              </w:tc>
              <w:tc>
                <w:tcPr/>
                <w:p>
                  <w:pPr>
                    <w:pStyle w:val="Compact"/>
                    <w:jc w:val="center"/>
                  </w:pPr>
                  <w:r>
                    <w:t xml:space="preserve">CV</w:t>
                  </w:r>
                </w:p>
              </w:tc>
              <w:tc>
                <w:tcPr/>
                <w:p>
                  <w:pPr>
                    <w:pStyle w:val="Compact"/>
                    <w:jc w:val="center"/>
                  </w:pPr>
                  <w:r>
                    <w:t xml:space="preserve">SD</w:t>
                  </w:r>
                </w:p>
              </w:tc>
              <w:tc>
                <w:tcPr/>
                <w:p>
                  <w:pPr>
                    <w:pStyle w:val="Compact"/>
                    <w:jc w:val="center"/>
                  </w:pPr>
                  <w:r>
                    <w:t xml:space="preserve">TIR</w:t>
                  </w:r>
                </w:p>
              </w:tc>
              <w:tc>
                <w:tcPr/>
                <w:p>
                  <w:pPr>
                    <w:pStyle w:val="Compact"/>
                    <w:jc w:val="center"/>
                  </w:pPr>
                  <w:r>
                    <w:t xml:space="preserve">TBR</w:t>
                  </w:r>
                </w:p>
              </w:tc>
              <w:tc>
                <w:tcPr/>
                <w:p>
                  <w:pPr>
                    <w:pStyle w:val="Compact"/>
                    <w:jc w:val="center"/>
                  </w:pPr>
                  <w:r>
                    <w:t xml:space="preserve">TAR</w:t>
                  </w:r>
                </w:p>
              </w:tc>
              <w:tc>
                <w:tcPr/>
                <w:p>
                  <w:pPr>
                    <w:pStyle w:val="Compact"/>
                    <w:jc w:val="center"/>
                  </w:pPr>
                  <w:r>
                    <w:t xml:space="preserve">MAGE</w:t>
                  </w:r>
                </w:p>
              </w:tc>
              <w:tc>
                <w:tcPr/>
                <w:p>
                  <w:pPr>
                    <w:pStyle w:val="Compact"/>
                    <w:jc w:val="center"/>
                  </w:pPr>
                  <w:r>
                    <w:t xml:space="preserve">MODD</w:t>
                  </w:r>
                </w:p>
              </w:tc>
              <w:tc>
                <w:tcPr/>
                <w:p>
                  <w:pPr>
                    <w:pStyle w:val="Compact"/>
                    <w:jc w:val="center"/>
                  </w:pPr>
                  <w:r>
                    <w:t xml:space="preserve">Other</w:t>
                  </w:r>
                </w:p>
              </w:tc>
            </w:tr>
            <w:tr>
              <w:tc>
                <w:tcPr/>
                <w:p>
                  <w:pPr>
                    <w:pStyle w:val="Compact"/>
                    <w:jc w:val="center"/>
                  </w:pPr>
                  <w:r>
                    <w:rPr>
                      <w:b/>
                      <w:bCs/>
                    </w:rPr>
                    <w:t xml:space="preserve">Arterial stiffness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w:t>
                  </w:r>
                  <w:r>
                    <w:t xml:space="preserve">Morandi, 2023*</w:t>
                  </w:r>
                </w:p>
              </w:tc>
              <w:tc>
                <w:tcPr/>
                <w:p>
                  <w:pPr>
                    <w:pStyle w:val="Compact"/>
                    <w:jc w:val="center"/>
                  </w:pPr>
                  <w:r>
                    <w:t xml:space="preserve">cf-PWV</w:t>
                  </w: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jc w:val="center"/>
                  </w:pPr>
                  <w:r>
                    <w:t xml:space="preserve">CONGA</w:t>
                  </w:r>
                </w:p>
              </w:tc>
            </w:tr>
            <w:tr>
              <w:tc>
                <w:tcPr/>
                <w:p>
                  <w:pPr>
                    <w:pStyle w:val="Compact"/>
                    <w:jc w:val="center"/>
                  </w:pPr>
                  <w:r>
                    <w:t xml:space="preserve"> </w:t>
                  </w:r>
                  <w:r>
                    <w:t xml:space="preserve">Helleputte, 2022</w:t>
                  </w:r>
                </w:p>
              </w:tc>
              <w:tc>
                <w:tcPr/>
                <w:p>
                  <w:pPr>
                    <w:pStyle w:val="Compact"/>
                    <w:jc w:val="center"/>
                  </w:pPr>
                  <w:r>
                    <w:t xml:space="preserve">cf-PWV</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r>
            <w:tr>
              <w:tc>
                <w:tcPr/>
                <w:p>
                  <w:pPr>
                    <w:pStyle w:val="Compact"/>
                    <w:jc w:val="center"/>
                  </w:pPr>
                  <w:r>
                    <w:t xml:space="preserve"> </w:t>
                  </w:r>
                  <w:r>
                    <w:t xml:space="preserve">Foreman, 2021*</w:t>
                  </w:r>
                </w:p>
              </w:tc>
              <w:tc>
                <w:tcPr/>
                <w:p>
                  <w:pPr>
                    <w:pStyle w:val="Compact"/>
                    <w:jc w:val="center"/>
                  </w:pPr>
                  <w:r>
                    <w:t xml:space="preserve">cf-PWV</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w:t>
                  </w:r>
                  <w:r>
                    <w:t xml:space="preserve">Pulkkinen, 2020*</w:t>
                  </w:r>
                </w:p>
              </w:tc>
              <w:tc>
                <w:tcPr/>
                <w:p>
                  <w:pPr>
                    <w:pStyle w:val="Compact"/>
                    <w:jc w:val="center"/>
                  </w:pPr>
                  <w:r>
                    <w:t xml:space="preserve">cf-PWV</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t xml:space="preserve">cr-PWV</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w:t>
                  </w:r>
                  <w:r>
                    <w:t xml:space="preserve">Torimoto, 2025*33</w:t>
                  </w:r>
                </w:p>
              </w:tc>
              <w:tc>
                <w:tcPr/>
                <w:p>
                  <w:pPr>
                    <w:pStyle w:val="Compact"/>
                    <w:jc w:val="center"/>
                  </w:pPr>
                  <w:r>
                    <w:t xml:space="preserve">ba-PWV</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GRI</w:t>
                  </w:r>
                </w:p>
              </w:tc>
            </w:tr>
            <w:tr>
              <w:tc>
                <w:tcPr/>
                <w:p>
                  <w:pPr>
                    <w:pStyle w:val="Compact"/>
                    <w:jc w:val="center"/>
                  </w:pPr>
                  <w:r>
                    <w:t xml:space="preserve"> </w:t>
                  </w:r>
                  <w:r>
                    <w:t xml:space="preserve">Cai, 2024</w:t>
                  </w:r>
                </w:p>
              </w:tc>
              <w:tc>
                <w:tcPr/>
                <w:p>
                  <w:pPr>
                    <w:pStyle w:val="Compact"/>
                    <w:jc w:val="center"/>
                  </w:pPr>
                  <w:r>
                    <w:t xml:space="preserve">ba-PWV</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GRI</w:t>
                  </w:r>
                </w:p>
              </w:tc>
            </w:tr>
            <w:tr>
              <w:tc>
                <w:tcPr/>
                <w:p>
                  <w:pPr>
                    <w:pStyle w:val="Compact"/>
                    <w:jc w:val="center"/>
                  </w:pPr>
                  <w:r>
                    <w:t xml:space="preserve"> </w:t>
                  </w:r>
                  <w:r>
                    <w:t xml:space="preserve">Zhou, 2022</w:t>
                  </w:r>
                </w:p>
              </w:tc>
              <w:tc>
                <w:tcPr/>
                <w:p>
                  <w:pPr>
                    <w:pStyle w:val="Compact"/>
                    <w:jc w:val="center"/>
                  </w:pPr>
                  <w:r>
                    <w:t xml:space="preserve">High ba-PWV ≥ 1800 cm/s Low ba-PWV</w:t>
                  </w: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w:t>
                  </w:r>
                  <w:r>
                    <w:t xml:space="preserve">Wakasugi, 2021</w:t>
                  </w:r>
                </w:p>
              </w:tc>
              <w:tc>
                <w:tcPr/>
                <w:p>
                  <w:pPr>
                    <w:pStyle w:val="Compact"/>
                    <w:jc w:val="center"/>
                  </w:pPr>
                  <w:r>
                    <w:t xml:space="preserve">ba-PWV</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HBGI, LBGI, IQR</w:t>
                  </w:r>
                </w:p>
              </w:tc>
            </w:tr>
            <w:tr>
              <w:tc>
                <w:tcPr/>
                <w:p>
                  <w:pPr>
                    <w:pStyle w:val="Compact"/>
                  </w:pPr>
                </w:p>
              </w:tc>
              <w:tc>
                <w:tcPr/>
                <w:p>
                  <w:pPr>
                    <w:pStyle w:val="Compact"/>
                    <w:jc w:val="center"/>
                  </w:pPr>
                  <w:r>
                    <w:t xml:space="preserve">High ba-PWV ≥ 1800 cm/s</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 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HBGI, LBGI, IQR</w:t>
                  </w:r>
                </w:p>
              </w:tc>
            </w:tr>
            <w:tr>
              <w:tc>
                <w:tcPr/>
                <w:p>
                  <w:pPr>
                    <w:pStyle w:val="Compact"/>
                    <w:jc w:val="center"/>
                  </w:pPr>
                  <w:r>
                    <w:t xml:space="preserve"> </w:t>
                  </w:r>
                  <w:r>
                    <w:t xml:space="preserve">Yano, 2013*</w:t>
                  </w:r>
                </w:p>
              </w:tc>
              <w:tc>
                <w:tcPr/>
                <w:p>
                  <w:pPr>
                    <w:pStyle w:val="Compact"/>
                    <w:jc w:val="center"/>
                  </w:pPr>
                  <w:r>
                    <w:t xml:space="preserve">ba-PWV</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PPGE</w:t>
                  </w:r>
                </w:p>
              </w:tc>
            </w:tr>
            <w:tr>
              <w:tc>
                <w:tcPr/>
                <w:p>
                  <w:pPr>
                    <w:pStyle w:val="Compact"/>
                    <w:jc w:val="center"/>
                  </w:pPr>
                  <w:r>
                    <w:t xml:space="preserve"> </w:t>
                  </w:r>
                  <w:r>
                    <w:t xml:space="preserve">Georeli, 2024</w:t>
                  </w:r>
                </w:p>
              </w:tc>
              <w:tc>
                <w:tcPr/>
                <w:p>
                  <w:pPr>
                    <w:pStyle w:val="Compact"/>
                    <w:jc w:val="center"/>
                  </w:pPr>
                  <w:r>
                    <w:t xml:space="preserve">PWV</w:t>
                  </w: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jc w:val="center"/>
                  </w:pPr>
                  <w:r>
                    <w:t xml:space="preserve"> </w:t>
                  </w:r>
                  <w:r>
                    <w:t xml:space="preserve">Gordin, 2008*</w:t>
                  </w:r>
                </w:p>
              </w:tc>
              <w:tc>
                <w:tcPr/>
                <w:p>
                  <w:pPr>
                    <w:pStyle w:val="Compact"/>
                    <w:jc w:val="center"/>
                  </w:pPr>
                  <w:r>
                    <w:t xml:space="preserve">Aortic PWV</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r>
            <w:tr>
              <w:tc>
                <w:tcPr/>
                <w:p>
                  <w:pPr>
                    <w:pStyle w:val="Compact"/>
                    <w:jc w:val="center"/>
                  </w:pPr>
                  <w:r>
                    <w:t xml:space="preserve"> </w:t>
                  </w:r>
                  <w:r>
                    <w:t xml:space="preserve">Gordin, 2008*</w:t>
                  </w:r>
                </w:p>
              </w:tc>
              <w:tc>
                <w:tcPr/>
                <w:p>
                  <w:pPr>
                    <w:pStyle w:val="Compact"/>
                    <w:jc w:val="center"/>
                  </w:pPr>
                  <w:r>
                    <w:t xml:space="preserve">Augmentation index</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r>
            <w:tr>
              <w:tc>
                <w:tcPr/>
                <w:p>
                  <w:pPr>
                    <w:pStyle w:val="Compact"/>
                    <w:jc w:val="center"/>
                  </w:pPr>
                  <w:r>
                    <w:t xml:space="preserve"> </w:t>
                  </w:r>
                  <w:r>
                    <w:t xml:space="preserve">Cesana, 2013*</w:t>
                  </w:r>
                </w:p>
              </w:tc>
              <w:tc>
                <w:tcPr/>
                <w:p>
                  <w:pPr>
                    <w:pStyle w:val="Compact"/>
                    <w:jc w:val="center"/>
                  </w:pPr>
                  <w:r>
                    <w:t xml:space="preserve">Carotid artery distensibility</w:t>
                  </w: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r>
            <w:tr>
              <w:tc>
                <w:tcPr/>
                <w:p>
                  <w:pPr>
                    <w:pStyle w:val="Compact"/>
                    <w:jc w:val="center"/>
                  </w:pPr>
                  <w:r>
                    <w:t xml:space="preserve"> </w:t>
                  </w:r>
                  <w:r>
                    <w:t xml:space="preserve">Foreman, 2021*</w:t>
                  </w:r>
                </w:p>
              </w:tc>
              <w:tc>
                <w:tcPr/>
                <w:p>
                  <w:pPr>
                    <w:pStyle w:val="Compact"/>
                    <w:jc w:val="center"/>
                  </w:pPr>
                  <w:r>
                    <w:t xml:space="preserve">Carotid distensibility coefficient</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Flow resistance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w:t>
                  </w:r>
                  <w:r>
                    <w:t xml:space="preserve">Cutruzzola, 2022*</w:t>
                  </w:r>
                </w:p>
              </w:tc>
              <w:tc>
                <w:tcPr/>
                <w:p>
                  <w:pPr>
                    <w:pStyle w:val="Compact"/>
                    <w:jc w:val="center"/>
                  </w:pPr>
                  <w:r>
                    <w:t xml:space="preserve">FMD</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jc w:val="center"/>
                  </w:pPr>
                  <w:r>
                    <w:t xml:space="preserve"> </w:t>
                  </w:r>
                  <w:r>
                    <w:t xml:space="preserve">Zhang, 2014</w:t>
                  </w:r>
                </w:p>
              </w:tc>
              <w:tc>
                <w:tcPr/>
                <w:p>
                  <w:pPr>
                    <w:pStyle w:val="Compact"/>
                    <w:jc w:val="center"/>
                  </w:pPr>
                  <w:r>
                    <w:t xml:space="preserve">FMD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r>
            <w:tr>
              <w:tc>
                <w:tcPr/>
                <w:p>
                  <w:pPr>
                    <w:pStyle w:val="Compact"/>
                    <w:jc w:val="center"/>
                  </w:pPr>
                  <w:r>
                    <w:t xml:space="preserve"> </w:t>
                  </w:r>
                  <w:r>
                    <w:t xml:space="preserve">Pena, 2012</w:t>
                  </w:r>
                </w:p>
              </w:tc>
              <w:tc>
                <w:tcPr/>
                <w:p>
                  <w:pPr>
                    <w:pStyle w:val="Compact"/>
                    <w:jc w:val="center"/>
                  </w:pPr>
                  <w:r>
                    <w:t xml:space="preserve">FMD</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jc w:val="center"/>
                  </w:pPr>
                  <w:r>
                    <w:t xml:space="preserve">Hypoglycemia, LBGI</w:t>
                  </w:r>
                </w:p>
              </w:tc>
            </w:tr>
            <w:tr>
              <w:tc>
                <w:tcPr/>
                <w:p>
                  <w:pPr>
                    <w:pStyle w:val="Compact"/>
                    <w:jc w:val="center"/>
                  </w:pPr>
                  <w:r>
                    <w:t xml:space="preserve"> </w:t>
                  </w:r>
                  <w:r>
                    <w:t xml:space="preserve">Gimenez, 2011*</w:t>
                  </w:r>
                </w:p>
              </w:tc>
              <w:tc>
                <w:tcPr/>
                <w:p>
                  <w:pPr>
                    <w:pStyle w:val="Compact"/>
                    <w:jc w:val="center"/>
                  </w:pPr>
                  <w:r>
                    <w:t xml:space="preserve">FMD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r>
            <w:tr>
              <w:tc>
                <w:tcPr/>
                <w:p>
                  <w:pPr>
                    <w:pStyle w:val="Compact"/>
                    <w:jc w:val="center"/>
                  </w:pPr>
                  <w:r>
                    <w:t xml:space="preserve"> </w:t>
                  </w:r>
                  <w:r>
                    <w:t xml:space="preserve">Buscemi, 2010*5</w:t>
                  </w:r>
                </w:p>
              </w:tc>
              <w:tc>
                <w:tcPr/>
                <w:p>
                  <w:pPr>
                    <w:pStyle w:val="Compact"/>
                    <w:jc w:val="center"/>
                  </w:pPr>
                  <w:r>
                    <w:t xml:space="preserve">FMD</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AUC X</w:t>
                  </w:r>
                </w:p>
              </w:tc>
            </w:tr>
            <w:tr>
              <w:tc>
                <w:tcPr/>
                <w:p>
                  <w:pPr>
                    <w:pStyle w:val="Compact"/>
                    <w:jc w:val="center"/>
                  </w:pPr>
                  <w:r>
                    <w:t xml:space="preserve"> </w:t>
                  </w:r>
                  <w:r>
                    <w:t xml:space="preserve">Foreman, 2021*</w:t>
                  </w:r>
                </w:p>
              </w:tc>
              <w:tc>
                <w:tcPr/>
                <w:p>
                  <w:pPr>
                    <w:pStyle w:val="Compact"/>
                    <w:jc w:val="center"/>
                  </w:pPr>
                  <w:r>
                    <w:t xml:space="preserve">ABI</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 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w:t>
                  </w:r>
                  <w:r>
                    <w:t xml:space="preserve">Wei, 2022</w:t>
                  </w:r>
                </w:p>
              </w:tc>
              <w:tc>
                <w:tcPr/>
                <w:p>
                  <w:pPr>
                    <w:pStyle w:val="Compact"/>
                    <w:jc w:val="center"/>
                  </w:pPr>
                  <w:r>
                    <w:t xml:space="preserve">ABI ≤ 0.9 ABI ≥ 1.3</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M-value, ADRR</w:t>
                  </w:r>
                </w:p>
              </w:tc>
            </w:tr>
            <w:tr>
              <w:tc>
                <w:tcPr/>
                <w:p>
                  <w:pPr>
                    <w:pStyle w:val="Compact"/>
                    <w:jc w:val="center"/>
                  </w:pPr>
                  <w:r>
                    <w:t xml:space="preserve"> </w:t>
                  </w:r>
                  <w:r>
                    <w:t xml:space="preserve">Zhang, 2020</w:t>
                  </w:r>
                </w:p>
              </w:tc>
              <w:tc>
                <w:tcPr/>
                <w:p>
                  <w:pPr>
                    <w:pStyle w:val="Compact"/>
                    <w:jc w:val="center"/>
                  </w:pPr>
                  <w:r>
                    <w:t xml:space="preserve">ABI</w:t>
                  </w: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LAGE X</w:t>
                  </w:r>
                </w:p>
              </w:tc>
            </w:tr>
            <w:tr>
              <w:tc>
                <w:tcPr/>
                <w:p>
                  <w:pPr>
                    <w:pStyle w:val="Compact"/>
                    <w:jc w:val="center"/>
                  </w:pPr>
                  <w:r>
                    <w:t xml:space="preserve"> </w:t>
                  </w:r>
                  <w:r>
                    <w:t xml:space="preserve">Hoffman, 2013</w:t>
                  </w:r>
                </w:p>
              </w:tc>
              <w:tc>
                <w:tcPr/>
                <w:p>
                  <w:pPr>
                    <w:pStyle w:val="Compact"/>
                    <w:jc w:val="center"/>
                  </w:pPr>
                  <w:r>
                    <w:t xml:space="preserve">Forearm vascular resistance</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t xml:space="preserve">Forearm Blood Flow</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Arterial wall thickness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w:t>
                  </w:r>
                  <w:r>
                    <w:t xml:space="preserve">Bergdahl, 2025</w:t>
                  </w:r>
                </w:p>
              </w:tc>
              <w:tc>
                <w:tcPr/>
                <w:p>
                  <w:pPr>
                    <w:pStyle w:val="Compact"/>
                    <w:jc w:val="center"/>
                  </w:pPr>
                  <w:r>
                    <w:t xml:space="preserve">intima thickness, media thickness, and IMT of the radial, dorsal pedal, and carotid arteries.</w:t>
                  </w: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TITR</w:t>
                  </w:r>
                </w:p>
              </w:tc>
            </w:tr>
            <w:tr>
              <w:tc>
                <w:tcPr/>
                <w:p>
                  <w:pPr>
                    <w:pStyle w:val="Compact"/>
                    <w:jc w:val="center"/>
                  </w:pPr>
                  <w:r>
                    <w:t xml:space="preserve"> </w:t>
                  </w:r>
                  <w:r>
                    <w:t xml:space="preserve">Pulkkinen, 2020*</w:t>
                  </w:r>
                </w:p>
              </w:tc>
              <w:tc>
                <w:tcPr/>
                <w:p>
                  <w:pPr>
                    <w:pStyle w:val="Compact"/>
                    <w:jc w:val="center"/>
                  </w:pPr>
                  <w:r>
                    <w:t xml:space="preserve">Femoral IMT</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w:t>
                  </w:r>
                  <w:r>
                    <w:t xml:space="preserve">Lu, 2020*</w:t>
                  </w:r>
                </w:p>
              </w:tc>
              <w:tc>
                <w:tcPr/>
                <w:p>
                  <w:pPr>
                    <w:pStyle w:val="Compact"/>
                    <w:jc w:val="center"/>
                  </w:pPr>
                  <w:r>
                    <w:t xml:space="preserve">CCA-IMT</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r>
            <w:tr>
              <w:tc>
                <w:tcPr/>
                <w:p>
                  <w:pPr>
                    <w:pStyle w:val="Compact"/>
                    <w:jc w:val="center"/>
                  </w:pPr>
                  <w:r>
                    <w:t xml:space="preserve"> </w:t>
                  </w:r>
                  <w:r>
                    <w:t xml:space="preserve">Yano, 2013*</w:t>
                  </w:r>
                </w:p>
              </w:tc>
              <w:tc>
                <w:tcPr/>
                <w:p>
                  <w:pPr>
                    <w:pStyle w:val="Compact"/>
                    <w:jc w:val="center"/>
                  </w:pPr>
                  <w:r>
                    <w:t xml:space="preserve">CCA-IMT</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w:t>
                  </w:r>
                  <w:r>
                    <w:t xml:space="preserve">Taya, 2021*</w:t>
                  </w:r>
                </w:p>
              </w:tc>
              <w:tc>
                <w:tcPr/>
                <w:p>
                  <w:pPr>
                    <w:pStyle w:val="Compact"/>
                    <w:jc w:val="center"/>
                  </w:pPr>
                  <w:r>
                    <w:t xml:space="preserve">CCA-max-IMT</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Median, IQR, HBGI, LBGI</w:t>
                  </w:r>
                </w:p>
              </w:tc>
            </w:tr>
            <w:tr>
              <w:tc>
                <w:tcPr/>
                <w:p>
                  <w:pPr>
                    <w:pStyle w:val="Compact"/>
                    <w:jc w:val="center"/>
                  </w:pPr>
                  <w:r>
                    <w:t xml:space="preserve"> </w:t>
                  </w:r>
                  <w:r>
                    <w:t xml:space="preserve">Mita, 2023*</w:t>
                  </w:r>
                </w:p>
              </w:tc>
              <w:tc>
                <w:tcPr/>
                <w:p>
                  <w:pPr>
                    <w:pStyle w:val="Compact"/>
                    <w:jc w:val="center"/>
                  </w:pPr>
                  <w:r>
                    <w:t xml:space="preserve">CCA-max-IMT change</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jc w:val="center"/>
                  </w:pPr>
                  <w:r>
                    <w:t xml:space="preserve"> </w:t>
                  </w:r>
                  <w:r>
                    <w:t xml:space="preserve">Torimoto, 2025*</w:t>
                  </w:r>
                </w:p>
              </w:tc>
              <w:tc>
                <w:tcPr/>
                <w:p>
                  <w:pPr>
                    <w:pStyle w:val="Compact"/>
                    <w:jc w:val="center"/>
                  </w:pPr>
                  <w:r>
                    <w:t xml:space="preserve">mean CIMT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GRI</w:t>
                  </w:r>
                </w:p>
              </w:tc>
            </w:tr>
            <w:tr>
              <w:tc>
                <w:tcPr/>
                <w:p>
                  <w:pPr>
                    <w:pStyle w:val="Compact"/>
                    <w:jc w:val="center"/>
                  </w:pPr>
                  <w:r>
                    <w:t xml:space="preserve"> </w:t>
                  </w:r>
                  <w:r>
                    <w:t xml:space="preserve">Mita, 2023*</w:t>
                  </w:r>
                </w:p>
              </w:tc>
              <w:tc>
                <w:tcPr/>
                <w:p>
                  <w:pPr>
                    <w:pStyle w:val="Compact"/>
                    <w:jc w:val="center"/>
                  </w:pPr>
                  <w:r>
                    <w:t xml:space="preserve">Mean CIMT change</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jc w:val="center"/>
                  </w:pPr>
                  <w:r>
                    <w:t xml:space="preserve"> </w:t>
                  </w:r>
                  <w:r>
                    <w:t xml:space="preserve">Morandi, 2023*</w:t>
                  </w:r>
                </w:p>
              </w:tc>
              <w:tc>
                <w:tcPr/>
                <w:p>
                  <w:pPr>
                    <w:pStyle w:val="Compact"/>
                    <w:jc w:val="center"/>
                  </w:pPr>
                  <w:r>
                    <w:t xml:space="preserve">CIMT</w:t>
                  </w: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jc w:val="center"/>
                  </w:pPr>
                  <w:r>
                    <w:t xml:space="preserve">CONGA</w:t>
                  </w:r>
                </w:p>
              </w:tc>
            </w:tr>
            <w:tr>
              <w:tc>
                <w:tcPr/>
                <w:p>
                  <w:pPr>
                    <w:pStyle w:val="Compact"/>
                    <w:jc w:val="center"/>
                  </w:pPr>
                  <w:r>
                    <w:t xml:space="preserve"> </w:t>
                  </w:r>
                  <w:r>
                    <w:t xml:space="preserve">Cutruzzola, 2022*</w:t>
                  </w:r>
                </w:p>
              </w:tc>
              <w:tc>
                <w:tcPr/>
                <w:p>
                  <w:pPr>
                    <w:pStyle w:val="Compact"/>
                    <w:jc w:val="center"/>
                  </w:pPr>
                  <w:r>
                    <w:t xml:space="preserve">CIMT</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jc w:val="center"/>
                  </w:pPr>
                  <w:r>
                    <w:t xml:space="preserve"> </w:t>
                  </w:r>
                  <w:r>
                    <w:t xml:space="preserve">Koroleva, 2022*</w:t>
                  </w:r>
                </w:p>
              </w:tc>
              <w:tc>
                <w:tcPr/>
                <w:p>
                  <w:pPr>
                    <w:pStyle w:val="Compact"/>
                    <w:jc w:val="center"/>
                  </w:pPr>
                  <w:r>
                    <w:t xml:space="preserve">CIMT/plaques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r>
            <w:tr>
              <w:tc>
                <w:tcPr/>
                <w:p>
                  <w:pPr>
                    <w:pStyle w:val="Compact"/>
                    <w:jc w:val="center"/>
                  </w:pPr>
                  <w:r>
                    <w:t xml:space="preserve"> </w:t>
                  </w:r>
                  <w:r>
                    <w:t xml:space="preserve">Foreman, 2021*</w:t>
                  </w:r>
                </w:p>
              </w:tc>
              <w:tc>
                <w:tcPr/>
                <w:p>
                  <w:pPr>
                    <w:pStyle w:val="Compact"/>
                    <w:jc w:val="center"/>
                  </w:pPr>
                  <w:r>
                    <w:t xml:space="preserve">CIMT</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w:t>
                  </w:r>
                  <w:r>
                    <w:t xml:space="preserve">Taya, 2021*</w:t>
                  </w:r>
                </w:p>
              </w:tc>
              <w:tc>
                <w:tcPr/>
                <w:p>
                  <w:pPr>
                    <w:pStyle w:val="Compact"/>
                    <w:jc w:val="center"/>
                  </w:pPr>
                  <w:r>
                    <w:t xml:space="preserve">CIMT</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Median, IQR, HBGI, LBGI</w:t>
                  </w:r>
                </w:p>
              </w:tc>
            </w:tr>
            <w:tr>
              <w:tc>
                <w:tcPr/>
                <w:p>
                  <w:pPr>
                    <w:pStyle w:val="Compact"/>
                    <w:jc w:val="center"/>
                  </w:pPr>
                  <w:r>
                    <w:t xml:space="preserve"> </w:t>
                  </w:r>
                  <w:r>
                    <w:t xml:space="preserve">Lu, 2020*</w:t>
                  </w:r>
                </w:p>
              </w:tc>
              <w:tc>
                <w:tcPr/>
                <w:p>
                  <w:pPr>
                    <w:pStyle w:val="Compact"/>
                    <w:jc w:val="center"/>
                  </w:pPr>
                  <w:r>
                    <w:t xml:space="preserve">Mean CIMT</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r>
            <w:tr>
              <w:tc>
                <w:tcPr/>
                <w:p>
                  <w:pPr>
                    <w:pStyle w:val="Compact"/>
                  </w:pPr>
                </w:p>
              </w:tc>
              <w:tc>
                <w:tcPr/>
                <w:p>
                  <w:pPr>
                    <w:pStyle w:val="Compact"/>
                    <w:jc w:val="center"/>
                  </w:pPr>
                  <w:r>
                    <w:t xml:space="preserve">Abnormal CIMT: CIMT ≥1.0 mm</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r>
            <w:tr>
              <w:tc>
                <w:tcPr/>
                <w:p>
                  <w:pPr>
                    <w:pStyle w:val="Compact"/>
                    <w:jc w:val="center"/>
                  </w:pPr>
                  <w:r>
                    <w:t xml:space="preserve"> </w:t>
                  </w:r>
                  <w:r>
                    <w:t xml:space="preserve">Pulkkinen, 2020*</w:t>
                  </w:r>
                </w:p>
              </w:tc>
              <w:tc>
                <w:tcPr/>
                <w:p>
                  <w:pPr>
                    <w:pStyle w:val="Compact"/>
                    <w:jc w:val="center"/>
                  </w:pPr>
                  <w:r>
                    <w:t xml:space="preserve">CIMT</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w:t>
                  </w:r>
                  <w:r>
                    <w:t xml:space="preserve">Magri, 2018</w:t>
                  </w:r>
                  <m:oMath>
                    <m:sSup>
                      <m:e>
                        <m:r>
                          <m:t>​</m:t>
                        </m:r>
                      </m:e>
                      <m:sup>
                        <m:r>
                          <m:rPr>
                            <m:sty m:val="p"/>
                          </m:rPr>
                          <m:t>†</m:t>
                        </m:r>
                      </m:sup>
                    </m:sSup>
                  </m:oMath>
                </w:p>
              </w:tc>
              <w:tc>
                <w:tcPr/>
                <w:p>
                  <w:pPr>
                    <w:pStyle w:val="Compact"/>
                    <w:jc w:val="center"/>
                  </w:pPr>
                  <w:r>
                    <w:t xml:space="preserve">CIMT (Abnormal)</w:t>
                  </w: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jc w:val="center"/>
                  </w:pPr>
                  <w:r>
                    <w:t xml:space="preserve">AUC, min.value, max.value,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Number of highest excursions, Number of lowest excursions</w:t>
                  </w:r>
                </w:p>
              </w:tc>
            </w:tr>
            <w:tr>
              <w:tc>
                <w:tcPr/>
                <w:p>
                  <w:pPr>
                    <w:pStyle w:val="Compact"/>
                    <w:jc w:val="center"/>
                  </w:pPr>
                  <w:r>
                    <w:t xml:space="preserve"> </w:t>
                  </w:r>
                  <w:r>
                    <w:t xml:space="preserve">Cesana, 2013*</w:t>
                  </w:r>
                </w:p>
              </w:tc>
              <w:tc>
                <w:tcPr/>
                <w:p>
                  <w:pPr>
                    <w:pStyle w:val="Compact"/>
                    <w:jc w:val="center"/>
                  </w:pPr>
                  <w:r>
                    <w:t xml:space="preserve">CIMT</w:t>
                  </w: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r>
            <w:tr>
              <w:tc>
                <w:tcPr/>
                <w:p>
                  <w:pPr>
                    <w:pStyle w:val="Compact"/>
                    <w:jc w:val="center"/>
                  </w:pPr>
                  <w:r>
                    <w:t xml:space="preserve"> </w:t>
                  </w:r>
                  <w:r>
                    <w:t xml:space="preserve">Mo, 2013</w:t>
                  </w:r>
                </w:p>
              </w:tc>
              <w:tc>
                <w:tcPr/>
                <w:p>
                  <w:pPr>
                    <w:pStyle w:val="Compact"/>
                    <w:jc w:val="center"/>
                  </w:pPr>
                  <w:r>
                    <w:t xml:space="preserve">CIMT</w:t>
                  </w: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r>
            <w:tr>
              <w:tc>
                <w:tcPr/>
                <w:p>
                  <w:pPr>
                    <w:pStyle w:val="Compact"/>
                    <w:jc w:val="center"/>
                  </w:pPr>
                  <w:r>
                    <w:t xml:space="preserve"> </w:t>
                  </w:r>
                  <w:r>
                    <w:t xml:space="preserve">Castaldo, 2011</w:t>
                  </w:r>
                </w:p>
              </w:tc>
              <w:tc>
                <w:tcPr/>
                <w:p>
                  <w:pPr>
                    <w:pStyle w:val="Compact"/>
                    <w:jc w:val="center"/>
                  </w:pPr>
                  <w:r>
                    <w:t xml:space="preserve">CIMT</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Duration in hypoglycemia [min/day]</w:t>
                  </w:r>
                </w:p>
              </w:tc>
            </w:tr>
            <w:tr>
              <w:tc>
                <w:tcPr/>
                <w:p>
                  <w:pPr>
                    <w:pStyle w:val="Compact"/>
                    <w:jc w:val="center"/>
                  </w:pPr>
                  <w:r>
                    <w:t xml:space="preserve"> </w:t>
                  </w:r>
                  <w:r>
                    <w:t xml:space="preserve">Gimenez, 2011*</w:t>
                  </w:r>
                </w:p>
              </w:tc>
              <w:tc>
                <w:tcPr/>
                <w:p>
                  <w:pPr>
                    <w:pStyle w:val="Compact"/>
                    <w:jc w:val="center"/>
                  </w:pPr>
                  <w:r>
                    <w:t xml:space="preserve">CIMT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r>
            <w:tr>
              <w:tc>
                <w:tcPr/>
                <w:p>
                  <w:pPr>
                    <w:pStyle w:val="Compact"/>
                    <w:jc w:val="center"/>
                  </w:pPr>
                  <w:r>
                    <w:t xml:space="preserve"> </w:t>
                  </w:r>
                  <w:r>
                    <w:t xml:space="preserve">Buscemi, 2010*</w:t>
                  </w:r>
                </w:p>
              </w:tc>
              <w:tc>
                <w:tcPr/>
                <w:p>
                  <w:pPr>
                    <w:pStyle w:val="Compact"/>
                    <w:jc w:val="center"/>
                  </w:pPr>
                  <w:r>
                    <w:t xml:space="preserve">CIMT</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AUC</w:t>
                  </w:r>
                </w:p>
              </w:tc>
            </w:tr>
            <w:tr>
              <w:tc>
                <w:tcPr/>
                <w:p>
                  <w:pPr>
                    <w:pStyle w:val="Compact"/>
                    <w:jc w:val="center"/>
                  </w:pPr>
                  <w:r>
                    <w:t xml:space="preserve"> </w:t>
                  </w:r>
                  <w:r>
                    <w:t xml:space="preserve">Chen, 2010</w:t>
                  </w:r>
                </w:p>
              </w:tc>
              <w:tc>
                <w:tcPr/>
                <w:p>
                  <w:pPr>
                    <w:pStyle w:val="Compact"/>
                    <w:jc w:val="center"/>
                  </w:pPr>
                  <w:r>
                    <w:t xml:space="preserve">CIMT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LAGE</w:t>
                  </w:r>
                </w:p>
              </w:tc>
            </w:tr>
            <w:tr>
              <w:tc>
                <w:tcPr/>
                <w:p>
                  <w:pPr>
                    <w:pStyle w:val="Compact"/>
                    <w:jc w:val="center"/>
                  </w:pPr>
                  <w:r>
                    <w:rPr>
                      <w:b/>
                      <w:bCs/>
                    </w:rPr>
                    <w:t xml:space="preserve">Arterial wall composition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w:t>
                  </w:r>
                  <w:r>
                    <w:t xml:space="preserve">Torimoto, 2025*</w:t>
                  </w:r>
                </w:p>
              </w:tc>
              <w:tc>
                <w:tcPr/>
                <w:p>
                  <w:pPr>
                    <w:pStyle w:val="Compact"/>
                    <w:jc w:val="center"/>
                  </w:pPr>
                  <w:r>
                    <w:t xml:space="preserve">Mean GSM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GRI</w:t>
                  </w:r>
                </w:p>
              </w:tc>
            </w:tr>
            <w:tr>
              <w:tc>
                <w:tcPr/>
                <w:p>
                  <w:pPr>
                    <w:pStyle w:val="Compact"/>
                    <w:jc w:val="center"/>
                  </w:pPr>
                  <w:r>
                    <w:t xml:space="preserve"> </w:t>
                  </w:r>
                  <w:r>
                    <w:t xml:space="preserve">Mita, 2023</w:t>
                  </w:r>
                </w:p>
              </w:tc>
              <w:tc>
                <w:tcPr/>
                <w:p>
                  <w:pPr>
                    <w:pStyle w:val="Compact"/>
                    <w:jc w:val="center"/>
                  </w:pPr>
                  <w:r>
                    <w:t xml:space="preserve">Mean GSM</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p>
              </w:tc>
              <w:tc>
                <w:tcPr/>
                <w:p>
                  <w:pPr>
                    <w:pStyle w:val="Compact"/>
                    <w:jc w:val="center"/>
                  </w:pPr>
                  <w:r>
                    <w:t xml:space="preserve">Thickened GSM change</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jc w:val="center"/>
                  </w:pPr>
                  <w:r>
                    <w:t xml:space="preserve"> </w:t>
                  </w:r>
                  <w:r>
                    <w:t xml:space="preserve">Taya, 2021*</w:t>
                  </w:r>
                </w:p>
              </w:tc>
              <w:tc>
                <w:tcPr/>
                <w:p>
                  <w:pPr>
                    <w:pStyle w:val="Compact"/>
                    <w:jc w:val="center"/>
                  </w:pPr>
                  <w:r>
                    <w:t xml:space="preserve">Mean GSM</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 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Median, IQR, HBGI, LBGI</w:t>
                  </w:r>
                </w:p>
              </w:tc>
            </w:tr>
            <w:tr>
              <w:tc>
                <w:tcPr/>
                <w:p>
                  <w:pPr>
                    <w:pStyle w:val="Compact"/>
                    <w:jc w:val="center"/>
                  </w:pPr>
                  <w:r>
                    <w:t xml:space="preserve"> </w:t>
                  </w:r>
                  <w:r>
                    <w:t xml:space="preserve">Mesa, 2022</w:t>
                  </w:r>
                </w:p>
              </w:tc>
              <w:tc>
                <w:tcPr/>
                <w:p>
                  <w:pPr>
                    <w:pStyle w:val="Compact"/>
                    <w:jc w:val="center"/>
                  </w:pPr>
                  <w:r>
                    <w:t xml:space="preserve">Carotid plaque</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jc w:val="center"/>
                  </w:pPr>
                  <w:r>
                    <w:t xml:space="preserve">GMI</w:t>
                  </w:r>
                </w:p>
              </w:tc>
            </w:tr>
            <w:tr>
              <w:tc>
                <w:tcPr/>
                <w:p>
                  <w:pPr>
                    <w:pStyle w:val="Compact"/>
                    <w:jc w:val="center"/>
                  </w:pPr>
                  <w:r>
                    <w:t xml:space="preserve"> </w:t>
                  </w:r>
                  <w:r>
                    <w:t xml:space="preserve">Snell Bergeon, 2010</w:t>
                  </w:r>
                </w:p>
              </w:tc>
              <w:tc>
                <w:tcPr/>
                <w:p>
                  <w:pPr>
                    <w:pStyle w:val="Compact"/>
                    <w:jc w:val="center"/>
                  </w:pPr>
                  <w:r>
                    <w:t xml:space="preserve">Coronary artery calcification</w:t>
                  </w: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jc w:val="center"/>
                  </w:pPr>
                  <w:r>
                    <w:t xml:space="preserve">time outside of target range</w:t>
                  </w:r>
                </w:p>
              </w:tc>
            </w:tr>
            <w:tr>
              <w:tc>
                <w:tcPr/>
                <w:p>
                  <w:pPr>
                    <w:pStyle w:val="Compact"/>
                    <w:jc w:val="center"/>
                  </w:pPr>
                  <w:r>
                    <w:t xml:space="preserve"> </w:t>
                  </w:r>
                  <w:r>
                    <w:t xml:space="preserve">Kakuta, 2017</w:t>
                  </w:r>
                </w:p>
              </w:tc>
              <w:tc>
                <w:tcPr/>
                <w:p>
                  <w:pPr>
                    <w:pStyle w:val="Compact"/>
                    <w:jc w:val="center"/>
                  </w:pPr>
                  <w:r>
                    <w:t xml:space="preserve">lipidic volume (%) fibrotic volume (%) percent necrotic volume (%) percent calcified volume (%) … in coronary plaques</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 X</w:t>
                  </w:r>
                </w:p>
              </w:tc>
              <w:tc>
                <w:tcPr/>
                <w:p>
                  <w:pPr>
                    <w:pStyle w:val="Compact"/>
                  </w:pPr>
                </w:p>
              </w:tc>
              <w:tc>
                <w:tcPr/>
                <w:p>
                  <w:pPr>
                    <w:pStyle w:val="Compact"/>
                  </w:pPr>
                </w:p>
              </w:tc>
            </w:tr>
            <w:tr>
              <w:tc>
                <w:tcPr/>
                <w:p>
                  <w:pPr>
                    <w:pStyle w:val="Compact"/>
                    <w:jc w:val="center"/>
                  </w:pPr>
                  <w:r>
                    <w:rPr>
                      <w:b/>
                      <w:bCs/>
                    </w:rPr>
                    <w:t xml:space="preserve">Cardiac and pulse related measures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w:t>
                  </w:r>
                  <w:r>
                    <w:t xml:space="preserve">Foreman, 2021*</w:t>
                  </w:r>
                </w:p>
              </w:tc>
              <w:tc>
                <w:tcPr/>
                <w:p>
                  <w:pPr>
                    <w:pStyle w:val="Compact"/>
                    <w:jc w:val="center"/>
                  </w:pPr>
                  <w:r>
                    <w:t xml:space="preserve">Mean circumferential wall stress</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t xml:space="preserve">Pulsatile circumferential wall stress</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w:t>
                  </w:r>
                  <w:r>
                    <w:t xml:space="preserve">Borg, 2011</w:t>
                  </w:r>
                </w:p>
              </w:tc>
              <w:tc>
                <w:tcPr/>
                <w:p>
                  <w:pPr>
                    <w:pStyle w:val="Compact"/>
                    <w:jc w:val="center"/>
                  </w:pPr>
                  <w:r>
                    <w:t xml:space="preserve">- CVD risk factor Z-score</w:t>
                  </w: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AUC, PPGE, CONGA</w:t>
                  </w:r>
                </w:p>
              </w:tc>
            </w:tr>
            <w:tr>
              <w:tc>
                <w:tcPr/>
                <w:p>
                  <w:pPr>
                    <w:pStyle w:val="Compact"/>
                    <w:jc w:val="center"/>
                  </w:pPr>
                  <w:r>
                    <w:t xml:space="preserve"> </w:t>
                  </w:r>
                  <w:r>
                    <w:t xml:space="preserve">Chen, 2020</w:t>
                  </w:r>
                  <w:r>
                    <w:t xml:space="preserve"> </w:t>
                  </w:r>
                  <m:oMath>
                    <m:sSup>
                      <m:e>
                        <m:r>
                          <m:t>​</m:t>
                        </m:r>
                      </m:e>
                      <m:sup>
                        <m:r>
                          <m:rPr>
                            <m:sty m:val="p"/>
                          </m:rPr>
                          <m:t>†</m:t>
                        </m:r>
                      </m:sup>
                    </m:sSup>
                  </m:oMath>
                </w:p>
              </w:tc>
              <w:tc>
                <w:tcPr/>
                <w:p>
                  <w:pPr>
                    <w:pStyle w:val="Compact"/>
                    <w:jc w:val="center"/>
                  </w:pPr>
                  <w:r>
                    <w:t xml:space="preserve">Statistical difference between normal BG group and high BG fluctuation group on all Heartrate variability parameters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High and low BG fluctuations by own definition using SD, MAGE, MODD and LAGE</w:t>
                  </w:r>
                </w:p>
              </w:tc>
            </w:tr>
            <w:tr>
              <w:tc>
                <w:tcPr/>
                <w:p>
                  <w:pPr>
                    <w:pStyle w:val="Compact"/>
                    <w:jc w:val="center"/>
                  </w:pPr>
                  <w:r>
                    <w:t xml:space="preserve"> </w:t>
                  </w:r>
                  <w:r>
                    <w:t xml:space="preserve">Dzhun, 2023</w:t>
                  </w:r>
                </w:p>
              </w:tc>
              <w:tc>
                <w:tcPr/>
                <w:p>
                  <w:pPr>
                    <w:pStyle w:val="Compact"/>
                    <w:jc w:val="center"/>
                  </w:pPr>
                  <w:r>
                    <w:t xml:space="preserve">SD ≥ 2 -&gt; Left Ventricular Diastylic Dysfunction</w:t>
                  </w: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w:t>
                  </w:r>
                  <w:r>
                    <w:t xml:space="preserve">Di Flaviani, 2011</w:t>
                  </w:r>
                </w:p>
              </w:tc>
              <w:tc>
                <w:tcPr/>
                <w:p>
                  <w:pPr>
                    <w:pStyle w:val="Compact"/>
                    <w:jc w:val="center"/>
                  </w:pPr>
                  <w:r>
                    <w:t xml:space="preserve">Left ventricular mass index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CONGA</w:t>
                  </w:r>
                </w:p>
              </w:tc>
            </w:tr>
            <w:tr>
              <w:tc>
                <w:tcPr/>
                <w:p>
                  <w:pPr>
                    <w:pStyle w:val="Compact"/>
                    <w:jc w:val="center"/>
                  </w:pPr>
                  <w:r>
                    <w:t xml:space="preserve"> </w:t>
                  </w:r>
                  <w:r>
                    <w:t xml:space="preserve">Yokota, 2019</w:t>
                  </w:r>
                </w:p>
              </w:tc>
              <w:tc>
                <w:tcPr/>
                <w:p>
                  <w:pPr>
                    <w:pStyle w:val="Compact"/>
                    <w:jc w:val="center"/>
                  </w:pPr>
                  <w:r>
                    <w:t xml:space="preserve">Left ventricular diastolic function</w:t>
                  </w: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w:t>
                  </w:r>
                  <w:r>
                    <w:t xml:space="preserve">Yano, 2013*</w:t>
                  </w:r>
                </w:p>
              </w:tc>
              <w:tc>
                <w:tcPr/>
                <w:p>
                  <w:pPr>
                    <w:pStyle w:val="Compact"/>
                    <w:jc w:val="center"/>
                  </w:pPr>
                  <w:r>
                    <w:t xml:space="preserve">Left ventricular mass index</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PPGE</w:t>
                  </w:r>
                </w:p>
              </w:tc>
            </w:tr>
            <w:tr>
              <w:tc>
                <w:tcPr/>
                <w:p>
                  <w:pPr>
                    <w:pStyle w:val="Compact"/>
                    <w:jc w:val="center"/>
                  </w:pPr>
                  <w:r>
                    <w:t xml:space="preserve"> </w:t>
                  </w:r>
                  <w:r>
                    <w:t xml:space="preserve">Pertseva, 2023</w:t>
                  </w:r>
                </w:p>
              </w:tc>
              <w:tc>
                <w:tcPr/>
                <w:p>
                  <w:pPr>
                    <w:pStyle w:val="Compact"/>
                    <w:jc w:val="center"/>
                  </w:pPr>
                  <w:r>
                    <w:t xml:space="preserve">Average variability</w:t>
                  </w: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p>
              </w:tc>
              <w:tc>
                <w:tcPr/>
                <w:p>
                  <w:pPr>
                    <w:pStyle w:val="Compact"/>
                    <w:jc w:val="center"/>
                  </w:pPr>
                  <w:r>
                    <w:t xml:space="preserve">Average Pulse blood pressure Pulse blood pressure variability</w:t>
                  </w: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p>
              </w:tc>
              <w:tc>
                <w:tcPr/>
                <w:p>
                  <w:pPr>
                    <w:pStyle w:val="Compact"/>
                    <w:jc w:val="center"/>
                  </w:pPr>
                  <w:r>
                    <w:t xml:space="preserve">Average SBP,SBP variability,,</w:t>
                  </w: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p>
              </w:tc>
              <w:tc>
                <w:tcPr/>
                <w:p>
                  <w:pPr>
                    <w:pStyle w:val="Compact"/>
                    <w:jc w:val="center"/>
                  </w:pPr>
                  <w:r>
                    <w:t xml:space="preserve">Average DBP DBP variability</w:t>
                  </w: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jc w:val="center"/>
                  </w:pPr>
                  <w:r>
                    <w:t xml:space="preserve"> </w:t>
                  </w:r>
                  <w:r>
                    <w:t xml:space="preserve">Piona, 2023</w:t>
                  </w:r>
                </w:p>
              </w:tc>
              <w:tc>
                <w:tcPr/>
                <w:p>
                  <w:pPr>
                    <w:pStyle w:val="Compact"/>
                    <w:jc w:val="center"/>
                  </w:pPr>
                  <w:r>
                    <w:t xml:space="preserve">Systolic and diastolic blood pressure</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jc w:val="center"/>
                  </w:pPr>
                  <w:r>
                    <w:t xml:space="preserve"> </w:t>
                  </w:r>
                  <w:r>
                    <w:t xml:space="preserve">Pulkkinen, 2020*</w:t>
                  </w:r>
                </w:p>
              </w:tc>
              <w:tc>
                <w:tcPr/>
                <w:p>
                  <w:pPr>
                    <w:pStyle w:val="Compact"/>
                    <w:jc w:val="center"/>
                  </w:pPr>
                  <w:r>
                    <w:t xml:space="preserve">Systolic and diastolic blood pressure</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Arterial lumen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 </w:t>
                  </w:r>
                  <w:r>
                    <w:t xml:space="preserve">De Meulemeester, 2024</w:t>
                  </w:r>
                  <w:r>
                    <w:t xml:space="preserve"> </w:t>
                  </w:r>
                  <m:oMath>
                    <m:sSup>
                      <m:e>
                        <m:r>
                          <m:t>​</m:t>
                        </m:r>
                      </m:e>
                      <m:sup>
                        <m:r>
                          <m:rPr>
                            <m:sty m:val="p"/>
                          </m:rPr>
                          <m:t>†</m:t>
                        </m:r>
                      </m:sup>
                    </m:sSup>
                  </m:oMath>
                </w:p>
              </w:tc>
              <w:tc>
                <w:tcPr/>
                <w:p>
                  <w:pPr>
                    <w:pStyle w:val="Compact"/>
                    <w:jc w:val="center"/>
                  </w:pPr>
                  <w:r>
                    <w:t xml:space="preserve">Stenosis of the carotid artery</w:t>
                  </w: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TITR</w:t>
                  </w:r>
                </w:p>
              </w:tc>
            </w:tr>
            <w:tr>
              <w:tc>
                <w:tcPr/>
                <w:p>
                  <w:pPr>
                    <w:pStyle w:val="Compact"/>
                    <w:jc w:val="center"/>
                  </w:pPr>
                  <w:r>
                    <w:t xml:space="preserve"> </w:t>
                  </w:r>
                  <w:r>
                    <w:t xml:space="preserve">Cutruzzola, 2022*</w:t>
                  </w:r>
                </w:p>
              </w:tc>
              <w:tc>
                <w:tcPr/>
                <w:p>
                  <w:pPr>
                    <w:pStyle w:val="Compact"/>
                    <w:jc w:val="center"/>
                  </w:pPr>
                  <w:r>
                    <w:t xml:space="preserve">Baseline brachial artery ID (mm)</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jc w:val="center"/>
                  </w:pPr>
                  <w:r>
                    <w:t xml:space="preserve"> </w:t>
                  </w:r>
                  <w:r>
                    <w:t xml:space="preserve">Koroleva, 2022*</w:t>
                  </w:r>
                </w:p>
              </w:tc>
              <w:tc>
                <w:tcPr/>
                <w:p>
                  <w:pPr>
                    <w:pStyle w:val="Compact"/>
                    <w:jc w:val="center"/>
                  </w:pPr>
                  <w:r>
                    <w:t xml:space="preserve">stenosis and/or occlusion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r>
          </w:tbl>
          <w:bookmarkEnd w:id="451"/>
          <w:p/>
        </w:tc>
      </w:tr>
    </w:tbl>
    <w:p>
      <w:pPr>
        <w:sectPr>
          <w:pgSz w:h="11906" w:w="16838" w:orient="landscape"/>
        </w:sectPr>
      </w:pPr>
    </w:p>
    <w:bookmarkEnd w:id="452"/>
    <w:bookmarkStart w:id="453" w:name="sec-suppl-adjustment-list"/>
    <w:p>
      <w:pPr>
        <w:pStyle w:val="Heading1"/>
      </w:pPr>
      <w:r>
        <w:t xml:space="preserve">Appendix A — Study I: Adjustment List</w:t>
      </w:r>
    </w:p>
    <w:p>
      <w:pPr>
        <w:pStyle w:val="FirstParagraph"/>
      </w:pPr>
      <w:r>
        <w:t xml:space="preserve">List over how adjusted variables were grouped for the adjusted column in the results tables in Study I</w:t>
      </w:r>
    </w:p>
    <w:p>
      <w:pPr>
        <w:pStyle w:val="BodyText"/>
      </w:pPr>
      <w:r>
        <w:rPr>
          <w:b/>
          <w:bCs/>
        </w:rPr>
        <w:t xml:space="preserve">Demographic</w:t>
      </w:r>
    </w:p>
    <w:p>
      <w:pPr>
        <w:pStyle w:val="Compact"/>
        <w:numPr>
          <w:ilvl w:val="0"/>
          <w:numId w:val="1008"/>
        </w:numPr>
      </w:pPr>
      <w:r>
        <w:t xml:space="preserve">Age</w:t>
      </w:r>
    </w:p>
    <w:p>
      <w:pPr>
        <w:pStyle w:val="Compact"/>
        <w:numPr>
          <w:ilvl w:val="0"/>
          <w:numId w:val="1008"/>
        </w:numPr>
      </w:pPr>
      <w:r>
        <w:t xml:space="preserve">Sex</w:t>
      </w:r>
    </w:p>
    <w:p>
      <w:pPr>
        <w:pStyle w:val="Compact"/>
        <w:numPr>
          <w:ilvl w:val="0"/>
          <w:numId w:val="1008"/>
        </w:numPr>
      </w:pPr>
      <w:r>
        <w:t xml:space="preserve">Gender</w:t>
      </w:r>
    </w:p>
    <w:p>
      <w:pPr>
        <w:pStyle w:val="Compact"/>
        <w:numPr>
          <w:ilvl w:val="0"/>
          <w:numId w:val="1008"/>
        </w:numPr>
      </w:pPr>
      <w:r>
        <w:t xml:space="preserve">Age ≥ 65</w:t>
      </w:r>
    </w:p>
    <w:p>
      <w:pPr>
        <w:pStyle w:val="Compact"/>
        <w:numPr>
          <w:ilvl w:val="0"/>
          <w:numId w:val="1008"/>
        </w:numPr>
      </w:pPr>
      <w:r>
        <w:t xml:space="preserve">Education level</w:t>
      </w:r>
    </w:p>
    <w:p>
      <w:pPr>
        <w:pStyle w:val="FirstParagraph"/>
      </w:pPr>
      <w:r>
        <w:rPr>
          <w:b/>
          <w:bCs/>
        </w:rPr>
        <w:t xml:space="preserve">Anthropometric</w:t>
      </w:r>
      <w:r>
        <w:t xml:space="preserve"> </w:t>
      </w:r>
      <w:r>
        <w:t xml:space="preserve">(Variables that describe body size or composition)</w:t>
      </w:r>
    </w:p>
    <w:p>
      <w:pPr>
        <w:pStyle w:val="Compact"/>
        <w:numPr>
          <w:ilvl w:val="0"/>
          <w:numId w:val="1009"/>
        </w:numPr>
      </w:pPr>
      <w:r>
        <w:t xml:space="preserve">Height z-score</w:t>
      </w:r>
    </w:p>
    <w:p>
      <w:pPr>
        <w:pStyle w:val="Compact"/>
        <w:numPr>
          <w:ilvl w:val="0"/>
          <w:numId w:val="1009"/>
        </w:numPr>
      </w:pPr>
      <w:r>
        <w:t xml:space="preserve">Weight (if it appears)</w:t>
      </w:r>
    </w:p>
    <w:p>
      <w:pPr>
        <w:pStyle w:val="Compact"/>
        <w:numPr>
          <w:ilvl w:val="0"/>
          <w:numId w:val="1009"/>
        </w:numPr>
      </w:pPr>
      <w:r>
        <w:t xml:space="preserve">BMI</w:t>
      </w:r>
    </w:p>
    <w:p>
      <w:pPr>
        <w:pStyle w:val="Compact"/>
        <w:numPr>
          <w:ilvl w:val="0"/>
          <w:numId w:val="1009"/>
        </w:numPr>
      </w:pPr>
      <w:r>
        <w:t xml:space="preserve">BMI z-score</w:t>
      </w:r>
    </w:p>
    <w:p>
      <w:pPr>
        <w:pStyle w:val="Compact"/>
        <w:numPr>
          <w:ilvl w:val="0"/>
          <w:numId w:val="1009"/>
        </w:numPr>
      </w:pPr>
      <w:r>
        <w:t xml:space="preserve">Body mass index (BMI)</w:t>
      </w:r>
    </w:p>
    <w:p>
      <w:pPr>
        <w:pStyle w:val="Compact"/>
        <w:numPr>
          <w:ilvl w:val="0"/>
          <w:numId w:val="1009"/>
        </w:numPr>
      </w:pPr>
      <w:r>
        <w:t xml:space="preserve">Waist circumference</w:t>
      </w:r>
    </w:p>
    <w:p>
      <w:pPr>
        <w:pStyle w:val="Compact"/>
        <w:numPr>
          <w:ilvl w:val="0"/>
          <w:numId w:val="1009"/>
        </w:numPr>
      </w:pPr>
      <w:r>
        <w:t xml:space="preserve">Body surface area</w:t>
      </w:r>
    </w:p>
    <w:p>
      <w:pPr>
        <w:pStyle w:val="FirstParagraph"/>
      </w:pPr>
      <w:r>
        <w:rPr>
          <w:b/>
          <w:bCs/>
        </w:rPr>
        <w:t xml:space="preserve">Lifestyle</w:t>
      </w:r>
    </w:p>
    <w:p>
      <w:pPr>
        <w:pStyle w:val="Compact"/>
        <w:numPr>
          <w:ilvl w:val="0"/>
          <w:numId w:val="1010"/>
        </w:numPr>
      </w:pPr>
      <w:r>
        <w:t xml:space="preserve">Smoking/ Smoking status/ Smoking pack years</w:t>
      </w:r>
    </w:p>
    <w:p>
      <w:pPr>
        <w:pStyle w:val="Compact"/>
        <w:numPr>
          <w:ilvl w:val="0"/>
          <w:numId w:val="1010"/>
        </w:numPr>
      </w:pPr>
      <w:r>
        <w:t xml:space="preserve">Alcohol use/ Alcohol history</w:t>
      </w:r>
    </w:p>
    <w:p>
      <w:pPr>
        <w:pStyle w:val="Compact"/>
        <w:numPr>
          <w:ilvl w:val="0"/>
          <w:numId w:val="1010"/>
        </w:numPr>
      </w:pPr>
      <w:r>
        <w:t xml:space="preserve">Physical activity (if it had appeared)</w:t>
      </w:r>
    </w:p>
    <w:p>
      <w:pPr>
        <w:pStyle w:val="FirstParagraph"/>
      </w:pPr>
      <w:r>
        <w:rPr>
          <w:b/>
          <w:bCs/>
        </w:rPr>
        <w:t xml:space="preserve">Medical History</w:t>
      </w:r>
    </w:p>
    <w:p>
      <w:pPr>
        <w:pStyle w:val="Compact"/>
        <w:numPr>
          <w:ilvl w:val="0"/>
          <w:numId w:val="1011"/>
        </w:numPr>
      </w:pPr>
      <w:r>
        <w:t xml:space="preserve">Diabetes duration</w:t>
      </w:r>
    </w:p>
    <w:p>
      <w:pPr>
        <w:pStyle w:val="Compact"/>
        <w:numPr>
          <w:ilvl w:val="0"/>
          <w:numId w:val="1011"/>
        </w:numPr>
      </w:pPr>
      <w:r>
        <w:t xml:space="preserve">Duration of pump therapy</w:t>
      </w:r>
    </w:p>
    <w:p>
      <w:pPr>
        <w:pStyle w:val="Compact"/>
        <w:numPr>
          <w:ilvl w:val="0"/>
          <w:numId w:val="1011"/>
        </w:numPr>
      </w:pPr>
      <w:r>
        <w:t xml:space="preserve">History of cancer</w:t>
      </w:r>
    </w:p>
    <w:p>
      <w:pPr>
        <w:pStyle w:val="Compact"/>
        <w:numPr>
          <w:ilvl w:val="0"/>
          <w:numId w:val="1011"/>
        </w:numPr>
      </w:pPr>
      <w:r>
        <w:t xml:space="preserve">Hypertension</w:t>
      </w:r>
    </w:p>
    <w:p>
      <w:pPr>
        <w:pStyle w:val="Compact"/>
        <w:numPr>
          <w:ilvl w:val="0"/>
          <w:numId w:val="1011"/>
        </w:numPr>
      </w:pPr>
      <w:r>
        <w:t xml:space="preserve">Dyslipidemia</w:t>
      </w:r>
    </w:p>
    <w:p>
      <w:pPr>
        <w:pStyle w:val="Compact"/>
        <w:numPr>
          <w:ilvl w:val="0"/>
          <w:numId w:val="1011"/>
        </w:numPr>
      </w:pPr>
      <w:r>
        <w:t xml:space="preserve">Diabetic retinopathy</w:t>
      </w:r>
    </w:p>
    <w:p>
      <w:pPr>
        <w:pStyle w:val="Compact"/>
        <w:numPr>
          <w:ilvl w:val="0"/>
          <w:numId w:val="1011"/>
        </w:numPr>
      </w:pPr>
      <w:r>
        <w:t xml:space="preserve">Use of ACEi or ARBs</w:t>
      </w:r>
    </w:p>
    <w:p>
      <w:pPr>
        <w:pStyle w:val="Compact"/>
        <w:numPr>
          <w:ilvl w:val="0"/>
          <w:numId w:val="1011"/>
        </w:numPr>
      </w:pPr>
      <w:r>
        <w:t xml:space="preserve">Past medical history</w:t>
      </w:r>
    </w:p>
    <w:p>
      <w:pPr>
        <w:pStyle w:val="Compact"/>
        <w:numPr>
          <w:ilvl w:val="0"/>
          <w:numId w:val="1011"/>
        </w:numPr>
      </w:pPr>
      <w:r>
        <w:t xml:space="preserve">Chronic heart failure</w:t>
      </w:r>
    </w:p>
    <w:p>
      <w:pPr>
        <w:pStyle w:val="Compact"/>
        <w:numPr>
          <w:ilvl w:val="0"/>
          <w:numId w:val="1011"/>
        </w:numPr>
      </w:pPr>
      <w:r>
        <w:t xml:space="preserve">Presence of retinopathy</w:t>
      </w:r>
    </w:p>
    <w:p>
      <w:pPr>
        <w:pStyle w:val="Compact"/>
        <w:numPr>
          <w:ilvl w:val="0"/>
          <w:numId w:val="1011"/>
        </w:numPr>
      </w:pPr>
      <w:r>
        <w:t xml:space="preserve">3P MACE history</w:t>
      </w:r>
    </w:p>
    <w:p>
      <w:pPr>
        <w:pStyle w:val="Compact"/>
        <w:numPr>
          <w:ilvl w:val="0"/>
          <w:numId w:val="1011"/>
        </w:numPr>
      </w:pPr>
      <w:r>
        <w:t xml:space="preserve">Hypoglycemia unawareness</w:t>
      </w:r>
    </w:p>
    <w:p>
      <w:pPr>
        <w:pStyle w:val="Compact"/>
        <w:numPr>
          <w:ilvl w:val="0"/>
          <w:numId w:val="1011"/>
        </w:numPr>
      </w:pPr>
      <w:r>
        <w:t xml:space="preserve">Hyperlipidemia</w:t>
      </w:r>
    </w:p>
    <w:p>
      <w:pPr>
        <w:pStyle w:val="Compact"/>
        <w:numPr>
          <w:ilvl w:val="0"/>
          <w:numId w:val="1011"/>
        </w:numPr>
      </w:pPr>
      <w:r>
        <w:t xml:space="preserve">Atrial fibrillation (AF) type</w:t>
      </w:r>
    </w:p>
    <w:p>
      <w:pPr>
        <w:pStyle w:val="FirstParagraph"/>
      </w:pPr>
      <w:r>
        <w:rPr>
          <w:b/>
          <w:bCs/>
        </w:rPr>
        <w:t xml:space="preserve">Physiological</w:t>
      </w:r>
      <w:r>
        <w:t xml:space="preserve"> </w:t>
      </w:r>
      <w:r>
        <w:t xml:space="preserve">(Vital signs or systemic functions)</w:t>
      </w:r>
    </w:p>
    <w:p>
      <w:pPr>
        <w:pStyle w:val="Compact"/>
        <w:numPr>
          <w:ilvl w:val="0"/>
          <w:numId w:val="1012"/>
        </w:numPr>
      </w:pPr>
      <w:r>
        <w:t xml:space="preserve">Blood pressure</w:t>
      </w:r>
    </w:p>
    <w:p>
      <w:pPr>
        <w:pStyle w:val="Compact"/>
        <w:numPr>
          <w:ilvl w:val="0"/>
          <w:numId w:val="1012"/>
        </w:numPr>
      </w:pPr>
      <w:r>
        <w:t xml:space="preserve">Systolic blood pressure</w:t>
      </w:r>
    </w:p>
    <w:p>
      <w:pPr>
        <w:pStyle w:val="Compact"/>
        <w:numPr>
          <w:ilvl w:val="0"/>
          <w:numId w:val="1012"/>
        </w:numPr>
      </w:pPr>
      <w:r>
        <w:t xml:space="preserve">Diastolic blood pressure</w:t>
      </w:r>
    </w:p>
    <w:p>
      <w:pPr>
        <w:pStyle w:val="Compact"/>
        <w:numPr>
          <w:ilvl w:val="0"/>
          <w:numId w:val="1012"/>
        </w:numPr>
      </w:pPr>
      <w:r>
        <w:t xml:space="preserve">SBP and DBP z-score</w:t>
      </w:r>
    </w:p>
    <w:p>
      <w:pPr>
        <w:pStyle w:val="Compact"/>
        <w:numPr>
          <w:ilvl w:val="0"/>
          <w:numId w:val="1012"/>
        </w:numPr>
      </w:pPr>
      <w:r>
        <w:t xml:space="preserve">Mean arterial pressure</w:t>
      </w:r>
    </w:p>
    <w:p>
      <w:pPr>
        <w:pStyle w:val="Compact"/>
        <w:numPr>
          <w:ilvl w:val="0"/>
          <w:numId w:val="1012"/>
        </w:numPr>
      </w:pPr>
      <w:r>
        <w:t xml:space="preserve">Heart rate</w:t>
      </w:r>
    </w:p>
    <w:p>
      <w:pPr>
        <w:pStyle w:val="Compact"/>
        <w:numPr>
          <w:ilvl w:val="0"/>
          <w:numId w:val="1012"/>
        </w:numPr>
      </w:pPr>
      <w:r>
        <w:t xml:space="preserve">Office systolic BP or brachial pulse pressure</w:t>
      </w:r>
    </w:p>
    <w:p>
      <w:pPr>
        <w:pStyle w:val="FirstParagraph"/>
      </w:pPr>
      <w:r>
        <w:rPr>
          <w:b/>
          <w:bCs/>
        </w:rPr>
        <w:t xml:space="preserve">Biochemical</w:t>
      </w:r>
      <w:r>
        <w:t xml:space="preserve"> </w:t>
      </w:r>
      <w:r>
        <w:t xml:space="preserve">(Blood/urine analytes, metabolic markers)</w:t>
      </w:r>
    </w:p>
    <w:p>
      <w:pPr>
        <w:pStyle w:val="Compact"/>
        <w:numPr>
          <w:ilvl w:val="0"/>
          <w:numId w:val="1013"/>
        </w:numPr>
      </w:pPr>
      <w:r>
        <w:t xml:space="preserve">HbA1c</w:t>
      </w:r>
    </w:p>
    <w:p>
      <w:pPr>
        <w:pStyle w:val="Compact"/>
        <w:numPr>
          <w:ilvl w:val="0"/>
          <w:numId w:val="1013"/>
        </w:numPr>
      </w:pPr>
      <w:r>
        <w:t xml:space="preserve">Fasting plasma glucose (FPG)</w:t>
      </w:r>
    </w:p>
    <w:p>
      <w:pPr>
        <w:pStyle w:val="Compact"/>
        <w:numPr>
          <w:ilvl w:val="0"/>
          <w:numId w:val="1013"/>
        </w:numPr>
      </w:pPr>
      <w:r>
        <w:t xml:space="preserve">Fasting insulin</w:t>
      </w:r>
    </w:p>
    <w:p>
      <w:pPr>
        <w:pStyle w:val="Compact"/>
        <w:numPr>
          <w:ilvl w:val="0"/>
          <w:numId w:val="1013"/>
        </w:numPr>
      </w:pPr>
      <w:r>
        <w:t xml:space="preserve">Triglycerides</w:t>
      </w:r>
    </w:p>
    <w:p>
      <w:pPr>
        <w:pStyle w:val="Compact"/>
        <w:numPr>
          <w:ilvl w:val="0"/>
          <w:numId w:val="1013"/>
        </w:numPr>
      </w:pPr>
      <w:r>
        <w:t xml:space="preserve">HDL-C</w:t>
      </w:r>
    </w:p>
    <w:p>
      <w:pPr>
        <w:pStyle w:val="Compact"/>
        <w:numPr>
          <w:ilvl w:val="0"/>
          <w:numId w:val="1013"/>
        </w:numPr>
      </w:pPr>
      <w:r>
        <w:t xml:space="preserve">LDL-C</w:t>
      </w:r>
    </w:p>
    <w:p>
      <w:pPr>
        <w:pStyle w:val="Compact"/>
        <w:numPr>
          <w:ilvl w:val="0"/>
          <w:numId w:val="1013"/>
        </w:numPr>
      </w:pPr>
      <w:r>
        <w:t xml:space="preserve">Total cholesterol</w:t>
      </w:r>
    </w:p>
    <w:p>
      <w:pPr>
        <w:pStyle w:val="Compact"/>
        <w:numPr>
          <w:ilvl w:val="0"/>
          <w:numId w:val="1013"/>
        </w:numPr>
      </w:pPr>
      <w:r>
        <w:t xml:space="preserve">Uric acid</w:t>
      </w:r>
    </w:p>
    <w:p>
      <w:pPr>
        <w:pStyle w:val="Compact"/>
        <w:numPr>
          <w:ilvl w:val="0"/>
          <w:numId w:val="1013"/>
        </w:numPr>
      </w:pPr>
      <w:r>
        <w:t xml:space="preserve">eGFR</w:t>
      </w:r>
    </w:p>
    <w:p>
      <w:pPr>
        <w:pStyle w:val="Compact"/>
        <w:numPr>
          <w:ilvl w:val="0"/>
          <w:numId w:val="1013"/>
        </w:numPr>
      </w:pPr>
      <w:r>
        <w:t xml:space="preserve">Urinary albumin-to-creatinine ratio</w:t>
      </w:r>
    </w:p>
    <w:p>
      <w:pPr>
        <w:pStyle w:val="Compact"/>
        <w:numPr>
          <w:ilvl w:val="0"/>
          <w:numId w:val="1013"/>
        </w:numPr>
      </w:pPr>
      <w:r>
        <w:t xml:space="preserve">Serum uric acid</w:t>
      </w:r>
    </w:p>
    <w:p>
      <w:pPr>
        <w:pStyle w:val="Compact"/>
        <w:numPr>
          <w:ilvl w:val="0"/>
          <w:numId w:val="1013"/>
        </w:numPr>
      </w:pPr>
      <w:r>
        <w:t xml:space="preserve">ALT, AST</w:t>
      </w:r>
    </w:p>
    <w:p>
      <w:pPr>
        <w:pStyle w:val="Compact"/>
        <w:numPr>
          <w:ilvl w:val="0"/>
          <w:numId w:val="1013"/>
        </w:numPr>
      </w:pPr>
      <w:r>
        <w:t xml:space="preserve">HOMA-IR, HOMA-β</w:t>
      </w:r>
    </w:p>
    <w:p>
      <w:pPr>
        <w:pStyle w:val="Compact"/>
        <w:numPr>
          <w:ilvl w:val="0"/>
          <w:numId w:val="1013"/>
        </w:numPr>
      </w:pPr>
      <w:r>
        <w:t xml:space="preserve">Log-transformed urine albumin</w:t>
      </w:r>
    </w:p>
    <w:p>
      <w:pPr>
        <w:pStyle w:val="Compact"/>
        <w:numPr>
          <w:ilvl w:val="0"/>
          <w:numId w:val="1013"/>
        </w:numPr>
      </w:pPr>
      <w:r>
        <w:t xml:space="preserve">ACR</w:t>
      </w:r>
    </w:p>
    <w:p>
      <w:pPr>
        <w:pStyle w:val="Compact"/>
        <w:numPr>
          <w:ilvl w:val="0"/>
          <w:numId w:val="1013"/>
        </w:numPr>
      </w:pPr>
      <w:r>
        <w:t xml:space="preserve">5 Anhydroglucitol</w:t>
      </w:r>
    </w:p>
    <w:p>
      <w:pPr>
        <w:pStyle w:val="Compact"/>
        <w:numPr>
          <w:ilvl w:val="0"/>
          <w:numId w:val="1013"/>
        </w:numPr>
      </w:pPr>
      <w:r>
        <w:t xml:space="preserve">2-h PG/insulin from OGTT</w:t>
      </w:r>
    </w:p>
    <w:p>
      <w:pPr>
        <w:pStyle w:val="Compact"/>
        <w:numPr>
          <w:ilvl w:val="0"/>
          <w:numId w:val="1013"/>
        </w:numPr>
      </w:pPr>
      <w:r>
        <w:t xml:space="preserve">hs-CRP</w:t>
      </w:r>
    </w:p>
    <w:p>
      <w:pPr>
        <w:pStyle w:val="Compact"/>
        <w:numPr>
          <w:ilvl w:val="0"/>
          <w:numId w:val="1013"/>
        </w:numPr>
      </w:pPr>
      <w:r>
        <w:t xml:space="preserve">Mean HbA1c over last 5 years</w:t>
      </w:r>
    </w:p>
    <w:p>
      <w:pPr>
        <w:pStyle w:val="Compact"/>
        <w:numPr>
          <w:ilvl w:val="0"/>
          <w:numId w:val="1013"/>
        </w:numPr>
      </w:pPr>
      <w:r>
        <w:t xml:space="preserve">Erythrocyte sedimentation rate</w:t>
      </w:r>
    </w:p>
    <w:p>
      <w:pPr>
        <w:pStyle w:val="FirstParagraph"/>
      </w:pPr>
      <w:r>
        <w:rPr>
          <w:b/>
          <w:bCs/>
        </w:rPr>
        <w:t xml:space="preserve">Medication</w:t>
      </w:r>
    </w:p>
    <w:p>
      <w:pPr>
        <w:pStyle w:val="Compact"/>
        <w:numPr>
          <w:ilvl w:val="0"/>
          <w:numId w:val="1014"/>
        </w:numPr>
      </w:pPr>
      <w:r>
        <w:t xml:space="preserve">Antiplatelet agents</w:t>
      </w:r>
    </w:p>
    <w:p>
      <w:pPr>
        <w:pStyle w:val="Compact"/>
        <w:numPr>
          <w:ilvl w:val="0"/>
          <w:numId w:val="1014"/>
        </w:numPr>
      </w:pPr>
      <w:r>
        <w:t xml:space="preserve">Metformin</w:t>
      </w:r>
    </w:p>
    <w:p>
      <w:pPr>
        <w:pStyle w:val="Compact"/>
        <w:numPr>
          <w:ilvl w:val="0"/>
          <w:numId w:val="1014"/>
        </w:numPr>
      </w:pPr>
      <w:r>
        <w:t xml:space="preserve">Use of antihypertensive drugs</w:t>
      </w:r>
    </w:p>
    <w:p>
      <w:pPr>
        <w:pStyle w:val="Compact"/>
        <w:numPr>
          <w:ilvl w:val="0"/>
          <w:numId w:val="1014"/>
        </w:numPr>
      </w:pPr>
      <w:r>
        <w:t xml:space="preserve">Use of statins</w:t>
      </w:r>
    </w:p>
    <w:p>
      <w:pPr>
        <w:pStyle w:val="Compact"/>
        <w:numPr>
          <w:ilvl w:val="0"/>
          <w:numId w:val="1014"/>
        </w:numPr>
      </w:pPr>
      <w:r>
        <w:t xml:space="preserve">Statin exposure</w:t>
      </w:r>
    </w:p>
    <w:p>
      <w:pPr>
        <w:pStyle w:val="Compact"/>
        <w:numPr>
          <w:ilvl w:val="0"/>
          <w:numId w:val="1014"/>
        </w:numPr>
      </w:pPr>
      <w:r>
        <w:t xml:space="preserve">Insulin therapy</w:t>
      </w:r>
    </w:p>
    <w:p>
      <w:pPr>
        <w:pStyle w:val="Compact"/>
        <w:numPr>
          <w:ilvl w:val="0"/>
          <w:numId w:val="1014"/>
        </w:numPr>
      </w:pPr>
      <w:r>
        <w:t xml:space="preserve">Insulin type</w:t>
      </w:r>
    </w:p>
    <w:p>
      <w:pPr>
        <w:pStyle w:val="Compact"/>
        <w:numPr>
          <w:ilvl w:val="0"/>
          <w:numId w:val="1014"/>
        </w:numPr>
      </w:pPr>
      <w:r>
        <w:t xml:space="preserve">anticoagulant use</w:t>
      </w:r>
    </w:p>
    <w:p>
      <w:pPr>
        <w:pStyle w:val="FirstParagraph"/>
      </w:pPr>
      <w:r>
        <w:rPr>
          <w:b/>
          <w:bCs/>
        </w:rPr>
        <w:t xml:space="preserve">CGM/GV metrics</w:t>
      </w:r>
      <w:r>
        <w:t xml:space="preserve"> </w:t>
      </w:r>
      <w:r>
        <w:t xml:space="preserve">(Variables related to CGM data)</w:t>
      </w:r>
    </w:p>
    <w:p>
      <w:pPr>
        <w:pStyle w:val="Compact"/>
        <w:numPr>
          <w:ilvl w:val="0"/>
          <w:numId w:val="1015"/>
        </w:numPr>
      </w:pPr>
      <w:r>
        <w:t xml:space="preserve">MAGE, TIR, TBR, MODD, SDBG, SD, CV</w:t>
      </w:r>
    </w:p>
    <w:p>
      <w:pPr>
        <w:pStyle w:val="Compact"/>
        <w:numPr>
          <w:ilvl w:val="0"/>
          <w:numId w:val="1015"/>
        </w:numPr>
      </w:pPr>
      <w:r>
        <w:t xml:space="preserve">AUC for BG &lt; 3.9 mmol/L</w:t>
      </w:r>
    </w:p>
    <w:p>
      <w:pPr>
        <w:pStyle w:val="Compact"/>
        <w:numPr>
          <w:ilvl w:val="0"/>
          <w:numId w:val="1015"/>
        </w:numPr>
      </w:pPr>
      <w:r>
        <w:t xml:space="preserve">Lowest blood glucose</w:t>
      </w:r>
    </w:p>
    <w:p>
      <w:pPr>
        <w:pStyle w:val="Compact"/>
        <w:numPr>
          <w:ilvl w:val="0"/>
          <w:numId w:val="1015"/>
        </w:numPr>
      </w:pPr>
      <w:r>
        <w:t xml:space="preserve">M-value</w:t>
      </w:r>
    </w:p>
    <w:p>
      <w:pPr>
        <w:pStyle w:val="Compact"/>
        <w:numPr>
          <w:ilvl w:val="0"/>
          <w:numId w:val="1015"/>
        </w:numPr>
      </w:pPr>
      <w:r>
        <w:t xml:space="preserve">Number of days between CGM and CAC</w:t>
      </w:r>
    </w:p>
    <w:p>
      <w:pPr>
        <w:pStyle w:val="FirstParagraph"/>
      </w:pPr>
      <w:r>
        <w:rPr>
          <w:b/>
          <w:bCs/>
        </w:rPr>
        <w:t xml:space="preserve">CVD marker</w:t>
      </w:r>
    </w:p>
    <w:p>
      <w:pPr>
        <w:pStyle w:val="Compact"/>
        <w:numPr>
          <w:ilvl w:val="0"/>
          <w:numId w:val="1016"/>
        </w:numPr>
      </w:pPr>
      <w:r>
        <w:t xml:space="preserve">CHA2DS2-VASc score</w:t>
      </w:r>
    </w:p>
    <w:p>
      <w:pPr>
        <w:pStyle w:val="Compact"/>
        <w:numPr>
          <w:ilvl w:val="0"/>
          <w:numId w:val="1016"/>
        </w:numPr>
      </w:pPr>
      <w:r>
        <w:t xml:space="preserve">Index values for carotid atherosclerosis</w:t>
      </w:r>
    </w:p>
    <w:p>
      <w:pPr>
        <w:pStyle w:val="Compact"/>
        <w:numPr>
          <w:ilvl w:val="0"/>
          <w:numId w:val="1016"/>
        </w:numPr>
      </w:pPr>
      <w:r>
        <w:t xml:space="preserve">LVEF</w:t>
      </w:r>
    </w:p>
    <w:p>
      <w:pPr>
        <w:pStyle w:val="Compact"/>
        <w:numPr>
          <w:ilvl w:val="0"/>
          <w:numId w:val="1016"/>
        </w:numPr>
      </w:pPr>
      <w:r>
        <w:t xml:space="preserve">LVMI</w:t>
      </w:r>
    </w:p>
    <w:bookmarkEnd w:id="453"/>
    <w:bookmarkStart w:id="455" w:name="sec-suppl-cosim"/>
    <w:p>
      <w:pPr>
        <w:pStyle w:val="Heading1"/>
      </w:pPr>
      <w:r>
        <w:t xml:space="preserve">Appendix A — Study II: Cosine Distances</w:t>
      </w:r>
    </w:p>
    <w:tbl>
      <w:tblPr>
        <w:tblStyle w:val="Table"/>
        <w:tblW w:type="pct" w:w="5000"/>
        <w:tblLayout w:type="fixed"/>
        <w:tblLook w:firstRow="0" w:lastRow="0" w:firstColumn="0" w:lastColumn="0" w:noHBand="0" w:noVBand="0" w:val="0000"/>
      </w:tblPr>
      <w:tblGrid>
        <w:gridCol w:w="7920"/>
      </w:tblGrid>
      <w:tr>
        <w:tc>
          <w:tcPr/>
          <w:bookmarkStart w:id="454" w:name="tbl-cosim-race-ntprobnp"/>
          <w:p>
            <w:pPr>
              <w:jc w:val="center"/>
            </w:pPr>
            <w:pPr>
              <w:jc w:val="left"/>
              <w:spacing w:before="200"/>
              <w:pStyle w:val="ImageCaption"/>
            </w:pPr>
            <w:r>
              <w:t xml:space="preserve">Table F.1: Cosim distances for within and between participants for NT-proBNP and race.</w:t>
            </w:r>
          </w:p>
          <w:bookmarkEnd w:id="454"/>
        </w:tc>
      </w:tr>
    </w:tbl>
    <w:bookmarkEnd w:id="455"/>
    <w:bookmarkStart w:id="460" w:name="sec-suppl-pred-stability"/>
    <w:p>
      <w:pPr>
        <w:pStyle w:val="Heading1"/>
      </w:pPr>
      <w:r>
        <w:t xml:space="preserve">Appendix A — Study II: Prediction Stability</w:t>
      </w:r>
    </w:p>
    <w:p>
      <w:pPr>
        <w:pStyle w:val="FirstParagraph"/>
      </w:pPr>
      <w:r>
        <w:t xml:space="preserve">Prediction stability plots revealed more stability the fewer predictors.</w:t>
      </w:r>
    </w:p>
    <w:tbl>
      <w:tblPr>
        <w:tblStyle w:val="Table"/>
        <w:tblW w:type="pct" w:w="5000"/>
        <w:tblLayout w:type="fixed"/>
        <w:tblLook w:firstRow="0" w:lastRow="0" w:firstColumn="0" w:lastColumn="0" w:noHBand="0" w:noVBand="0" w:val="0000"/>
      </w:tblPr>
      <w:tblGrid>
        <w:gridCol w:w="7920"/>
      </w:tblGrid>
      <w:tr>
        <w:tc>
          <w:tcPr/>
          <w:bookmarkStart w:id="459" w:name="fig-pred-stability"/>
          <w:p>
            <w:pPr>
              <w:pStyle w:val="Compact"/>
              <w:jc w:val="center"/>
            </w:pPr>
            <w:r>
              <w:drawing>
                <wp:inline>
                  <wp:extent cx="4000500" cy="5728716"/>
                  <wp:effectExtent b="0" l="0" r="0" t="0"/>
                  <wp:docPr descr="" title="" id="457" name="Picture"/>
                  <a:graphic>
                    <a:graphicData uri="http://schemas.openxmlformats.org/drawingml/2006/picture">
                      <pic:pic>
                        <pic:nvPicPr>
                          <pic:cNvPr descr="figures/4_results_fig/study_2_prediction_stability.png" id="458" name="Picture"/>
                          <pic:cNvPicPr>
                            <a:picLocks noChangeArrowheads="1" noChangeAspect="1"/>
                          </pic:cNvPicPr>
                        </pic:nvPicPr>
                        <pic:blipFill>
                          <a:blip r:embed="rId456"/>
                          <a:stretch>
                            <a:fillRect/>
                          </a:stretch>
                        </pic:blipFill>
                        <pic:spPr bwMode="auto">
                          <a:xfrm>
                            <a:off x="0" y="0"/>
                            <a:ext cx="4000500" cy="5728716"/>
                          </a:xfrm>
                          <a:prstGeom prst="rect">
                            <a:avLst/>
                          </a:prstGeom>
                          <a:noFill/>
                          <a:ln w="9525">
                            <a:noFill/>
                            <a:headEnd/>
                            <a:tailEnd/>
                          </a:ln>
                        </pic:spPr>
                      </pic:pic>
                    </a:graphicData>
                  </a:graphic>
                </wp:inline>
              </w:drawing>
            </w:r>
          </w:p>
          <w:p>
            <w:pPr>
              <w:jc w:val="center"/>
            </w:pPr>
            <w:pPr>
              <w:jc w:val="left"/>
              <w:spacing w:before="200"/>
              <w:pStyle w:val="ImageCaption"/>
            </w:pPr>
            <w:r>
              <w:t xml:space="preserve">Figure G.1: Prediction stability plots show the predictions (estimated risk) for the full dataset from the development model (equivalent to the apparent model) on the x-axis, and the predictions from all bootstrap models on the y-axis. Tight alignment along the diagonal indicates higher prediction stability.</w:t>
            </w:r>
          </w:p>
          <w:bookmarkEnd w:id="459"/>
        </w:tc>
      </w:tr>
    </w:tbl>
    <w:bookmarkEnd w:id="460"/>
    <w:bookmarkStart w:id="463" w:name="sec-suppl-seg-results"/>
    <w:p>
      <w:pPr>
        <w:pStyle w:val="Heading1"/>
      </w:pPr>
      <w:r>
        <w:t xml:space="preserve">Appendix A — Study III: Surveillance Error Grid</w:t>
      </w:r>
    </w:p>
    <w:tbl>
      <w:tblPr>
        <w:tblStyle w:val="Table"/>
        <w:tblW w:type="pct" w:w="5000"/>
        <w:tblLayout w:type="fixed"/>
        <w:tblLook w:firstRow="0" w:lastRow="0" w:firstColumn="0" w:lastColumn="0" w:noHBand="0" w:noVBand="0" w:val="0000"/>
      </w:tblPr>
      <w:tblGrid>
        <w:gridCol w:w="7920"/>
      </w:tblGrid>
      <w:tr>
        <w:tc>
          <w:tcPr/>
          <w:bookmarkStart w:id="461" w:name="tbl-seg-white"/>
          <w:p>
            <w:pPr>
              <w:jc w:val="center"/>
            </w:pPr>
            <w:pPr>
              <w:jc w:val="left"/>
              <w:spacing w:before="200"/>
              <w:pStyle w:val="ImageCaption"/>
            </w:pPr>
            <w:r>
              <w:t xml:space="preserve">Table H.1: Results from the Surveillance Error Grid for White participants. Values are reported as percentages.</w:t>
            </w:r>
          </w:p>
          <w:tbl>
            <w:tblPr>
              <w:tblStyle w:val="Table"/>
              <w:tblW w:type="pct" w:w="5000"/>
              <w:tblLayout w:type="fixed"/>
              <w:tblLook w:firstRow="1" w:lastRow="0" w:firstColumn="0" w:lastColumn="0" w:noHBand="0" w:noVBand="0" w:val="0020"/>
            </w:tblPr>
            <w:tblGrid>
              <w:gridCol w:w="950"/>
              <w:gridCol w:w="1425"/>
              <w:gridCol w:w="1188"/>
              <w:gridCol w:w="712"/>
              <w:gridCol w:w="712"/>
              <w:gridCol w:w="712"/>
              <w:gridCol w:w="712"/>
              <w:gridCol w:w="712"/>
              <w:gridCol w:w="792"/>
            </w:tblGrid>
            <w:tr>
              <w:trPr>
                <w:tblHeader w:val="on"/>
              </w:trPr>
              <w:tc>
                <w:tcPr/>
                <w:p>
                  <w:pPr>
                    <w:pStyle w:val="Compact"/>
                    <w:jc w:val="left"/>
                    <w:jc w:val="center"/>
                  </w:pPr>
                  <w:r>
                    <w:t xml:space="preserve">Group</w:t>
                  </w:r>
                </w:p>
              </w:tc>
              <w:tc>
                <w:tcPr/>
                <w:p>
                  <w:pPr>
                    <w:pStyle w:val="Compact"/>
                    <w:jc w:val="left"/>
                    <w:jc w:val="center"/>
                  </w:pPr>
                  <w:r>
                    <w:t xml:space="preserve">Model</w:t>
                  </w:r>
                </w:p>
              </w:tc>
              <w:tc>
                <w:tcPr/>
                <w:p>
                  <w:pPr>
                    <w:pStyle w:val="Compact"/>
                    <w:jc w:val="left"/>
                    <w:jc w:val="center"/>
                  </w:pPr>
                  <w:r>
                    <w:t xml:space="preserve">Zone</w:t>
                  </w:r>
                </w:p>
              </w:tc>
              <w:tc>
                <w:tcPr/>
                <w:p>
                  <w:pPr>
                    <w:pStyle w:val="Compact"/>
                    <w:jc w:val="right"/>
                    <w:jc w:val="center"/>
                  </w:pPr>
                  <w:r>
                    <w:t xml:space="preserve">0</w:t>
                  </w:r>
                </w:p>
              </w:tc>
              <w:tc>
                <w:tcPr/>
                <w:p>
                  <w:pPr>
                    <w:pStyle w:val="Compact"/>
                    <w:jc w:val="right"/>
                    <w:jc w:val="center"/>
                  </w:pPr>
                  <w:r>
                    <w:t xml:space="preserve">20</w:t>
                  </w:r>
                </w:p>
              </w:tc>
              <w:tc>
                <w:tcPr/>
                <w:p>
                  <w:pPr>
                    <w:pStyle w:val="Compact"/>
                    <w:jc w:val="right"/>
                    <w:jc w:val="center"/>
                  </w:pPr>
                  <w:r>
                    <w:t xml:space="preserve">40</w:t>
                  </w:r>
                </w:p>
              </w:tc>
              <w:tc>
                <w:tcPr/>
                <w:p>
                  <w:pPr>
                    <w:pStyle w:val="Compact"/>
                    <w:jc w:val="right"/>
                    <w:jc w:val="center"/>
                  </w:pPr>
                  <w:r>
                    <w:t xml:space="preserve">60</w:t>
                  </w:r>
                </w:p>
              </w:tc>
              <w:tc>
                <w:tcPr/>
                <w:p>
                  <w:pPr>
                    <w:pStyle w:val="Compact"/>
                    <w:jc w:val="right"/>
                    <w:jc w:val="center"/>
                  </w:pPr>
                  <w:r>
                    <w:t xml:space="preserve">80</w:t>
                  </w:r>
                </w:p>
              </w:tc>
              <w:tc>
                <w:tcPr/>
                <w:p>
                  <w:pPr>
                    <w:pStyle w:val="Compact"/>
                    <w:jc w:val="right"/>
                    <w:jc w:val="center"/>
                  </w:pPr>
                  <w:r>
                    <w:t xml:space="preserve">100</w:t>
                  </w:r>
                </w:p>
              </w:tc>
            </w:tr>
            <w:tr>
              <w:tc>
                <w:tcPr/>
                <w:p>
                  <w:pPr>
                    <w:pStyle w:val="Compact"/>
                    <w:jc w:val="left"/>
                    <w:jc w:val="center"/>
                  </w:pPr>
                  <w:r>
                    <w:t xml:space="preserve">White</w:t>
                  </w:r>
                </w:p>
              </w:tc>
              <w:tc>
                <w:tcPr/>
                <w:p>
                  <w:pPr>
                    <w:pStyle w:val="Compact"/>
                    <w:jc w:val="left"/>
                    <w:jc w:val="center"/>
                  </w:pPr>
                  <w:r>
                    <w:t xml:space="preserve">LOCF</w:t>
                  </w:r>
                </w:p>
              </w:tc>
              <w:tc>
                <w:tcPr/>
                <w:p>
                  <w:pPr>
                    <w:pStyle w:val="Compact"/>
                    <w:jc w:val="left"/>
                    <w:jc w:val="center"/>
                  </w:pPr>
                  <w:r>
                    <w:t xml:space="preserve">None</w:t>
                  </w:r>
                </w:p>
              </w:tc>
              <w:tc>
                <w:tcPr/>
                <w:p>
                  <w:pPr>
                    <w:pStyle w:val="Compact"/>
                    <w:jc w:val="right"/>
                    <w:jc w:val="center"/>
                  </w:pPr>
                  <w:r>
                    <w:t xml:space="preserve">69%</w:t>
                  </w:r>
                </w:p>
              </w:tc>
              <w:tc>
                <w:tcPr/>
                <w:p>
                  <w:pPr>
                    <w:pStyle w:val="Compact"/>
                    <w:jc w:val="right"/>
                    <w:jc w:val="center"/>
                  </w:pPr>
                  <w:r>
                    <w:t xml:space="preserve">69%</w:t>
                  </w:r>
                </w:p>
              </w:tc>
              <w:tc>
                <w:tcPr/>
                <w:p>
                  <w:pPr>
                    <w:pStyle w:val="Compact"/>
                    <w:jc w:val="right"/>
                    <w:jc w:val="center"/>
                  </w:pPr>
                  <w:r>
                    <w:t xml:space="preserve">69%</w:t>
                  </w:r>
                </w:p>
              </w:tc>
              <w:tc>
                <w:tcPr/>
                <w:p>
                  <w:pPr>
                    <w:pStyle w:val="Compact"/>
                    <w:jc w:val="right"/>
                    <w:jc w:val="center"/>
                  </w:pPr>
                  <w:r>
                    <w:t xml:space="preserve">69%</w:t>
                  </w:r>
                </w:p>
              </w:tc>
              <w:tc>
                <w:tcPr/>
                <w:p>
                  <w:pPr>
                    <w:pStyle w:val="Compact"/>
                    <w:jc w:val="right"/>
                    <w:jc w:val="center"/>
                  </w:pPr>
                  <w:r>
                    <w:t xml:space="preserve">69%</w:t>
                  </w:r>
                </w:p>
              </w:tc>
              <w:tc>
                <w:tcPr/>
                <w:p>
                  <w:pPr>
                    <w:pStyle w:val="Compact"/>
                    <w:jc w:val="right"/>
                    <w:jc w:val="center"/>
                  </w:pPr>
                  <w:r>
                    <w:t xml:space="preserve">69%</w:t>
                  </w:r>
                </w:p>
              </w:tc>
            </w:tr>
            <w:tr>
              <w:tc>
                <w:tcPr/>
                <w:p>
                  <w:pPr>
                    <w:pStyle w:val="Compact"/>
                  </w:pPr>
                </w:p>
              </w:tc>
              <w:tc>
                <w:tcPr/>
                <w:p>
                  <w:pPr>
                    <w:pStyle w:val="Compact"/>
                  </w:pPr>
                </w:p>
              </w:tc>
              <w:tc>
                <w:tcPr/>
                <w:p>
                  <w:pPr>
                    <w:pStyle w:val="Compact"/>
                    <w:jc w:val="left"/>
                    <w:jc w:val="center"/>
                  </w:pPr>
                  <w:r>
                    <w:t xml:space="preserve">Slight</w:t>
                  </w:r>
                </w:p>
              </w:tc>
              <w:tc>
                <w:tcPr/>
                <w:p>
                  <w:pPr>
                    <w:pStyle w:val="Compact"/>
                    <w:jc w:val="right"/>
                    <w:jc w:val="center"/>
                  </w:pPr>
                  <w:r>
                    <w:t xml:space="preserve">26%</w:t>
                  </w:r>
                </w:p>
              </w:tc>
              <w:tc>
                <w:tcPr/>
                <w:p>
                  <w:pPr>
                    <w:pStyle w:val="Compact"/>
                    <w:jc w:val="right"/>
                    <w:jc w:val="center"/>
                  </w:pPr>
                  <w:r>
                    <w:t xml:space="preserve">26%</w:t>
                  </w:r>
                </w:p>
              </w:tc>
              <w:tc>
                <w:tcPr/>
                <w:p>
                  <w:pPr>
                    <w:pStyle w:val="Compact"/>
                    <w:jc w:val="right"/>
                    <w:jc w:val="center"/>
                  </w:pPr>
                  <w:r>
                    <w:t xml:space="preserve">26%</w:t>
                  </w:r>
                </w:p>
              </w:tc>
              <w:tc>
                <w:tcPr/>
                <w:p>
                  <w:pPr>
                    <w:pStyle w:val="Compact"/>
                    <w:jc w:val="right"/>
                    <w:jc w:val="center"/>
                  </w:pPr>
                  <w:r>
                    <w:t xml:space="preserve">26%</w:t>
                  </w:r>
                </w:p>
              </w:tc>
              <w:tc>
                <w:tcPr/>
                <w:p>
                  <w:pPr>
                    <w:pStyle w:val="Compact"/>
                    <w:jc w:val="right"/>
                    <w:jc w:val="center"/>
                  </w:pPr>
                  <w:r>
                    <w:t xml:space="preserve">26%</w:t>
                  </w:r>
                </w:p>
              </w:tc>
              <w:tc>
                <w:tcPr/>
                <w:p>
                  <w:pPr>
                    <w:pStyle w:val="Compact"/>
                    <w:jc w:val="right"/>
                    <w:jc w:val="center"/>
                  </w:pPr>
                  <w:r>
                    <w:t xml:space="preserve">26%</w:t>
                  </w:r>
                </w:p>
              </w:tc>
            </w:tr>
            <w:tr>
              <w:tc>
                <w:tcPr/>
                <w:p>
                  <w:pPr>
                    <w:pStyle w:val="Compact"/>
                  </w:pPr>
                </w:p>
              </w:tc>
              <w:tc>
                <w:tcPr/>
                <w:p>
                  <w:pPr>
                    <w:pStyle w:val="Compact"/>
                  </w:pPr>
                </w:p>
              </w:tc>
              <w:tc>
                <w:tcPr/>
                <w:p>
                  <w:pPr>
                    <w:pStyle w:val="Compact"/>
                    <w:jc w:val="left"/>
                    <w:jc w:val="center"/>
                  </w:pPr>
                  <w:r>
                    <w:t xml:space="preserve">Moderate</w:t>
                  </w:r>
                </w:p>
              </w:tc>
              <w:tc>
                <w:tcPr/>
                <w:p>
                  <w:pPr>
                    <w:pStyle w:val="Compact"/>
                    <w:jc w:val="right"/>
                    <w:jc w:val="center"/>
                  </w:pPr>
                  <w:r>
                    <w:t xml:space="preserve">4%</w:t>
                  </w:r>
                </w:p>
              </w:tc>
              <w:tc>
                <w:tcPr/>
                <w:p>
                  <w:pPr>
                    <w:pStyle w:val="Compact"/>
                    <w:jc w:val="right"/>
                    <w:jc w:val="center"/>
                  </w:pPr>
                  <w:r>
                    <w:t xml:space="preserve">4%</w:t>
                  </w:r>
                </w:p>
              </w:tc>
              <w:tc>
                <w:tcPr/>
                <w:p>
                  <w:pPr>
                    <w:pStyle w:val="Compact"/>
                    <w:jc w:val="right"/>
                    <w:jc w:val="center"/>
                  </w:pPr>
                  <w:r>
                    <w:t xml:space="preserve">4%</w:t>
                  </w:r>
                </w:p>
              </w:tc>
              <w:tc>
                <w:tcPr/>
                <w:p>
                  <w:pPr>
                    <w:pStyle w:val="Compact"/>
                    <w:jc w:val="right"/>
                    <w:jc w:val="center"/>
                  </w:pPr>
                  <w:r>
                    <w:t xml:space="preserve">4%</w:t>
                  </w:r>
                </w:p>
              </w:tc>
              <w:tc>
                <w:tcPr/>
                <w:p>
                  <w:pPr>
                    <w:pStyle w:val="Compact"/>
                    <w:jc w:val="right"/>
                    <w:jc w:val="center"/>
                  </w:pPr>
                  <w:r>
                    <w:t xml:space="preserve">4%</w:t>
                  </w:r>
                </w:p>
              </w:tc>
              <w:tc>
                <w:tcPr/>
                <w:p>
                  <w:pPr>
                    <w:pStyle w:val="Compact"/>
                    <w:jc w:val="right"/>
                    <w:jc w:val="center"/>
                  </w:pPr>
                  <w:r>
                    <w:t xml:space="preserve">4%</w:t>
                  </w:r>
                </w:p>
              </w:tc>
            </w:tr>
            <w:tr>
              <w:tc>
                <w:tcPr/>
                <w:p>
                  <w:pPr>
                    <w:pStyle w:val="Compact"/>
                  </w:pPr>
                </w:p>
              </w:tc>
              <w:tc>
                <w:tcPr/>
                <w:p>
                  <w:pPr>
                    <w:pStyle w:val="Compact"/>
                  </w:pPr>
                </w:p>
              </w:tc>
              <w:tc>
                <w:tcPr/>
                <w:p>
                  <w:pPr>
                    <w:pStyle w:val="Compact"/>
                    <w:jc w:val="left"/>
                    <w:jc w:val="center"/>
                  </w:pPr>
                  <w:r>
                    <w:t xml:space="preserve">High</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pPr>
                </w:p>
              </w:tc>
              <w:tc>
                <w:tcPr/>
                <w:p>
                  <w:pPr>
                    <w:pStyle w:val="Compact"/>
                  </w:pPr>
                </w:p>
              </w:tc>
              <w:tc>
                <w:tcPr/>
                <w:p>
                  <w:pPr>
                    <w:pStyle w:val="Compact"/>
                    <w:jc w:val="left"/>
                    <w:jc w:val="center"/>
                  </w:pPr>
                  <w:r>
                    <w:t xml:space="preserve">Extreme</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pPr>
                </w:p>
              </w:tc>
              <w:tc>
                <w:tcPr/>
                <w:p>
                  <w:pPr>
                    <w:pStyle w:val="Compact"/>
                    <w:jc w:val="left"/>
                    <w:jc w:val="center"/>
                  </w:pPr>
                  <w:r>
                    <w:t xml:space="preserve">Base-</w:t>
                  </w:r>
                </w:p>
              </w:tc>
              <w:tc>
                <w:tcPr/>
                <w:p>
                  <w:pPr>
                    <w:pStyle w:val="Compact"/>
                    <w:jc w:val="left"/>
                    <w:jc w:val="center"/>
                  </w:pPr>
                  <w:r>
                    <w:t xml:space="preserve">None</w:t>
                  </w:r>
                </w:p>
              </w:tc>
              <w:tc>
                <w:tcPr/>
                <w:p>
                  <w:pPr>
                    <w:pStyle w:val="Compact"/>
                    <w:jc w:val="right"/>
                    <w:jc w:val="center"/>
                  </w:pPr>
                  <w:r>
                    <w:t xml:space="preserve">66%</w:t>
                  </w:r>
                </w:p>
              </w:tc>
              <w:tc>
                <w:tcPr/>
                <w:p>
                  <w:pPr>
                    <w:pStyle w:val="Compact"/>
                    <w:jc w:val="right"/>
                    <w:jc w:val="center"/>
                  </w:pPr>
                  <w:r>
                    <w:t xml:space="preserve">66%</w:t>
                  </w:r>
                </w:p>
              </w:tc>
              <w:tc>
                <w:tcPr/>
                <w:p>
                  <w:pPr>
                    <w:pStyle w:val="Compact"/>
                    <w:jc w:val="right"/>
                    <w:jc w:val="center"/>
                  </w:pPr>
                  <w:r>
                    <w:t xml:space="preserve">66%</w:t>
                  </w:r>
                </w:p>
              </w:tc>
              <w:tc>
                <w:tcPr/>
                <w:p>
                  <w:pPr>
                    <w:pStyle w:val="Compact"/>
                    <w:jc w:val="right"/>
                    <w:jc w:val="center"/>
                  </w:pPr>
                  <w:r>
                    <w:t xml:space="preserve">66%</w:t>
                  </w:r>
                </w:p>
              </w:tc>
              <w:tc>
                <w:tcPr/>
                <w:p>
                  <w:pPr>
                    <w:pStyle w:val="Compact"/>
                    <w:jc w:val="right"/>
                    <w:jc w:val="center"/>
                  </w:pPr>
                  <w:r>
                    <w:t xml:space="preserve">66%</w:t>
                  </w:r>
                </w:p>
              </w:tc>
              <w:tc>
                <w:tcPr/>
                <w:p>
                  <w:pPr>
                    <w:pStyle w:val="Compact"/>
                    <w:jc w:val="right"/>
                    <w:jc w:val="center"/>
                  </w:pPr>
                  <w:r>
                    <w:t xml:space="preserve">66%</w:t>
                  </w:r>
                </w:p>
              </w:tc>
            </w:tr>
            <w:tr>
              <w:tc>
                <w:tcPr/>
                <w:p>
                  <w:pPr>
                    <w:pStyle w:val="Compact"/>
                  </w:pPr>
                </w:p>
              </w:tc>
              <w:tc>
                <w:tcPr/>
                <w:p>
                  <w:pPr>
                    <w:pStyle w:val="Compact"/>
                    <w:jc w:val="left"/>
                    <w:jc w:val="center"/>
                  </w:pPr>
                  <w:r>
                    <w:t xml:space="preserve">Individual</w:t>
                  </w:r>
                </w:p>
              </w:tc>
              <w:tc>
                <w:tcPr/>
                <w:p>
                  <w:pPr>
                    <w:pStyle w:val="Compact"/>
                    <w:jc w:val="left"/>
                    <w:jc w:val="center"/>
                  </w:pPr>
                  <w:r>
                    <w:t xml:space="preserve">Slight</w:t>
                  </w:r>
                </w:p>
              </w:tc>
              <w:tc>
                <w:tcPr/>
                <w:p>
                  <w:pPr>
                    <w:pStyle w:val="Compact"/>
                    <w:jc w:val="right"/>
                    <w:jc w:val="center"/>
                  </w:pPr>
                  <w:r>
                    <w:t xml:space="preserve">28%</w:t>
                  </w:r>
                </w:p>
              </w:tc>
              <w:tc>
                <w:tcPr/>
                <w:p>
                  <w:pPr>
                    <w:pStyle w:val="Compact"/>
                    <w:jc w:val="right"/>
                    <w:jc w:val="center"/>
                  </w:pPr>
                  <w:r>
                    <w:t xml:space="preserve">28%</w:t>
                  </w:r>
                </w:p>
              </w:tc>
              <w:tc>
                <w:tcPr/>
                <w:p>
                  <w:pPr>
                    <w:pStyle w:val="Compact"/>
                    <w:jc w:val="right"/>
                    <w:jc w:val="center"/>
                  </w:pPr>
                  <w:r>
                    <w:t xml:space="preserve">28%</w:t>
                  </w:r>
                </w:p>
              </w:tc>
              <w:tc>
                <w:tcPr/>
                <w:p>
                  <w:pPr>
                    <w:pStyle w:val="Compact"/>
                    <w:jc w:val="right"/>
                    <w:jc w:val="center"/>
                  </w:pPr>
                  <w:r>
                    <w:t xml:space="preserve">28%</w:t>
                  </w:r>
                </w:p>
              </w:tc>
              <w:tc>
                <w:tcPr/>
                <w:p>
                  <w:pPr>
                    <w:pStyle w:val="Compact"/>
                    <w:jc w:val="right"/>
                    <w:jc w:val="center"/>
                  </w:pPr>
                  <w:r>
                    <w:t xml:space="preserve">28%</w:t>
                  </w:r>
                </w:p>
              </w:tc>
              <w:tc>
                <w:tcPr/>
                <w:p>
                  <w:pPr>
                    <w:pStyle w:val="Compact"/>
                    <w:jc w:val="right"/>
                    <w:jc w:val="center"/>
                  </w:pPr>
                  <w:r>
                    <w:t xml:space="preserve">28%</w:t>
                  </w:r>
                </w:p>
              </w:tc>
            </w:tr>
            <w:tr>
              <w:tc>
                <w:tcPr/>
                <w:p>
                  <w:pPr>
                    <w:pStyle w:val="Compact"/>
                  </w:pPr>
                </w:p>
              </w:tc>
              <w:tc>
                <w:tcPr/>
                <w:p>
                  <w:pPr>
                    <w:pStyle w:val="Compact"/>
                  </w:pPr>
                </w:p>
              </w:tc>
              <w:tc>
                <w:tcPr/>
                <w:p>
                  <w:pPr>
                    <w:pStyle w:val="Compact"/>
                    <w:jc w:val="left"/>
                    <w:jc w:val="center"/>
                  </w:pPr>
                  <w:r>
                    <w:t xml:space="preserve">Moderate</w:t>
                  </w:r>
                </w:p>
              </w:tc>
              <w:tc>
                <w:tcPr/>
                <w:p>
                  <w:pPr>
                    <w:pStyle w:val="Compact"/>
                    <w:jc w:val="right"/>
                    <w:jc w:val="center"/>
                  </w:pPr>
                  <w:r>
                    <w:t xml:space="preserve">6%</w:t>
                  </w:r>
                </w:p>
              </w:tc>
              <w:tc>
                <w:tcPr/>
                <w:p>
                  <w:pPr>
                    <w:pStyle w:val="Compact"/>
                    <w:jc w:val="right"/>
                    <w:jc w:val="center"/>
                  </w:pPr>
                  <w:r>
                    <w:t xml:space="preserve">6%</w:t>
                  </w:r>
                </w:p>
              </w:tc>
              <w:tc>
                <w:tcPr/>
                <w:p>
                  <w:pPr>
                    <w:pStyle w:val="Compact"/>
                    <w:jc w:val="right"/>
                    <w:jc w:val="center"/>
                  </w:pPr>
                  <w:r>
                    <w:t xml:space="preserve">6%</w:t>
                  </w:r>
                </w:p>
              </w:tc>
              <w:tc>
                <w:tcPr/>
                <w:p>
                  <w:pPr>
                    <w:pStyle w:val="Compact"/>
                    <w:jc w:val="right"/>
                    <w:jc w:val="center"/>
                  </w:pPr>
                  <w:r>
                    <w:t xml:space="preserve">6%</w:t>
                  </w:r>
                </w:p>
              </w:tc>
              <w:tc>
                <w:tcPr/>
                <w:p>
                  <w:pPr>
                    <w:pStyle w:val="Compact"/>
                    <w:jc w:val="right"/>
                    <w:jc w:val="center"/>
                  </w:pPr>
                  <w:r>
                    <w:t xml:space="preserve">6%</w:t>
                  </w:r>
                </w:p>
              </w:tc>
              <w:tc>
                <w:tcPr/>
                <w:p>
                  <w:pPr>
                    <w:pStyle w:val="Compact"/>
                    <w:jc w:val="right"/>
                    <w:jc w:val="center"/>
                  </w:pPr>
                  <w:r>
                    <w:t xml:space="preserve">6%</w:t>
                  </w:r>
                </w:p>
              </w:tc>
            </w:tr>
            <w:tr>
              <w:tc>
                <w:tcPr/>
                <w:p>
                  <w:pPr>
                    <w:pStyle w:val="Compact"/>
                  </w:pPr>
                </w:p>
              </w:tc>
              <w:tc>
                <w:tcPr/>
                <w:p>
                  <w:pPr>
                    <w:pStyle w:val="Compact"/>
                  </w:pPr>
                </w:p>
              </w:tc>
              <w:tc>
                <w:tcPr/>
                <w:p>
                  <w:pPr>
                    <w:pStyle w:val="Compact"/>
                    <w:jc w:val="left"/>
                    <w:jc w:val="center"/>
                  </w:pPr>
                  <w:r>
                    <w:t xml:space="preserve">High</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pPr>
                </w:p>
              </w:tc>
              <w:tc>
                <w:tcPr/>
                <w:p>
                  <w:pPr>
                    <w:pStyle w:val="Compact"/>
                  </w:pPr>
                </w:p>
              </w:tc>
              <w:tc>
                <w:tcPr/>
                <w:p>
                  <w:pPr>
                    <w:pStyle w:val="Compact"/>
                    <w:jc w:val="left"/>
                    <w:jc w:val="center"/>
                  </w:pPr>
                  <w:r>
                    <w:t xml:space="preserve">Extreme</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pPr>
                </w:p>
              </w:tc>
              <w:tc>
                <w:tcPr/>
                <w:p>
                  <w:pPr>
                    <w:pStyle w:val="Compact"/>
                    <w:jc w:val="left"/>
                    <w:jc w:val="center"/>
                  </w:pPr>
                  <w:r>
                    <w:t xml:space="preserve">Base-</w:t>
                  </w:r>
                </w:p>
              </w:tc>
              <w:tc>
                <w:tcPr/>
                <w:p>
                  <w:pPr>
                    <w:pStyle w:val="Compact"/>
                    <w:jc w:val="left"/>
                    <w:jc w:val="center"/>
                  </w:pPr>
                  <w:r>
                    <w:t xml:space="preserve">None</w:t>
                  </w:r>
                </w:p>
              </w:tc>
              <w:tc>
                <w:tcPr/>
                <w:p>
                  <w:pPr>
                    <w:pStyle w:val="Compact"/>
                    <w:jc w:val="right"/>
                    <w:jc w:val="center"/>
                  </w:pPr>
                  <w:r>
                    <w:t xml:space="preserve">72%</w:t>
                  </w:r>
                </w:p>
              </w:tc>
              <w:tc>
                <w:tcPr/>
                <w:p>
                  <w:pPr>
                    <w:pStyle w:val="Compact"/>
                    <w:jc w:val="right"/>
                    <w:jc w:val="center"/>
                  </w:pPr>
                  <w:r>
                    <w:t xml:space="preserve">73%</w:t>
                  </w:r>
                </w:p>
              </w:tc>
              <w:tc>
                <w:tcPr/>
                <w:p>
                  <w:pPr>
                    <w:pStyle w:val="Compact"/>
                    <w:jc w:val="right"/>
                    <w:jc w:val="center"/>
                  </w:pPr>
                  <w:r>
                    <w:t xml:space="preserve">73%</w:t>
                  </w:r>
                </w:p>
              </w:tc>
              <w:tc>
                <w:tcPr/>
                <w:p>
                  <w:pPr>
                    <w:pStyle w:val="Compact"/>
                    <w:jc w:val="right"/>
                    <w:jc w:val="center"/>
                  </w:pPr>
                  <w:r>
                    <w:t xml:space="preserve">73%</w:t>
                  </w:r>
                </w:p>
              </w:tc>
              <w:tc>
                <w:tcPr/>
                <w:p>
                  <w:pPr>
                    <w:pStyle w:val="Compact"/>
                    <w:jc w:val="right"/>
                    <w:jc w:val="center"/>
                  </w:pPr>
                  <w:r>
                    <w:t xml:space="preserve">73%</w:t>
                  </w:r>
                </w:p>
              </w:tc>
              <w:tc>
                <w:tcPr/>
                <w:p>
                  <w:pPr>
                    <w:pStyle w:val="Compact"/>
                    <w:jc w:val="right"/>
                    <w:jc w:val="center"/>
                  </w:pPr>
                  <w:r>
                    <w:t xml:space="preserve">73%</w:t>
                  </w:r>
                </w:p>
              </w:tc>
            </w:tr>
            <w:tr>
              <w:tc>
                <w:tcPr/>
                <w:p>
                  <w:pPr>
                    <w:pStyle w:val="Compact"/>
                  </w:pPr>
                </w:p>
              </w:tc>
              <w:tc>
                <w:tcPr/>
                <w:p>
                  <w:pPr>
                    <w:pStyle w:val="Compact"/>
                    <w:jc w:val="left"/>
                    <w:jc w:val="center"/>
                  </w:pPr>
                  <w:r>
                    <w:t xml:space="preserve">Generalized</w:t>
                  </w:r>
                </w:p>
              </w:tc>
              <w:tc>
                <w:tcPr/>
                <w:p>
                  <w:pPr>
                    <w:pStyle w:val="Compact"/>
                    <w:jc w:val="left"/>
                    <w:jc w:val="center"/>
                  </w:pPr>
                  <w:r>
                    <w:t xml:space="preserve">Slight</w:t>
                  </w:r>
                </w:p>
              </w:tc>
              <w:tc>
                <w:tcPr/>
                <w:p>
                  <w:pPr>
                    <w:pStyle w:val="Compact"/>
                    <w:jc w:val="right"/>
                    <w:jc w:val="center"/>
                  </w:pPr>
                  <w:r>
                    <w:t xml:space="preserve">25%</w:t>
                  </w:r>
                </w:p>
              </w:tc>
              <w:tc>
                <w:tcPr/>
                <w:p>
                  <w:pPr>
                    <w:pStyle w:val="Compact"/>
                    <w:jc w:val="right"/>
                    <w:jc w:val="center"/>
                  </w:pPr>
                  <w:r>
                    <w:t xml:space="preserve">25%</w:t>
                  </w:r>
                </w:p>
              </w:tc>
              <w:tc>
                <w:tcPr/>
                <w:p>
                  <w:pPr>
                    <w:pStyle w:val="Compact"/>
                    <w:jc w:val="right"/>
                    <w:jc w:val="center"/>
                  </w:pPr>
                  <w:r>
                    <w:t xml:space="preserve">25%</w:t>
                  </w:r>
                </w:p>
              </w:tc>
              <w:tc>
                <w:tcPr/>
                <w:p>
                  <w:pPr>
                    <w:pStyle w:val="Compact"/>
                    <w:jc w:val="right"/>
                    <w:jc w:val="center"/>
                  </w:pPr>
                  <w:r>
                    <w:t xml:space="preserve">24%</w:t>
                  </w:r>
                </w:p>
              </w:tc>
              <w:tc>
                <w:tcPr/>
                <w:p>
                  <w:pPr>
                    <w:pStyle w:val="Compact"/>
                    <w:jc w:val="right"/>
                    <w:jc w:val="center"/>
                  </w:pPr>
                  <w:r>
                    <w:t xml:space="preserve">24%</w:t>
                  </w:r>
                </w:p>
              </w:tc>
              <w:tc>
                <w:tcPr/>
                <w:p>
                  <w:pPr>
                    <w:pStyle w:val="Compact"/>
                    <w:jc w:val="right"/>
                    <w:jc w:val="center"/>
                  </w:pPr>
                  <w:r>
                    <w:t xml:space="preserve">24%</w:t>
                  </w:r>
                </w:p>
              </w:tc>
            </w:tr>
            <w:tr>
              <w:tc>
                <w:tcPr/>
                <w:p>
                  <w:pPr>
                    <w:pStyle w:val="Compact"/>
                  </w:pPr>
                </w:p>
              </w:tc>
              <w:tc>
                <w:tcPr/>
                <w:p>
                  <w:pPr>
                    <w:pStyle w:val="Compact"/>
                  </w:pPr>
                </w:p>
              </w:tc>
              <w:tc>
                <w:tcPr/>
                <w:p>
                  <w:pPr>
                    <w:pStyle w:val="Compact"/>
                    <w:jc w:val="left"/>
                    <w:jc w:val="center"/>
                  </w:pPr>
                  <w:r>
                    <w:t xml:space="preserve">Moderate</w:t>
                  </w:r>
                </w:p>
              </w:tc>
              <w:tc>
                <w:tcPr/>
                <w:p>
                  <w:pPr>
                    <w:pStyle w:val="Compact"/>
                    <w:jc w:val="right"/>
                    <w:jc w:val="center"/>
                  </w:pPr>
                  <w:r>
                    <w:t xml:space="preserve">3%</w:t>
                  </w:r>
                </w:p>
              </w:tc>
              <w:tc>
                <w:tcPr/>
                <w:p>
                  <w:pPr>
                    <w:pStyle w:val="Compact"/>
                    <w:jc w:val="right"/>
                    <w:jc w:val="center"/>
                  </w:pPr>
                  <w:r>
                    <w:t xml:space="preserve">3%</w:t>
                  </w:r>
                </w:p>
              </w:tc>
              <w:tc>
                <w:tcPr/>
                <w:p>
                  <w:pPr>
                    <w:pStyle w:val="Compact"/>
                    <w:jc w:val="right"/>
                    <w:jc w:val="center"/>
                  </w:pPr>
                  <w:r>
                    <w:t xml:space="preserve">3%</w:t>
                  </w:r>
                </w:p>
              </w:tc>
              <w:tc>
                <w:tcPr/>
                <w:p>
                  <w:pPr>
                    <w:pStyle w:val="Compact"/>
                    <w:jc w:val="right"/>
                    <w:jc w:val="center"/>
                  </w:pPr>
                  <w:r>
                    <w:t xml:space="preserve">3%</w:t>
                  </w:r>
                </w:p>
              </w:tc>
              <w:tc>
                <w:tcPr/>
                <w:p>
                  <w:pPr>
                    <w:pStyle w:val="Compact"/>
                    <w:jc w:val="right"/>
                    <w:jc w:val="center"/>
                  </w:pPr>
                  <w:r>
                    <w:t xml:space="preserve">3%</w:t>
                  </w:r>
                </w:p>
              </w:tc>
              <w:tc>
                <w:tcPr/>
                <w:p>
                  <w:pPr>
                    <w:pStyle w:val="Compact"/>
                    <w:jc w:val="right"/>
                    <w:jc w:val="center"/>
                  </w:pPr>
                  <w:r>
                    <w:t xml:space="preserve">3%</w:t>
                  </w:r>
                </w:p>
              </w:tc>
            </w:tr>
            <w:tr>
              <w:tc>
                <w:tcPr/>
                <w:p>
                  <w:pPr>
                    <w:pStyle w:val="Compact"/>
                  </w:pPr>
                </w:p>
              </w:tc>
              <w:tc>
                <w:tcPr/>
                <w:p>
                  <w:pPr>
                    <w:pStyle w:val="Compact"/>
                  </w:pPr>
                </w:p>
              </w:tc>
              <w:tc>
                <w:tcPr/>
                <w:p>
                  <w:pPr>
                    <w:pStyle w:val="Compact"/>
                    <w:jc w:val="left"/>
                    <w:jc w:val="center"/>
                  </w:pPr>
                  <w:r>
                    <w:t xml:space="preserve">High</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pPr>
                </w:p>
              </w:tc>
              <w:tc>
                <w:tcPr/>
                <w:p>
                  <w:pPr>
                    <w:pStyle w:val="Compact"/>
                  </w:pPr>
                </w:p>
              </w:tc>
              <w:tc>
                <w:tcPr/>
                <w:p>
                  <w:pPr>
                    <w:pStyle w:val="Compact"/>
                    <w:jc w:val="left"/>
                    <w:jc w:val="center"/>
                  </w:pPr>
                  <w:r>
                    <w:t xml:space="preserve">Extreme</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pPr>
                </w:p>
              </w:tc>
              <w:tc>
                <w:tcPr/>
                <w:p>
                  <w:pPr>
                    <w:pStyle w:val="Compact"/>
                    <w:jc w:val="left"/>
                    <w:jc w:val="center"/>
                  </w:pPr>
                  <w:r>
                    <w:t xml:space="preserve">Transfer</w:t>
                  </w:r>
                </w:p>
              </w:tc>
              <w:tc>
                <w:tcPr/>
                <w:p>
                  <w:pPr>
                    <w:pStyle w:val="Compact"/>
                    <w:jc w:val="left"/>
                    <w:jc w:val="center"/>
                  </w:pPr>
                  <w:r>
                    <w:t xml:space="preserve">None</w:t>
                  </w:r>
                </w:p>
              </w:tc>
              <w:tc>
                <w:tcPr/>
                <w:p>
                  <w:pPr>
                    <w:pStyle w:val="Compact"/>
                    <w:jc w:val="right"/>
                    <w:jc w:val="center"/>
                  </w:pPr>
                  <w:r>
                    <w:t xml:space="preserve">72%</w:t>
                  </w:r>
                </w:p>
              </w:tc>
              <w:tc>
                <w:tcPr/>
                <w:p>
                  <w:pPr>
                    <w:pStyle w:val="Compact"/>
                    <w:jc w:val="right"/>
                    <w:jc w:val="center"/>
                  </w:pPr>
                  <w:r>
                    <w:t xml:space="preserve">72%</w:t>
                  </w:r>
                </w:p>
              </w:tc>
              <w:tc>
                <w:tcPr/>
                <w:p>
                  <w:pPr>
                    <w:pStyle w:val="Compact"/>
                    <w:jc w:val="right"/>
                    <w:jc w:val="center"/>
                  </w:pPr>
                  <w:r>
                    <w:t xml:space="preserve">73%</w:t>
                  </w:r>
                </w:p>
              </w:tc>
              <w:tc>
                <w:tcPr/>
                <w:p>
                  <w:pPr>
                    <w:pStyle w:val="Compact"/>
                    <w:jc w:val="right"/>
                    <w:jc w:val="center"/>
                  </w:pPr>
                  <w:r>
                    <w:t xml:space="preserve">73%</w:t>
                  </w:r>
                </w:p>
              </w:tc>
              <w:tc>
                <w:tcPr/>
                <w:p>
                  <w:pPr>
                    <w:pStyle w:val="Compact"/>
                    <w:jc w:val="right"/>
                    <w:jc w:val="center"/>
                  </w:pPr>
                  <w:r>
                    <w:t xml:space="preserve">73%</w:t>
                  </w:r>
                </w:p>
              </w:tc>
              <w:tc>
                <w:tcPr/>
                <w:p>
                  <w:pPr>
                    <w:pStyle w:val="Compact"/>
                    <w:jc w:val="right"/>
                    <w:jc w:val="center"/>
                  </w:pPr>
                  <w:r>
                    <w:t xml:space="preserve">73%</w:t>
                  </w:r>
                </w:p>
              </w:tc>
            </w:tr>
            <w:tr>
              <w:tc>
                <w:tcPr/>
                <w:p>
                  <w:pPr>
                    <w:pStyle w:val="Compact"/>
                  </w:pPr>
                </w:p>
              </w:tc>
              <w:tc>
                <w:tcPr/>
                <w:p>
                  <w:pPr>
                    <w:pStyle w:val="Compact"/>
                    <w:jc w:val="left"/>
                    <w:jc w:val="center"/>
                  </w:pPr>
                  <w:r>
                    <w:t xml:space="preserve">Learned</w:t>
                  </w:r>
                </w:p>
              </w:tc>
              <w:tc>
                <w:tcPr/>
                <w:p>
                  <w:pPr>
                    <w:pStyle w:val="Compact"/>
                    <w:jc w:val="left"/>
                    <w:jc w:val="center"/>
                  </w:pPr>
                  <w:r>
                    <w:t xml:space="preserve">Slight</w:t>
                  </w:r>
                </w:p>
              </w:tc>
              <w:tc>
                <w:tcPr/>
                <w:p>
                  <w:pPr>
                    <w:pStyle w:val="Compact"/>
                    <w:jc w:val="right"/>
                    <w:jc w:val="center"/>
                  </w:pPr>
                  <w:r>
                    <w:t xml:space="preserve">25%</w:t>
                  </w:r>
                </w:p>
              </w:tc>
              <w:tc>
                <w:tcPr/>
                <w:p>
                  <w:pPr>
                    <w:pStyle w:val="Compact"/>
                    <w:jc w:val="right"/>
                    <w:jc w:val="center"/>
                  </w:pPr>
                  <w:r>
                    <w:t xml:space="preserve">24%</w:t>
                  </w:r>
                </w:p>
              </w:tc>
              <w:tc>
                <w:tcPr/>
                <w:p>
                  <w:pPr>
                    <w:pStyle w:val="Compact"/>
                    <w:jc w:val="right"/>
                    <w:jc w:val="center"/>
                  </w:pPr>
                  <w:r>
                    <w:t xml:space="preserve">24%</w:t>
                  </w:r>
                </w:p>
              </w:tc>
              <w:tc>
                <w:tcPr/>
                <w:p>
                  <w:pPr>
                    <w:pStyle w:val="Compact"/>
                    <w:jc w:val="right"/>
                    <w:jc w:val="center"/>
                  </w:pPr>
                  <w:r>
                    <w:t xml:space="preserve">24%</w:t>
                  </w:r>
                </w:p>
              </w:tc>
              <w:tc>
                <w:tcPr/>
                <w:p>
                  <w:pPr>
                    <w:pStyle w:val="Compact"/>
                    <w:jc w:val="right"/>
                    <w:jc w:val="center"/>
                  </w:pPr>
                  <w:r>
                    <w:t xml:space="preserve">24%</w:t>
                  </w:r>
                </w:p>
              </w:tc>
              <w:tc>
                <w:tcPr/>
                <w:p>
                  <w:pPr>
                    <w:pStyle w:val="Compact"/>
                    <w:jc w:val="right"/>
                    <w:jc w:val="center"/>
                  </w:pPr>
                  <w:r>
                    <w:t xml:space="preserve">24%</w:t>
                  </w:r>
                </w:p>
              </w:tc>
            </w:tr>
            <w:tr>
              <w:tc>
                <w:tcPr/>
                <w:p>
                  <w:pPr>
                    <w:pStyle w:val="Compact"/>
                  </w:pPr>
                </w:p>
              </w:tc>
              <w:tc>
                <w:tcPr/>
                <w:p>
                  <w:pPr>
                    <w:pStyle w:val="Compact"/>
                  </w:pPr>
                </w:p>
              </w:tc>
              <w:tc>
                <w:tcPr/>
                <w:p>
                  <w:pPr>
                    <w:pStyle w:val="Compact"/>
                    <w:jc w:val="left"/>
                    <w:jc w:val="center"/>
                  </w:pPr>
                  <w:r>
                    <w:t xml:space="preserve">Moderate</w:t>
                  </w:r>
                </w:p>
              </w:tc>
              <w:tc>
                <w:tcPr/>
                <w:p>
                  <w:pPr>
                    <w:pStyle w:val="Compact"/>
                    <w:jc w:val="right"/>
                    <w:jc w:val="center"/>
                  </w:pPr>
                  <w:r>
                    <w:t xml:space="preserve">3%</w:t>
                  </w:r>
                </w:p>
              </w:tc>
              <w:tc>
                <w:tcPr/>
                <w:p>
                  <w:pPr>
                    <w:pStyle w:val="Compact"/>
                    <w:jc w:val="right"/>
                    <w:jc w:val="center"/>
                  </w:pPr>
                  <w:r>
                    <w:t xml:space="preserve">3%</w:t>
                  </w:r>
                </w:p>
              </w:tc>
              <w:tc>
                <w:tcPr/>
                <w:p>
                  <w:pPr>
                    <w:pStyle w:val="Compact"/>
                    <w:jc w:val="right"/>
                    <w:jc w:val="center"/>
                  </w:pPr>
                  <w:r>
                    <w:t xml:space="preserve">3%</w:t>
                  </w:r>
                </w:p>
              </w:tc>
              <w:tc>
                <w:tcPr/>
                <w:p>
                  <w:pPr>
                    <w:pStyle w:val="Compact"/>
                    <w:jc w:val="right"/>
                    <w:jc w:val="center"/>
                  </w:pPr>
                  <w:r>
                    <w:t xml:space="preserve">3%</w:t>
                  </w:r>
                </w:p>
              </w:tc>
              <w:tc>
                <w:tcPr/>
                <w:p>
                  <w:pPr>
                    <w:pStyle w:val="Compact"/>
                    <w:jc w:val="right"/>
                    <w:jc w:val="center"/>
                  </w:pPr>
                  <w:r>
                    <w:t xml:space="preserve">3%</w:t>
                  </w:r>
                </w:p>
              </w:tc>
              <w:tc>
                <w:tcPr/>
                <w:p>
                  <w:pPr>
                    <w:pStyle w:val="Compact"/>
                    <w:jc w:val="right"/>
                    <w:jc w:val="center"/>
                  </w:pPr>
                  <w:r>
                    <w:t xml:space="preserve">3%</w:t>
                  </w:r>
                </w:p>
              </w:tc>
            </w:tr>
            <w:tr>
              <w:tc>
                <w:tcPr/>
                <w:p>
                  <w:pPr>
                    <w:pStyle w:val="Compact"/>
                  </w:pPr>
                </w:p>
              </w:tc>
              <w:tc>
                <w:tcPr/>
                <w:p>
                  <w:pPr>
                    <w:pStyle w:val="Compact"/>
                  </w:pPr>
                </w:p>
              </w:tc>
              <w:tc>
                <w:tcPr/>
                <w:p>
                  <w:pPr>
                    <w:pStyle w:val="Compact"/>
                    <w:jc w:val="left"/>
                    <w:jc w:val="center"/>
                  </w:pPr>
                  <w:r>
                    <w:t xml:space="preserve">High</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pPr>
                </w:p>
              </w:tc>
              <w:tc>
                <w:tcPr/>
                <w:p>
                  <w:pPr>
                    <w:pStyle w:val="Compact"/>
                  </w:pPr>
                </w:p>
              </w:tc>
              <w:tc>
                <w:tcPr/>
                <w:p>
                  <w:pPr>
                    <w:pStyle w:val="Compact"/>
                    <w:jc w:val="left"/>
                    <w:jc w:val="center"/>
                  </w:pPr>
                  <w:r>
                    <w:t xml:space="preserve">Extreme</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bl>
          <w:bookmarkEnd w:id="461"/>
          <w:p/>
        </w:tc>
      </w:tr>
    </w:tbl>
    <w:p>
      <w:r>
        <w:br w:type="page"/>
      </w:r>
    </w:p>
    <w:tbl>
      <w:tblPr>
        <w:tblStyle w:val="Table"/>
        <w:tblW w:type="pct" w:w="5000"/>
        <w:tblLayout w:type="fixed"/>
        <w:tblLook w:firstRow="0" w:lastRow="0" w:firstColumn="0" w:lastColumn="0" w:noHBand="0" w:noVBand="0" w:val="0000"/>
      </w:tblPr>
      <w:tblGrid>
        <w:gridCol w:w="7920"/>
      </w:tblGrid>
      <w:tr>
        <w:tc>
          <w:tcPr/>
          <w:bookmarkStart w:id="462" w:name="tbl-seg-black"/>
          <w:p>
            <w:pPr>
              <w:jc w:val="center"/>
            </w:pPr>
            <w:pPr>
              <w:jc w:val="left"/>
              <w:spacing w:before="200"/>
              <w:pStyle w:val="ImageCaption"/>
            </w:pPr>
            <w:r>
              <w:t xml:space="preserve">Table H.2: Results from the Surveillance Error Grid for Black participants. Values are reported as percentages.</w:t>
            </w:r>
          </w:p>
          <w:tbl>
            <w:tblPr>
              <w:tblStyle w:val="Table"/>
              <w:tblW w:type="pct" w:w="5000"/>
              <w:tblLayout w:type="fixed"/>
              <w:tblLook w:firstRow="1" w:lastRow="0" w:firstColumn="0" w:lastColumn="0" w:noHBand="0" w:noVBand="0" w:val="0020"/>
            </w:tblPr>
            <w:tblGrid>
              <w:gridCol w:w="950"/>
              <w:gridCol w:w="1425"/>
              <w:gridCol w:w="1188"/>
              <w:gridCol w:w="712"/>
              <w:gridCol w:w="712"/>
              <w:gridCol w:w="712"/>
              <w:gridCol w:w="712"/>
              <w:gridCol w:w="712"/>
              <w:gridCol w:w="792"/>
            </w:tblGrid>
            <w:tr>
              <w:trPr>
                <w:tblHeader w:val="on"/>
              </w:trPr>
              <w:tc>
                <w:tcPr/>
                <w:p>
                  <w:pPr>
                    <w:pStyle w:val="Compact"/>
                    <w:jc w:val="left"/>
                    <w:jc w:val="center"/>
                  </w:pPr>
                  <w:r>
                    <w:t xml:space="preserve">Group</w:t>
                  </w:r>
                </w:p>
              </w:tc>
              <w:tc>
                <w:tcPr/>
                <w:p>
                  <w:pPr>
                    <w:pStyle w:val="Compact"/>
                    <w:jc w:val="left"/>
                    <w:jc w:val="center"/>
                  </w:pPr>
                  <w:r>
                    <w:t xml:space="preserve">Model</w:t>
                  </w:r>
                </w:p>
              </w:tc>
              <w:tc>
                <w:tcPr/>
                <w:p>
                  <w:pPr>
                    <w:pStyle w:val="Compact"/>
                    <w:jc w:val="left"/>
                    <w:jc w:val="center"/>
                  </w:pPr>
                  <w:r>
                    <w:t xml:space="preserve">Zone</w:t>
                  </w:r>
                </w:p>
              </w:tc>
              <w:tc>
                <w:tcPr/>
                <w:p>
                  <w:pPr>
                    <w:pStyle w:val="Compact"/>
                    <w:jc w:val="right"/>
                    <w:jc w:val="center"/>
                  </w:pPr>
                  <w:r>
                    <w:t xml:space="preserve">0</w:t>
                  </w:r>
                </w:p>
              </w:tc>
              <w:tc>
                <w:tcPr/>
                <w:p>
                  <w:pPr>
                    <w:pStyle w:val="Compact"/>
                    <w:jc w:val="right"/>
                    <w:jc w:val="center"/>
                  </w:pPr>
                  <w:r>
                    <w:t xml:space="preserve">20</w:t>
                  </w:r>
                </w:p>
              </w:tc>
              <w:tc>
                <w:tcPr/>
                <w:p>
                  <w:pPr>
                    <w:pStyle w:val="Compact"/>
                    <w:jc w:val="right"/>
                    <w:jc w:val="center"/>
                  </w:pPr>
                  <w:r>
                    <w:t xml:space="preserve">40</w:t>
                  </w:r>
                </w:p>
              </w:tc>
              <w:tc>
                <w:tcPr/>
                <w:p>
                  <w:pPr>
                    <w:pStyle w:val="Compact"/>
                    <w:jc w:val="right"/>
                    <w:jc w:val="center"/>
                  </w:pPr>
                  <w:r>
                    <w:t xml:space="preserve">60</w:t>
                  </w:r>
                </w:p>
              </w:tc>
              <w:tc>
                <w:tcPr/>
                <w:p>
                  <w:pPr>
                    <w:pStyle w:val="Compact"/>
                    <w:jc w:val="right"/>
                    <w:jc w:val="center"/>
                  </w:pPr>
                  <w:r>
                    <w:t xml:space="preserve">80</w:t>
                  </w:r>
                </w:p>
              </w:tc>
              <w:tc>
                <w:tcPr/>
                <w:p>
                  <w:pPr>
                    <w:pStyle w:val="Compact"/>
                    <w:jc w:val="right"/>
                    <w:jc w:val="center"/>
                  </w:pPr>
                  <w:r>
                    <w:t xml:space="preserve">100</w:t>
                  </w:r>
                </w:p>
              </w:tc>
            </w:tr>
            <w:tr>
              <w:tc>
                <w:tcPr/>
                <w:p>
                  <w:pPr>
                    <w:pStyle w:val="Compact"/>
                    <w:jc w:val="left"/>
                    <w:jc w:val="center"/>
                  </w:pPr>
                  <w:r>
                    <w:t xml:space="preserve">Black</w:t>
                  </w:r>
                </w:p>
              </w:tc>
              <w:tc>
                <w:tcPr/>
                <w:p>
                  <w:pPr>
                    <w:pStyle w:val="Compact"/>
                    <w:jc w:val="left"/>
                    <w:jc w:val="center"/>
                  </w:pPr>
                  <w:r>
                    <w:t xml:space="preserve">LOCF</w:t>
                  </w:r>
                </w:p>
              </w:tc>
              <w:tc>
                <w:tcPr/>
                <w:p>
                  <w:pPr>
                    <w:pStyle w:val="Compact"/>
                    <w:jc w:val="left"/>
                    <w:jc w:val="center"/>
                  </w:pPr>
                  <w:r>
                    <w:t xml:space="preserve">None</w:t>
                  </w:r>
                </w:p>
              </w:tc>
              <w:tc>
                <w:tcPr/>
                <w:p>
                  <w:pPr>
                    <w:pStyle w:val="Compact"/>
                    <w:jc w:val="right"/>
                    <w:jc w:val="center"/>
                  </w:pPr>
                  <w:r>
                    <w:t xml:space="preserve">71%</w:t>
                  </w:r>
                </w:p>
              </w:tc>
              <w:tc>
                <w:tcPr/>
                <w:p>
                  <w:pPr>
                    <w:pStyle w:val="Compact"/>
                    <w:jc w:val="right"/>
                    <w:jc w:val="center"/>
                  </w:pPr>
                  <w:r>
                    <w:t xml:space="preserve">71%</w:t>
                  </w:r>
                </w:p>
              </w:tc>
              <w:tc>
                <w:tcPr/>
                <w:p>
                  <w:pPr>
                    <w:pStyle w:val="Compact"/>
                    <w:jc w:val="right"/>
                    <w:jc w:val="center"/>
                  </w:pPr>
                  <w:r>
                    <w:t xml:space="preserve">71%</w:t>
                  </w:r>
                </w:p>
              </w:tc>
              <w:tc>
                <w:tcPr/>
                <w:p>
                  <w:pPr>
                    <w:pStyle w:val="Compact"/>
                    <w:jc w:val="right"/>
                    <w:jc w:val="center"/>
                  </w:pPr>
                  <w:r>
                    <w:t xml:space="preserve">71%</w:t>
                  </w:r>
                </w:p>
              </w:tc>
              <w:tc>
                <w:tcPr/>
                <w:p>
                  <w:pPr>
                    <w:pStyle w:val="Compact"/>
                    <w:jc w:val="right"/>
                    <w:jc w:val="center"/>
                  </w:pPr>
                  <w:r>
                    <w:t xml:space="preserve">71%</w:t>
                  </w:r>
                </w:p>
              </w:tc>
              <w:tc>
                <w:tcPr/>
                <w:p>
                  <w:pPr>
                    <w:pStyle w:val="Compact"/>
                    <w:jc w:val="right"/>
                    <w:jc w:val="center"/>
                  </w:pPr>
                  <w:r>
                    <w:t xml:space="preserve">71%</w:t>
                  </w:r>
                </w:p>
              </w:tc>
            </w:tr>
            <w:tr>
              <w:tc>
                <w:tcPr/>
                <w:p>
                  <w:pPr>
                    <w:pStyle w:val="Compact"/>
                  </w:pPr>
                </w:p>
              </w:tc>
              <w:tc>
                <w:tcPr/>
                <w:p>
                  <w:pPr>
                    <w:pStyle w:val="Compact"/>
                  </w:pPr>
                </w:p>
              </w:tc>
              <w:tc>
                <w:tcPr/>
                <w:p>
                  <w:pPr>
                    <w:pStyle w:val="Compact"/>
                    <w:jc w:val="left"/>
                    <w:jc w:val="center"/>
                  </w:pPr>
                  <w:r>
                    <w:t xml:space="preserve">Slight</w:t>
                  </w:r>
                </w:p>
              </w:tc>
              <w:tc>
                <w:tcPr/>
                <w:p>
                  <w:pPr>
                    <w:pStyle w:val="Compact"/>
                    <w:jc w:val="right"/>
                    <w:jc w:val="center"/>
                  </w:pPr>
                  <w:r>
                    <w:t xml:space="preserve">24%</w:t>
                  </w:r>
                </w:p>
              </w:tc>
              <w:tc>
                <w:tcPr/>
                <w:p>
                  <w:pPr>
                    <w:pStyle w:val="Compact"/>
                    <w:jc w:val="right"/>
                    <w:jc w:val="center"/>
                  </w:pPr>
                  <w:r>
                    <w:t xml:space="preserve">24%</w:t>
                  </w:r>
                </w:p>
              </w:tc>
              <w:tc>
                <w:tcPr/>
                <w:p>
                  <w:pPr>
                    <w:pStyle w:val="Compact"/>
                    <w:jc w:val="right"/>
                    <w:jc w:val="center"/>
                  </w:pPr>
                  <w:r>
                    <w:t xml:space="preserve">24%</w:t>
                  </w:r>
                </w:p>
              </w:tc>
              <w:tc>
                <w:tcPr/>
                <w:p>
                  <w:pPr>
                    <w:pStyle w:val="Compact"/>
                    <w:jc w:val="right"/>
                    <w:jc w:val="center"/>
                  </w:pPr>
                  <w:r>
                    <w:t xml:space="preserve">24%</w:t>
                  </w:r>
                </w:p>
              </w:tc>
              <w:tc>
                <w:tcPr/>
                <w:p>
                  <w:pPr>
                    <w:pStyle w:val="Compact"/>
                    <w:jc w:val="right"/>
                    <w:jc w:val="center"/>
                  </w:pPr>
                  <w:r>
                    <w:t xml:space="preserve">24%</w:t>
                  </w:r>
                </w:p>
              </w:tc>
              <w:tc>
                <w:tcPr/>
                <w:p>
                  <w:pPr>
                    <w:pStyle w:val="Compact"/>
                    <w:jc w:val="right"/>
                    <w:jc w:val="center"/>
                  </w:pPr>
                  <w:r>
                    <w:t xml:space="preserve">24%</w:t>
                  </w:r>
                </w:p>
              </w:tc>
            </w:tr>
            <w:tr>
              <w:tc>
                <w:tcPr/>
                <w:p>
                  <w:pPr>
                    <w:pStyle w:val="Compact"/>
                  </w:pPr>
                </w:p>
              </w:tc>
              <w:tc>
                <w:tcPr/>
                <w:p>
                  <w:pPr>
                    <w:pStyle w:val="Compact"/>
                  </w:pPr>
                </w:p>
              </w:tc>
              <w:tc>
                <w:tcPr/>
                <w:p>
                  <w:pPr>
                    <w:pStyle w:val="Compact"/>
                    <w:jc w:val="left"/>
                    <w:jc w:val="center"/>
                  </w:pPr>
                  <w:r>
                    <w:t xml:space="preserve">Moderate</w:t>
                  </w:r>
                </w:p>
              </w:tc>
              <w:tc>
                <w:tcPr/>
                <w:p>
                  <w:pPr>
                    <w:pStyle w:val="Compact"/>
                    <w:jc w:val="right"/>
                    <w:jc w:val="center"/>
                  </w:pPr>
                  <w:r>
                    <w:t xml:space="preserve">4%</w:t>
                  </w:r>
                </w:p>
              </w:tc>
              <w:tc>
                <w:tcPr/>
                <w:p>
                  <w:pPr>
                    <w:pStyle w:val="Compact"/>
                    <w:jc w:val="right"/>
                    <w:jc w:val="center"/>
                  </w:pPr>
                  <w:r>
                    <w:t xml:space="preserve">4%</w:t>
                  </w:r>
                </w:p>
              </w:tc>
              <w:tc>
                <w:tcPr/>
                <w:p>
                  <w:pPr>
                    <w:pStyle w:val="Compact"/>
                    <w:jc w:val="right"/>
                    <w:jc w:val="center"/>
                  </w:pPr>
                  <w:r>
                    <w:t xml:space="preserve">4%</w:t>
                  </w:r>
                </w:p>
              </w:tc>
              <w:tc>
                <w:tcPr/>
                <w:p>
                  <w:pPr>
                    <w:pStyle w:val="Compact"/>
                    <w:jc w:val="right"/>
                    <w:jc w:val="center"/>
                  </w:pPr>
                  <w:r>
                    <w:t xml:space="preserve">4%</w:t>
                  </w:r>
                </w:p>
              </w:tc>
              <w:tc>
                <w:tcPr/>
                <w:p>
                  <w:pPr>
                    <w:pStyle w:val="Compact"/>
                    <w:jc w:val="right"/>
                    <w:jc w:val="center"/>
                  </w:pPr>
                  <w:r>
                    <w:t xml:space="preserve">4%</w:t>
                  </w:r>
                </w:p>
              </w:tc>
              <w:tc>
                <w:tcPr/>
                <w:p>
                  <w:pPr>
                    <w:pStyle w:val="Compact"/>
                    <w:jc w:val="right"/>
                    <w:jc w:val="center"/>
                  </w:pPr>
                  <w:r>
                    <w:t xml:space="preserve">4%</w:t>
                  </w:r>
                </w:p>
              </w:tc>
            </w:tr>
            <w:tr>
              <w:tc>
                <w:tcPr/>
                <w:p>
                  <w:pPr>
                    <w:pStyle w:val="Compact"/>
                  </w:pPr>
                </w:p>
              </w:tc>
              <w:tc>
                <w:tcPr/>
                <w:p>
                  <w:pPr>
                    <w:pStyle w:val="Compact"/>
                  </w:pPr>
                </w:p>
              </w:tc>
              <w:tc>
                <w:tcPr/>
                <w:p>
                  <w:pPr>
                    <w:pStyle w:val="Compact"/>
                    <w:jc w:val="left"/>
                    <w:jc w:val="center"/>
                  </w:pPr>
                  <w:r>
                    <w:t xml:space="preserve">High</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pPr>
                </w:p>
              </w:tc>
              <w:tc>
                <w:tcPr/>
                <w:p>
                  <w:pPr>
                    <w:pStyle w:val="Compact"/>
                  </w:pPr>
                </w:p>
              </w:tc>
              <w:tc>
                <w:tcPr/>
                <w:p>
                  <w:pPr>
                    <w:pStyle w:val="Compact"/>
                    <w:jc w:val="left"/>
                    <w:jc w:val="center"/>
                  </w:pPr>
                  <w:r>
                    <w:t xml:space="preserve">Extreme</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pPr>
                </w:p>
              </w:tc>
              <w:tc>
                <w:tcPr/>
                <w:p>
                  <w:pPr>
                    <w:pStyle w:val="Compact"/>
                    <w:jc w:val="left"/>
                    <w:jc w:val="center"/>
                  </w:pPr>
                  <w:r>
                    <w:t xml:space="preserve">Base-</w:t>
                  </w:r>
                </w:p>
              </w:tc>
              <w:tc>
                <w:tcPr/>
                <w:p>
                  <w:pPr>
                    <w:pStyle w:val="Compact"/>
                    <w:jc w:val="left"/>
                    <w:jc w:val="center"/>
                  </w:pPr>
                  <w:r>
                    <w:t xml:space="preserve">None</w:t>
                  </w:r>
                </w:p>
              </w:tc>
              <w:tc>
                <w:tcPr/>
                <w:p>
                  <w:pPr>
                    <w:pStyle w:val="Compact"/>
                    <w:jc w:val="right"/>
                    <w:jc w:val="center"/>
                  </w:pPr>
                  <w:r>
                    <w:t xml:space="preserve">66%</w:t>
                  </w:r>
                </w:p>
              </w:tc>
              <w:tc>
                <w:tcPr/>
                <w:p>
                  <w:pPr>
                    <w:pStyle w:val="Compact"/>
                    <w:jc w:val="right"/>
                    <w:jc w:val="center"/>
                  </w:pPr>
                  <w:r>
                    <w:t xml:space="preserve">66%</w:t>
                  </w:r>
                </w:p>
              </w:tc>
              <w:tc>
                <w:tcPr/>
                <w:p>
                  <w:pPr>
                    <w:pStyle w:val="Compact"/>
                    <w:jc w:val="right"/>
                    <w:jc w:val="center"/>
                  </w:pPr>
                  <w:r>
                    <w:t xml:space="preserve">66%</w:t>
                  </w:r>
                </w:p>
              </w:tc>
              <w:tc>
                <w:tcPr/>
                <w:p>
                  <w:pPr>
                    <w:pStyle w:val="Compact"/>
                    <w:jc w:val="right"/>
                    <w:jc w:val="center"/>
                  </w:pPr>
                  <w:r>
                    <w:t xml:space="preserve">66%</w:t>
                  </w:r>
                </w:p>
              </w:tc>
              <w:tc>
                <w:tcPr/>
                <w:p>
                  <w:pPr>
                    <w:pStyle w:val="Compact"/>
                    <w:jc w:val="right"/>
                    <w:jc w:val="center"/>
                  </w:pPr>
                  <w:r>
                    <w:t xml:space="preserve">66%</w:t>
                  </w:r>
                </w:p>
              </w:tc>
              <w:tc>
                <w:tcPr/>
                <w:p>
                  <w:pPr>
                    <w:pStyle w:val="Compact"/>
                    <w:jc w:val="right"/>
                    <w:jc w:val="center"/>
                  </w:pPr>
                  <w:r>
                    <w:t xml:space="preserve">66%</w:t>
                  </w:r>
                </w:p>
              </w:tc>
            </w:tr>
            <w:tr>
              <w:tc>
                <w:tcPr/>
                <w:p>
                  <w:pPr>
                    <w:pStyle w:val="Compact"/>
                  </w:pPr>
                </w:p>
              </w:tc>
              <w:tc>
                <w:tcPr/>
                <w:p>
                  <w:pPr>
                    <w:pStyle w:val="Compact"/>
                    <w:jc w:val="left"/>
                    <w:jc w:val="center"/>
                  </w:pPr>
                  <w:r>
                    <w:t xml:space="preserve">Individual</w:t>
                  </w:r>
                </w:p>
              </w:tc>
              <w:tc>
                <w:tcPr/>
                <w:p>
                  <w:pPr>
                    <w:pStyle w:val="Compact"/>
                    <w:jc w:val="left"/>
                    <w:jc w:val="center"/>
                  </w:pPr>
                  <w:r>
                    <w:t xml:space="preserve">Slight</w:t>
                  </w:r>
                </w:p>
              </w:tc>
              <w:tc>
                <w:tcPr/>
                <w:p>
                  <w:pPr>
                    <w:pStyle w:val="Compact"/>
                    <w:jc w:val="right"/>
                    <w:jc w:val="center"/>
                  </w:pPr>
                  <w:r>
                    <w:t xml:space="preserve">27%</w:t>
                  </w:r>
                </w:p>
              </w:tc>
              <w:tc>
                <w:tcPr/>
                <w:p>
                  <w:pPr>
                    <w:pStyle w:val="Compact"/>
                    <w:jc w:val="right"/>
                    <w:jc w:val="center"/>
                  </w:pPr>
                  <w:r>
                    <w:t xml:space="preserve">27%</w:t>
                  </w:r>
                </w:p>
              </w:tc>
              <w:tc>
                <w:tcPr/>
                <w:p>
                  <w:pPr>
                    <w:pStyle w:val="Compact"/>
                    <w:jc w:val="right"/>
                    <w:jc w:val="center"/>
                  </w:pPr>
                  <w:r>
                    <w:t xml:space="preserve">27%</w:t>
                  </w:r>
                </w:p>
              </w:tc>
              <w:tc>
                <w:tcPr/>
                <w:p>
                  <w:pPr>
                    <w:pStyle w:val="Compact"/>
                    <w:jc w:val="right"/>
                    <w:jc w:val="center"/>
                  </w:pPr>
                  <w:r>
                    <w:t xml:space="preserve">27%</w:t>
                  </w:r>
                </w:p>
              </w:tc>
              <w:tc>
                <w:tcPr/>
                <w:p>
                  <w:pPr>
                    <w:pStyle w:val="Compact"/>
                    <w:jc w:val="right"/>
                    <w:jc w:val="center"/>
                  </w:pPr>
                  <w:r>
                    <w:t xml:space="preserve">27%</w:t>
                  </w:r>
                </w:p>
              </w:tc>
              <w:tc>
                <w:tcPr/>
                <w:p>
                  <w:pPr>
                    <w:pStyle w:val="Compact"/>
                    <w:jc w:val="right"/>
                    <w:jc w:val="center"/>
                  </w:pPr>
                  <w:r>
                    <w:t xml:space="preserve">27%</w:t>
                  </w:r>
                </w:p>
              </w:tc>
            </w:tr>
            <w:tr>
              <w:tc>
                <w:tcPr/>
                <w:p>
                  <w:pPr>
                    <w:pStyle w:val="Compact"/>
                  </w:pPr>
                </w:p>
              </w:tc>
              <w:tc>
                <w:tcPr/>
                <w:p>
                  <w:pPr>
                    <w:pStyle w:val="Compact"/>
                  </w:pPr>
                </w:p>
              </w:tc>
              <w:tc>
                <w:tcPr/>
                <w:p>
                  <w:pPr>
                    <w:pStyle w:val="Compact"/>
                    <w:jc w:val="left"/>
                    <w:jc w:val="center"/>
                  </w:pPr>
                  <w:r>
                    <w:t xml:space="preserve">Moderate</w:t>
                  </w:r>
                </w:p>
              </w:tc>
              <w:tc>
                <w:tcPr/>
                <w:p>
                  <w:pPr>
                    <w:pStyle w:val="Compact"/>
                    <w:jc w:val="right"/>
                    <w:jc w:val="center"/>
                  </w:pPr>
                  <w:r>
                    <w:t xml:space="preserve">6%</w:t>
                  </w:r>
                </w:p>
              </w:tc>
              <w:tc>
                <w:tcPr/>
                <w:p>
                  <w:pPr>
                    <w:pStyle w:val="Compact"/>
                    <w:jc w:val="right"/>
                    <w:jc w:val="center"/>
                  </w:pPr>
                  <w:r>
                    <w:t xml:space="preserve">6%</w:t>
                  </w:r>
                </w:p>
              </w:tc>
              <w:tc>
                <w:tcPr/>
                <w:p>
                  <w:pPr>
                    <w:pStyle w:val="Compact"/>
                    <w:jc w:val="right"/>
                    <w:jc w:val="center"/>
                  </w:pPr>
                  <w:r>
                    <w:t xml:space="preserve">6%</w:t>
                  </w:r>
                </w:p>
              </w:tc>
              <w:tc>
                <w:tcPr/>
                <w:p>
                  <w:pPr>
                    <w:pStyle w:val="Compact"/>
                    <w:jc w:val="right"/>
                    <w:jc w:val="center"/>
                  </w:pPr>
                  <w:r>
                    <w:t xml:space="preserve">6%</w:t>
                  </w:r>
                </w:p>
              </w:tc>
              <w:tc>
                <w:tcPr/>
                <w:p>
                  <w:pPr>
                    <w:pStyle w:val="Compact"/>
                    <w:jc w:val="right"/>
                    <w:jc w:val="center"/>
                  </w:pPr>
                  <w:r>
                    <w:t xml:space="preserve">6%</w:t>
                  </w:r>
                </w:p>
              </w:tc>
              <w:tc>
                <w:tcPr/>
                <w:p>
                  <w:pPr>
                    <w:pStyle w:val="Compact"/>
                    <w:jc w:val="right"/>
                    <w:jc w:val="center"/>
                  </w:pPr>
                  <w:r>
                    <w:t xml:space="preserve">6%</w:t>
                  </w:r>
                </w:p>
              </w:tc>
            </w:tr>
            <w:tr>
              <w:tc>
                <w:tcPr/>
                <w:p>
                  <w:pPr>
                    <w:pStyle w:val="Compact"/>
                  </w:pPr>
                </w:p>
              </w:tc>
              <w:tc>
                <w:tcPr/>
                <w:p>
                  <w:pPr>
                    <w:pStyle w:val="Compact"/>
                  </w:pPr>
                </w:p>
              </w:tc>
              <w:tc>
                <w:tcPr/>
                <w:p>
                  <w:pPr>
                    <w:pStyle w:val="Compact"/>
                    <w:jc w:val="left"/>
                    <w:jc w:val="center"/>
                  </w:pPr>
                  <w:r>
                    <w:t xml:space="preserve">High</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pPr>
                </w:p>
              </w:tc>
              <w:tc>
                <w:tcPr/>
                <w:p>
                  <w:pPr>
                    <w:pStyle w:val="Compact"/>
                  </w:pPr>
                </w:p>
              </w:tc>
              <w:tc>
                <w:tcPr/>
                <w:p>
                  <w:pPr>
                    <w:pStyle w:val="Compact"/>
                    <w:jc w:val="left"/>
                    <w:jc w:val="center"/>
                  </w:pPr>
                  <w:r>
                    <w:t xml:space="preserve">Extreme</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pPr>
                </w:p>
              </w:tc>
              <w:tc>
                <w:tcPr/>
                <w:p>
                  <w:pPr>
                    <w:pStyle w:val="Compact"/>
                    <w:jc w:val="left"/>
                    <w:jc w:val="center"/>
                  </w:pPr>
                  <w:r>
                    <w:t xml:space="preserve">Base</w:t>
                  </w:r>
                </w:p>
              </w:tc>
              <w:tc>
                <w:tcPr/>
                <w:p>
                  <w:pPr>
                    <w:pStyle w:val="Compact"/>
                    <w:jc w:val="left"/>
                    <w:jc w:val="center"/>
                  </w:pPr>
                  <w:r>
                    <w:t xml:space="preserve">None</w:t>
                  </w:r>
                </w:p>
              </w:tc>
              <w:tc>
                <w:tcPr/>
                <w:p>
                  <w:pPr>
                    <w:pStyle w:val="Compact"/>
                    <w:jc w:val="right"/>
                    <w:jc w:val="center"/>
                  </w:pPr>
                  <w:r>
                    <w:t xml:space="preserve">75%</w:t>
                  </w:r>
                </w:p>
              </w:tc>
              <w:tc>
                <w:tcPr/>
                <w:p>
                  <w:pPr>
                    <w:pStyle w:val="Compact"/>
                    <w:jc w:val="right"/>
                    <w:jc w:val="center"/>
                  </w:pPr>
                  <w:r>
                    <w:t xml:space="preserve">74%</w:t>
                  </w:r>
                </w:p>
              </w:tc>
              <w:tc>
                <w:tcPr/>
                <w:p>
                  <w:pPr>
                    <w:pStyle w:val="Compact"/>
                    <w:jc w:val="right"/>
                    <w:jc w:val="center"/>
                  </w:pPr>
                  <w:r>
                    <w:t xml:space="preserve">75%</w:t>
                  </w:r>
                </w:p>
              </w:tc>
              <w:tc>
                <w:tcPr/>
                <w:p>
                  <w:pPr>
                    <w:pStyle w:val="Compact"/>
                    <w:jc w:val="right"/>
                    <w:jc w:val="center"/>
                  </w:pPr>
                  <w:r>
                    <w:t xml:space="preserve">75%</w:t>
                  </w:r>
                </w:p>
              </w:tc>
              <w:tc>
                <w:tcPr/>
                <w:p>
                  <w:pPr>
                    <w:pStyle w:val="Compact"/>
                    <w:jc w:val="right"/>
                    <w:jc w:val="center"/>
                  </w:pPr>
                  <w:r>
                    <w:t xml:space="preserve">74%</w:t>
                  </w:r>
                </w:p>
              </w:tc>
              <w:tc>
                <w:tcPr/>
                <w:p>
                  <w:pPr>
                    <w:pStyle w:val="Compact"/>
                    <w:jc w:val="right"/>
                    <w:jc w:val="center"/>
                  </w:pPr>
                  <w:r>
                    <w:t xml:space="preserve">75%</w:t>
                  </w:r>
                </w:p>
              </w:tc>
            </w:tr>
            <w:tr>
              <w:tc>
                <w:tcPr/>
                <w:p>
                  <w:pPr>
                    <w:pStyle w:val="Compact"/>
                  </w:pPr>
                </w:p>
              </w:tc>
              <w:tc>
                <w:tcPr/>
                <w:p>
                  <w:pPr>
                    <w:pStyle w:val="Compact"/>
                    <w:jc w:val="left"/>
                    <w:jc w:val="center"/>
                  </w:pPr>
                  <w:r>
                    <w:t xml:space="preserve">-Generalized</w:t>
                  </w:r>
                </w:p>
              </w:tc>
              <w:tc>
                <w:tcPr/>
                <w:p>
                  <w:pPr>
                    <w:pStyle w:val="Compact"/>
                    <w:jc w:val="left"/>
                    <w:jc w:val="center"/>
                  </w:pPr>
                  <w:r>
                    <w:t xml:space="preserve">Slight</w:t>
                  </w:r>
                </w:p>
              </w:tc>
              <w:tc>
                <w:tcPr/>
                <w:p>
                  <w:pPr>
                    <w:pStyle w:val="Compact"/>
                    <w:jc w:val="right"/>
                    <w:jc w:val="center"/>
                  </w:pPr>
                  <w:r>
                    <w:t xml:space="preserve">23%</w:t>
                  </w:r>
                </w:p>
              </w:tc>
              <w:tc>
                <w:tcPr/>
                <w:p>
                  <w:pPr>
                    <w:pStyle w:val="Compact"/>
                    <w:jc w:val="right"/>
                    <w:jc w:val="center"/>
                  </w:pPr>
                  <w:r>
                    <w:t xml:space="preserve">23%</w:t>
                  </w:r>
                </w:p>
              </w:tc>
              <w:tc>
                <w:tcPr/>
                <w:p>
                  <w:pPr>
                    <w:pStyle w:val="Compact"/>
                    <w:jc w:val="right"/>
                    <w:jc w:val="center"/>
                  </w:pPr>
                  <w:r>
                    <w:t xml:space="preserve">22%</w:t>
                  </w:r>
                </w:p>
              </w:tc>
              <w:tc>
                <w:tcPr/>
                <w:p>
                  <w:pPr>
                    <w:pStyle w:val="Compact"/>
                    <w:jc w:val="right"/>
                    <w:jc w:val="center"/>
                  </w:pPr>
                  <w:r>
                    <w:t xml:space="preserve">22%</w:t>
                  </w:r>
                </w:p>
              </w:tc>
              <w:tc>
                <w:tcPr/>
                <w:p>
                  <w:pPr>
                    <w:pStyle w:val="Compact"/>
                    <w:jc w:val="right"/>
                    <w:jc w:val="center"/>
                  </w:pPr>
                  <w:r>
                    <w:t xml:space="preserve">22%</w:t>
                  </w:r>
                </w:p>
              </w:tc>
              <w:tc>
                <w:tcPr/>
                <w:p>
                  <w:pPr>
                    <w:pStyle w:val="Compact"/>
                    <w:jc w:val="right"/>
                    <w:jc w:val="center"/>
                  </w:pPr>
                  <w:r>
                    <w:t xml:space="preserve">22%</w:t>
                  </w:r>
                </w:p>
              </w:tc>
            </w:tr>
            <w:tr>
              <w:tc>
                <w:tcPr/>
                <w:p>
                  <w:pPr>
                    <w:pStyle w:val="Compact"/>
                  </w:pPr>
                </w:p>
              </w:tc>
              <w:tc>
                <w:tcPr/>
                <w:p>
                  <w:pPr>
                    <w:pStyle w:val="Compact"/>
                  </w:pPr>
                </w:p>
              </w:tc>
              <w:tc>
                <w:tcPr/>
                <w:p>
                  <w:pPr>
                    <w:pStyle w:val="Compact"/>
                    <w:jc w:val="left"/>
                    <w:jc w:val="center"/>
                  </w:pPr>
                  <w:r>
                    <w:t xml:space="preserve">Moderate</w:t>
                  </w:r>
                </w:p>
              </w:tc>
              <w:tc>
                <w:tcPr/>
                <w:p>
                  <w:pPr>
                    <w:pStyle w:val="Compact"/>
                    <w:jc w:val="right"/>
                    <w:jc w:val="center"/>
                  </w:pPr>
                  <w:r>
                    <w:t xml:space="preserve">3%</w:t>
                  </w:r>
                </w:p>
              </w:tc>
              <w:tc>
                <w:tcPr/>
                <w:p>
                  <w:pPr>
                    <w:pStyle w:val="Compact"/>
                    <w:jc w:val="right"/>
                    <w:jc w:val="center"/>
                  </w:pPr>
                  <w:r>
                    <w:t xml:space="preserve">3%</w:t>
                  </w:r>
                </w:p>
              </w:tc>
              <w:tc>
                <w:tcPr/>
                <w:p>
                  <w:pPr>
                    <w:pStyle w:val="Compact"/>
                    <w:jc w:val="right"/>
                    <w:jc w:val="center"/>
                  </w:pPr>
                  <w:r>
                    <w:t xml:space="preserve">3%</w:t>
                  </w:r>
                </w:p>
              </w:tc>
              <w:tc>
                <w:tcPr/>
                <w:p>
                  <w:pPr>
                    <w:pStyle w:val="Compact"/>
                    <w:jc w:val="right"/>
                    <w:jc w:val="center"/>
                  </w:pPr>
                  <w:r>
                    <w:t xml:space="preserve">3%</w:t>
                  </w:r>
                </w:p>
              </w:tc>
              <w:tc>
                <w:tcPr/>
                <w:p>
                  <w:pPr>
                    <w:pStyle w:val="Compact"/>
                    <w:jc w:val="right"/>
                    <w:jc w:val="center"/>
                  </w:pPr>
                  <w:r>
                    <w:t xml:space="preserve">3%</w:t>
                  </w:r>
                </w:p>
              </w:tc>
              <w:tc>
                <w:tcPr/>
                <w:p>
                  <w:pPr>
                    <w:pStyle w:val="Compact"/>
                    <w:jc w:val="right"/>
                    <w:jc w:val="center"/>
                  </w:pPr>
                  <w:r>
                    <w:t xml:space="preserve">3%</w:t>
                  </w:r>
                </w:p>
              </w:tc>
            </w:tr>
            <w:tr>
              <w:tc>
                <w:tcPr/>
                <w:p>
                  <w:pPr>
                    <w:pStyle w:val="Compact"/>
                  </w:pPr>
                </w:p>
              </w:tc>
              <w:tc>
                <w:tcPr/>
                <w:p>
                  <w:pPr>
                    <w:pStyle w:val="Compact"/>
                  </w:pPr>
                </w:p>
              </w:tc>
              <w:tc>
                <w:tcPr/>
                <w:p>
                  <w:pPr>
                    <w:pStyle w:val="Compact"/>
                    <w:jc w:val="left"/>
                    <w:jc w:val="center"/>
                  </w:pPr>
                  <w:r>
                    <w:t xml:space="preserve">High</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pPr>
                </w:p>
              </w:tc>
              <w:tc>
                <w:tcPr/>
                <w:p>
                  <w:pPr>
                    <w:pStyle w:val="Compact"/>
                  </w:pPr>
                </w:p>
              </w:tc>
              <w:tc>
                <w:tcPr/>
                <w:p>
                  <w:pPr>
                    <w:pStyle w:val="Compact"/>
                    <w:jc w:val="left"/>
                    <w:jc w:val="center"/>
                  </w:pPr>
                  <w:r>
                    <w:t xml:space="preserve">Extreme</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pPr>
                </w:p>
              </w:tc>
              <w:tc>
                <w:tcPr/>
                <w:p>
                  <w:pPr>
                    <w:pStyle w:val="Compact"/>
                    <w:jc w:val="left"/>
                    <w:jc w:val="center"/>
                  </w:pPr>
                  <w:r>
                    <w:t xml:space="preserve">Transfer</w:t>
                  </w:r>
                </w:p>
              </w:tc>
              <w:tc>
                <w:tcPr/>
                <w:p>
                  <w:pPr>
                    <w:pStyle w:val="Compact"/>
                    <w:jc w:val="left"/>
                    <w:jc w:val="center"/>
                  </w:pPr>
                  <w:r>
                    <w:t xml:space="preserve">None</w:t>
                  </w:r>
                </w:p>
              </w:tc>
              <w:tc>
                <w:tcPr/>
                <w:p>
                  <w:pPr>
                    <w:pStyle w:val="Compact"/>
                    <w:jc w:val="right"/>
                    <w:jc w:val="center"/>
                  </w:pPr>
                  <w:r>
                    <w:t xml:space="preserve">75%</w:t>
                  </w:r>
                </w:p>
              </w:tc>
              <w:tc>
                <w:tcPr/>
                <w:p>
                  <w:pPr>
                    <w:pStyle w:val="Compact"/>
                    <w:jc w:val="right"/>
                    <w:jc w:val="center"/>
                  </w:pPr>
                  <w:r>
                    <w:t xml:space="preserve">74%</w:t>
                  </w:r>
                </w:p>
              </w:tc>
              <w:tc>
                <w:tcPr/>
                <w:p>
                  <w:pPr>
                    <w:pStyle w:val="Compact"/>
                    <w:jc w:val="right"/>
                    <w:jc w:val="center"/>
                  </w:pPr>
                  <w:r>
                    <w:t xml:space="preserve">75%</w:t>
                  </w:r>
                </w:p>
              </w:tc>
              <w:tc>
                <w:tcPr/>
                <w:p>
                  <w:pPr>
                    <w:pStyle w:val="Compact"/>
                    <w:jc w:val="right"/>
                    <w:jc w:val="center"/>
                  </w:pPr>
                  <w:r>
                    <w:t xml:space="preserve">75%</w:t>
                  </w:r>
                </w:p>
              </w:tc>
              <w:tc>
                <w:tcPr/>
                <w:p>
                  <w:pPr>
                    <w:pStyle w:val="Compact"/>
                    <w:jc w:val="right"/>
                    <w:jc w:val="center"/>
                  </w:pPr>
                  <w:r>
                    <w:t xml:space="preserve">74%</w:t>
                  </w:r>
                </w:p>
              </w:tc>
              <w:tc>
                <w:tcPr/>
                <w:p>
                  <w:pPr>
                    <w:pStyle w:val="Compact"/>
                    <w:jc w:val="right"/>
                    <w:jc w:val="center"/>
                  </w:pPr>
                  <w:r>
                    <w:t xml:space="preserve">75%</w:t>
                  </w:r>
                </w:p>
              </w:tc>
            </w:tr>
            <w:tr>
              <w:tc>
                <w:tcPr/>
                <w:p>
                  <w:pPr>
                    <w:pStyle w:val="Compact"/>
                  </w:pPr>
                </w:p>
              </w:tc>
              <w:tc>
                <w:tcPr/>
                <w:p>
                  <w:pPr>
                    <w:pStyle w:val="Compact"/>
                    <w:jc w:val="left"/>
                    <w:jc w:val="center"/>
                  </w:pPr>
                  <w:r>
                    <w:t xml:space="preserve">Learned</w:t>
                  </w:r>
                </w:p>
              </w:tc>
              <w:tc>
                <w:tcPr/>
                <w:p>
                  <w:pPr>
                    <w:pStyle w:val="Compact"/>
                    <w:jc w:val="left"/>
                    <w:jc w:val="center"/>
                  </w:pPr>
                  <w:r>
                    <w:t xml:space="preserve">Slight</w:t>
                  </w:r>
                </w:p>
              </w:tc>
              <w:tc>
                <w:tcPr/>
                <w:p>
                  <w:pPr>
                    <w:pStyle w:val="Compact"/>
                    <w:jc w:val="right"/>
                    <w:jc w:val="center"/>
                  </w:pPr>
                  <w:r>
                    <w:t xml:space="preserve">22%</w:t>
                  </w:r>
                </w:p>
              </w:tc>
              <w:tc>
                <w:tcPr/>
                <w:p>
                  <w:pPr>
                    <w:pStyle w:val="Compact"/>
                    <w:jc w:val="right"/>
                    <w:jc w:val="center"/>
                  </w:pPr>
                  <w:r>
                    <w:t xml:space="preserve">23%</w:t>
                  </w:r>
                </w:p>
              </w:tc>
              <w:tc>
                <w:tcPr/>
                <w:p>
                  <w:pPr>
                    <w:pStyle w:val="Compact"/>
                    <w:jc w:val="right"/>
                    <w:jc w:val="center"/>
                  </w:pPr>
                  <w:r>
                    <w:t xml:space="preserve">22%</w:t>
                  </w:r>
                </w:p>
              </w:tc>
              <w:tc>
                <w:tcPr/>
                <w:p>
                  <w:pPr>
                    <w:pStyle w:val="Compact"/>
                    <w:jc w:val="right"/>
                    <w:jc w:val="center"/>
                  </w:pPr>
                  <w:r>
                    <w:t xml:space="preserve">22%</w:t>
                  </w:r>
                </w:p>
              </w:tc>
              <w:tc>
                <w:tcPr/>
                <w:p>
                  <w:pPr>
                    <w:pStyle w:val="Compact"/>
                    <w:jc w:val="right"/>
                    <w:jc w:val="center"/>
                  </w:pPr>
                  <w:r>
                    <w:t xml:space="preserve">22%</w:t>
                  </w:r>
                </w:p>
              </w:tc>
              <w:tc>
                <w:tcPr/>
                <w:p>
                  <w:pPr>
                    <w:pStyle w:val="Compact"/>
                    <w:jc w:val="right"/>
                    <w:jc w:val="center"/>
                  </w:pPr>
                  <w:r>
                    <w:t xml:space="preserve">22%</w:t>
                  </w:r>
                </w:p>
              </w:tc>
            </w:tr>
            <w:tr>
              <w:tc>
                <w:tcPr/>
                <w:p>
                  <w:pPr>
                    <w:pStyle w:val="Compact"/>
                  </w:pPr>
                </w:p>
              </w:tc>
              <w:tc>
                <w:tcPr/>
                <w:p>
                  <w:pPr>
                    <w:pStyle w:val="Compact"/>
                  </w:pPr>
                </w:p>
              </w:tc>
              <w:tc>
                <w:tcPr/>
                <w:p>
                  <w:pPr>
                    <w:pStyle w:val="Compact"/>
                    <w:jc w:val="left"/>
                    <w:jc w:val="center"/>
                  </w:pPr>
                  <w:r>
                    <w:t xml:space="preserve">Moderate</w:t>
                  </w:r>
                </w:p>
              </w:tc>
              <w:tc>
                <w:tcPr/>
                <w:p>
                  <w:pPr>
                    <w:pStyle w:val="Compact"/>
                    <w:jc w:val="right"/>
                    <w:jc w:val="center"/>
                  </w:pPr>
                  <w:r>
                    <w:t xml:space="preserve">3%</w:t>
                  </w:r>
                </w:p>
              </w:tc>
              <w:tc>
                <w:tcPr/>
                <w:p>
                  <w:pPr>
                    <w:pStyle w:val="Compact"/>
                    <w:jc w:val="right"/>
                    <w:jc w:val="center"/>
                  </w:pPr>
                  <w:r>
                    <w:t xml:space="preserve">3%</w:t>
                  </w:r>
                </w:p>
              </w:tc>
              <w:tc>
                <w:tcPr/>
                <w:p>
                  <w:pPr>
                    <w:pStyle w:val="Compact"/>
                    <w:jc w:val="right"/>
                    <w:jc w:val="center"/>
                  </w:pPr>
                  <w:r>
                    <w:t xml:space="preserve">3%</w:t>
                  </w:r>
                </w:p>
              </w:tc>
              <w:tc>
                <w:tcPr/>
                <w:p>
                  <w:pPr>
                    <w:pStyle w:val="Compact"/>
                    <w:jc w:val="right"/>
                    <w:jc w:val="center"/>
                  </w:pPr>
                  <w:r>
                    <w:t xml:space="preserve">3%</w:t>
                  </w:r>
                </w:p>
              </w:tc>
              <w:tc>
                <w:tcPr/>
                <w:p>
                  <w:pPr>
                    <w:pStyle w:val="Compact"/>
                    <w:jc w:val="right"/>
                    <w:jc w:val="center"/>
                  </w:pPr>
                  <w:r>
                    <w:t xml:space="preserve">3%</w:t>
                  </w:r>
                </w:p>
              </w:tc>
              <w:tc>
                <w:tcPr/>
                <w:p>
                  <w:pPr>
                    <w:pStyle w:val="Compact"/>
                    <w:jc w:val="right"/>
                    <w:jc w:val="center"/>
                  </w:pPr>
                  <w:r>
                    <w:t xml:space="preserve">3%</w:t>
                  </w:r>
                </w:p>
              </w:tc>
            </w:tr>
            <w:tr>
              <w:tc>
                <w:tcPr/>
                <w:p>
                  <w:pPr>
                    <w:pStyle w:val="Compact"/>
                  </w:pPr>
                </w:p>
              </w:tc>
              <w:tc>
                <w:tcPr/>
                <w:p>
                  <w:pPr>
                    <w:pStyle w:val="Compact"/>
                  </w:pPr>
                </w:p>
              </w:tc>
              <w:tc>
                <w:tcPr/>
                <w:p>
                  <w:pPr>
                    <w:pStyle w:val="Compact"/>
                    <w:jc w:val="left"/>
                    <w:jc w:val="center"/>
                  </w:pPr>
                  <w:r>
                    <w:t xml:space="preserve">High</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pPr>
                </w:p>
              </w:tc>
              <w:tc>
                <w:tcPr/>
                <w:p>
                  <w:pPr>
                    <w:pStyle w:val="Compact"/>
                  </w:pPr>
                </w:p>
              </w:tc>
              <w:tc>
                <w:tcPr/>
                <w:p>
                  <w:pPr>
                    <w:pStyle w:val="Compact"/>
                    <w:jc w:val="left"/>
                    <w:jc w:val="center"/>
                  </w:pPr>
                  <w:r>
                    <w:t xml:space="preserve">Extreme</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bl>
          <w:bookmarkEnd w:id="462"/>
          <w:p/>
        </w:tc>
      </w:tr>
    </w:tbl>
    <w:bookmarkEnd w:id="4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4" Target="media/rId84.png" /><Relationship Type="http://schemas.openxmlformats.org/officeDocument/2006/relationships/image" Id="rId56" Target="media/rId56.png" /><Relationship Type="http://schemas.openxmlformats.org/officeDocument/2006/relationships/image" Id="rId67" Target="media/rId67.png" /><Relationship Type="http://schemas.openxmlformats.org/officeDocument/2006/relationships/image" Id="rId72" Target="media/rId72.png" /><Relationship Type="http://schemas.openxmlformats.org/officeDocument/2006/relationships/image" Id="rId117" Target="media/rId117.png" /><Relationship Type="http://schemas.openxmlformats.org/officeDocument/2006/relationships/image" Id="rId112" Target="media/rId112.png" /><Relationship Type="http://schemas.openxmlformats.org/officeDocument/2006/relationships/image" Id="rId103" Target="media/rId103.png" /><Relationship Type="http://schemas.openxmlformats.org/officeDocument/2006/relationships/image" Id="rId164" Target="media/rId164.png" /><Relationship Type="http://schemas.openxmlformats.org/officeDocument/2006/relationships/image" Id="rId143" Target="media/rId143.png" /><Relationship Type="http://schemas.openxmlformats.org/officeDocument/2006/relationships/image" Id="rId138" Target="media/rId138.png" /><Relationship Type="http://schemas.openxmlformats.org/officeDocument/2006/relationships/image" Id="rId160" Target="media/rId160.png" /><Relationship Type="http://schemas.openxmlformats.org/officeDocument/2006/relationships/image" Id="rId148" Target="media/rId148.png" /><Relationship Type="http://schemas.openxmlformats.org/officeDocument/2006/relationships/image" Id="rId154" Target="media/rId154.png" /><Relationship Type="http://schemas.openxmlformats.org/officeDocument/2006/relationships/image" Id="rId107" Target="media/rId107.png" /><Relationship Type="http://schemas.openxmlformats.org/officeDocument/2006/relationships/image" Id="rId130" Target="media/rId130.png" /><Relationship Type="http://schemas.openxmlformats.org/officeDocument/2006/relationships/image" Id="rId98" Target="media/rId98.png" /><Relationship Type="http://schemas.openxmlformats.org/officeDocument/2006/relationships/image" Id="rId122" Target="media/rId122.png" /><Relationship Type="http://schemas.openxmlformats.org/officeDocument/2006/relationships/image" Id="rId91" Target="media/rId91.png" /><Relationship Type="http://schemas.openxmlformats.org/officeDocument/2006/relationships/image" Id="rId171" Target="media/rId171.png" /><Relationship Type="http://schemas.openxmlformats.org/officeDocument/2006/relationships/image" Id="rId176" Target="media/rId176.png" /><Relationship Type="http://schemas.openxmlformats.org/officeDocument/2006/relationships/image" Id="rId194" Target="media/rId194.png" /><Relationship Type="http://schemas.openxmlformats.org/officeDocument/2006/relationships/image" Id="rId456" Target="media/rId456.png" /><Relationship Type="http://schemas.openxmlformats.org/officeDocument/2006/relationships/image" Id="rId14" Target="media/rId14.png" /><Relationship Type="http://schemas.openxmlformats.org/officeDocument/2006/relationships/image" Id="rId11" Target="media/rId11.png" /><Relationship Type="http://schemas.openxmlformats.org/officeDocument/2006/relationships/hyperlink" Id="rId422" Target="http://arxiv.org/abs/2410.05780" TargetMode="External" /><Relationship Type="http://schemas.openxmlformats.org/officeDocument/2006/relationships/hyperlink" Id="rId255" Target="http://journals.sagepub.com/doi/10.1177/19322968221092785" TargetMode="External" /><Relationship Type="http://schemas.openxmlformats.org/officeDocument/2006/relationships/hyperlink" Id="rId345" Target="http://ovidsp.ovid.com/ovidweb.cgi?T=JS&amp;PAGE=reference&amp;D=med10&amp;NEWS=N&amp;AN=23936867" TargetMode="External" /><Relationship Type="http://schemas.openxmlformats.org/officeDocument/2006/relationships/hyperlink" Id="rId375" Target="http://ovidsp.ovid.com/ovidweb.cgi?T=JS&amp;PAGE=reference&amp;D=med18&amp;NEWS=N&amp;AN=32723754" TargetMode="External" /><Relationship Type="http://schemas.openxmlformats.org/officeDocument/2006/relationships/hyperlink" Id="rId389" Target="http://ovidsp.ovid.com/ovidweb.cgi?T=JS&amp;PAGE=reference&amp;D=med22&amp;NEWS=N&amp;AN=35662616" TargetMode="External" /><Relationship Type="http://schemas.openxmlformats.org/officeDocument/2006/relationships/hyperlink" Id="rId244" Target="http://ovidsp.ovid.com/ovidweb.cgi?T=JS&amp;PAGE=reference&amp;D=med8&amp;NEWS=N&amp;AN=20653743" TargetMode="External" /><Relationship Type="http://schemas.openxmlformats.org/officeDocument/2006/relationships/hyperlink" Id="rId373" Target="http://ovidsp.ovid.com/ovidweb.cgi?T=JS&amp;PAGE=reference&amp;D=med8&amp;NEWS=N&amp;AN=20886203" TargetMode="External" /><Relationship Type="http://schemas.openxmlformats.org/officeDocument/2006/relationships/hyperlink" Id="rId387" Target="http://ovidsp.ovid.com/ovidweb.cgi?T=JS&amp;PAGE=reference&amp;D=med8&amp;NEWS=N&amp;AN=22164268" TargetMode="External" /><Relationship Type="http://schemas.openxmlformats.org/officeDocument/2006/relationships/hyperlink" Id="rId383" Target="http://ovidsp.ovid.com/ovidweb.cgi?T=JS&amp;PAGE=reference&amp;D=med9&amp;NEWS=N&amp;AN=22313018" TargetMode="External" /><Relationship Type="http://schemas.openxmlformats.org/officeDocument/2006/relationships/hyperlink" Id="rId379" Target="http://ovidsp.ovid.com/ovidweb.cgi?T=JS&amp;PAGE=reference&amp;D=med9&amp;NEWS=N&amp;AN=22340463" TargetMode="External" /><Relationship Type="http://schemas.openxmlformats.org/officeDocument/2006/relationships/hyperlink" Id="rId377" Target="http://ovidsp.ovid.com/ovidweb.cgi?T=JS&amp;PAGE=reference&amp;D=pmnm3&amp;NEWS=N&amp;AN=24490081" TargetMode="External" /><Relationship Type="http://schemas.openxmlformats.org/officeDocument/2006/relationships/hyperlink" Id="rId385" Target="http://ovidsp.ovid.com/ovidweb.cgi?T=JS&amp;PAGE=reference&amp;D=pmnm4&amp;NEWS=N&amp;AN=31447782" TargetMode="External" /><Relationship Type="http://schemas.openxmlformats.org/officeDocument/2006/relationships/hyperlink" Id="rId303" Target="https://aclanthology.org/W19-4302/" TargetMode="External" /><Relationship Type="http://schemas.openxmlformats.org/officeDocument/2006/relationships/hyperlink" Id="rId357" Target="https://arxiv.org/abs/1802.03426" TargetMode="External" /><Relationship Type="http://schemas.openxmlformats.org/officeDocument/2006/relationships/hyperlink" Id="rId298" Target="https://arxiv.org/abs/2108.07258" TargetMode="External" /><Relationship Type="http://schemas.openxmlformats.org/officeDocument/2006/relationships/hyperlink" Id="rId292" Target="https://ascpt.onlinelibrary.wiley.com/doi/10.1002/cpt.1796" TargetMode="External" /><Relationship Type="http://schemas.openxmlformats.org/officeDocument/2006/relationships/hyperlink" Id="rId309" Target="https://bmcmedicine.biomedcentral.com/articles/10.1186/s12916-025-04340-3" TargetMode="External" /><Relationship Type="http://schemas.openxmlformats.org/officeDocument/2006/relationships/hyperlink" Id="rId412" Target="https://bmjopen.bmj.com/content/15/1/e085961" TargetMode="External" /><Relationship Type="http://schemas.openxmlformats.org/officeDocument/2006/relationships/hyperlink" Id="rId410" Target="https://books.lub.lu.se/catalog/book/184" TargetMode="External" /><Relationship Type="http://schemas.openxmlformats.org/officeDocument/2006/relationships/hyperlink" Id="rId315" Target="https://diabetesjournals.org/care/article/33/3/614/39028/Racial-and-Ethnic-Differences-in-an-Estimated" TargetMode="External" /><Relationship Type="http://schemas.openxmlformats.org/officeDocument/2006/relationships/hyperlink" Id="rId267" Target="https://doi.org/10.1007/s00125-023-06068-2" TargetMode="External" /><Relationship Type="http://schemas.openxmlformats.org/officeDocument/2006/relationships/hyperlink" Id="rId393" Target="https://doi.org/10.1007/s10654-021-00753-5" TargetMode="External" /><Relationship Type="http://schemas.openxmlformats.org/officeDocument/2006/relationships/hyperlink" Id="rId313" Target="https://doi.org/10.1016/j.lana.2022.100252 https://www.sciencedirect.com/science/article/pii/S2667193X22000692?via%3Dihub" TargetMode="External" /><Relationship Type="http://schemas.openxmlformats.org/officeDocument/2006/relationships/hyperlink" Id="rId257" Target="https://doi.org/10.1038/s41467-020-18918-3 https://www.nature.com/articles/s41467-020-18918-3.pdf" TargetMode="External" /><Relationship Type="http://schemas.openxmlformats.org/officeDocument/2006/relationships/hyperlink" Id="rId269" Target="https://doi.org/10.1093/eurheartj/ehab368" TargetMode="External" /><Relationship Type="http://schemas.openxmlformats.org/officeDocument/2006/relationships/hyperlink" Id="rId326" Target="https://doi.org/10.1126/science.aax2342" TargetMode="External" /><Relationship Type="http://schemas.openxmlformats.org/officeDocument/2006/relationships/hyperlink" Id="rId247" Target="https://doi.org/10.1177/19322968221113341" TargetMode="External" /><Relationship Type="http://schemas.openxmlformats.org/officeDocument/2006/relationships/hyperlink" Id="rId365" Target="https://doi.org/10.1186/s12874-016-0239-7" TargetMode="External" /><Relationship Type="http://schemas.openxmlformats.org/officeDocument/2006/relationships/hyperlink" Id="rId362" Target="https://doi.org/10.1371/journal.pone.0248560" TargetMode="External" /><Relationship Type="http://schemas.openxmlformats.org/officeDocument/2006/relationships/hyperlink" Id="rId331" Target="https://doi.org/10.2196/89374" TargetMode="External" /><Relationship Type="http://schemas.openxmlformats.org/officeDocument/2006/relationships/hyperlink" Id="rId391" Target="https://doi.org/10.2337/dc10-1915" TargetMode="External" /><Relationship Type="http://schemas.openxmlformats.org/officeDocument/2006/relationships/hyperlink" Id="rId322" Target="https://doi.org/10.2337/dc12-2715" TargetMode="External" /><Relationship Type="http://schemas.openxmlformats.org/officeDocument/2006/relationships/hyperlink" Id="rId259" Target="https://doi.org/10.2337/dc15-2035" TargetMode="External" /><Relationship Type="http://schemas.openxmlformats.org/officeDocument/2006/relationships/hyperlink" Id="rId275" Target="https://doi.org/10.2337/dc19-0587" TargetMode="External" /><Relationship Type="http://schemas.openxmlformats.org/officeDocument/2006/relationships/hyperlink" Id="rId238" Target="https://doi.org/10.2337/dc24-S006" TargetMode="External" /><Relationship Type="http://schemas.openxmlformats.org/officeDocument/2006/relationships/hyperlink" Id="rId233" Target="https://doi.org/10.2337/dc26-S002" TargetMode="External" /><Relationship Type="http://schemas.openxmlformats.org/officeDocument/2006/relationships/hyperlink" Id="rId240" Target="https://doi.org/10.2337/dc26-S006" TargetMode="External" /><Relationship Type="http://schemas.openxmlformats.org/officeDocument/2006/relationships/hyperlink" Id="rId249" Target="https://doi.org/10.2337/dc26-S007" TargetMode="External" /><Relationship Type="http://schemas.openxmlformats.org/officeDocument/2006/relationships/hyperlink" Id="rId324" Target="https://dx.plos.org/10.1371/journal.pgph.0001556" TargetMode="External" /><Relationship Type="http://schemas.openxmlformats.org/officeDocument/2006/relationships/hyperlink" Id="rId347" Target="https://eppi.ioe.ac.uk/cms/er4/" TargetMode="External" /><Relationship Type="http://schemas.openxmlformats.org/officeDocument/2006/relationships/hyperlink" Id="rId420" Target="https://github.com/IrinaStatsLab/Awesome-CGM" TargetMode="External" /><Relationship Type="http://schemas.openxmlformats.org/officeDocument/2006/relationships/hyperlink" Id="rId371" Target="https://github.com/wptmdoorn/methcomp" TargetMode="External" /><Relationship Type="http://schemas.openxmlformats.org/officeDocument/2006/relationships/hyperlink" Id="rId242" Target="https://idf.org/download-global-clinical-practice-recommendations/" TargetMode="External" /><Relationship Type="http://schemas.openxmlformats.org/officeDocument/2006/relationships/hyperlink" Id="rId294" Target="https://ieeexplore.ieee.org/abstract/document/6472238" TargetMode="External" /><Relationship Type="http://schemas.openxmlformats.org/officeDocument/2006/relationships/hyperlink" Id="rId381" Target="https://ieeexplore.ieee.org/document/10017018/" TargetMode="External" /><Relationship Type="http://schemas.openxmlformats.org/officeDocument/2006/relationships/hyperlink" Id="rId329" Target="https://jbi-global-wiki.refined.site/space/MANUAL/355862497/10.+Scoping+reviews" TargetMode="External" /><Relationship Type="http://schemas.openxmlformats.org/officeDocument/2006/relationships/hyperlink" Id="rId405" Target="https://link.springer.com/10.1007/s00592-024-02241-0" TargetMode="External" /><Relationship Type="http://schemas.openxmlformats.org/officeDocument/2006/relationships/hyperlink" Id="rId305" Target="https://link.springer.com/10.1007/s11892-020-01369-x" TargetMode="External" /><Relationship Type="http://schemas.openxmlformats.org/officeDocument/2006/relationships/hyperlink" Id="rId290" Target="https://linkinghub.elsevier.com/retrieve/pii/S0002934320303399" TargetMode="External" /><Relationship Type="http://schemas.openxmlformats.org/officeDocument/2006/relationships/hyperlink" Id="rId317" Target="https://linkinghub.elsevier.com/retrieve/pii/S0168822721001820" TargetMode="External" /><Relationship Type="http://schemas.openxmlformats.org/officeDocument/2006/relationships/hyperlink" Id="rId261" Target="https://onlinelibrary.wiley.com/doi/10.1111/jdi.14112" TargetMode="External" /><Relationship Type="http://schemas.openxmlformats.org/officeDocument/2006/relationships/hyperlink" Id="rId271" Target="https://onlinelibrary.wiley.com/doi/abs/10.1111/j.1541-9215.2007.06350.x" TargetMode="External" /><Relationship Type="http://schemas.openxmlformats.org/officeDocument/2006/relationships/hyperlink" Id="rId408" Target="https://onlinelibrary.wiley.com/doi/abs/10.1111/pedi.12295" TargetMode="External" /><Relationship Type="http://schemas.openxmlformats.org/officeDocument/2006/relationships/hyperlink" Id="rId341" Target="https://onlinelibrary.wiley.com/doi/abs/10.1155/2018/7464320" TargetMode="External" /><Relationship Type="http://schemas.openxmlformats.org/officeDocument/2006/relationships/hyperlink" Id="rId273" Target="https://pmc.ncbi.nlm.nih.gov/articles/PMC1925200/" TargetMode="External" /><Relationship Type="http://schemas.openxmlformats.org/officeDocument/2006/relationships/hyperlink" Id="rId320" Target="https://pmc.ncbi.nlm.nih.gov/articles/PMC3557948/" TargetMode="External" /><Relationship Type="http://schemas.openxmlformats.org/officeDocument/2006/relationships/hyperlink" Id="rId285" Target="https://projecteuclid.org/journals/statistical-science/volume-16/issue-3/Statistical-Modeling--The-Two-Cultures-with-comments-and-a/10.1214/ss/1009213726.full" TargetMode="External" /><Relationship Type="http://schemas.openxmlformats.org/officeDocument/2006/relationships/hyperlink" Id="rId350" Target="https://public.jaeb.org/datasets/diabetes" TargetMode="External" /><Relationship Type="http://schemas.openxmlformats.org/officeDocument/2006/relationships/hyperlink" Id="rId59" Target="https://raw.githubusercontent.com/HeleneThomsen/dissertation/main/figures/1_intro_fig/agp.png" TargetMode="External" /><Relationship Type="http://schemas.openxmlformats.org/officeDocument/2006/relationships/hyperlink" Id="rId101" Target="https://raw.githubusercontent.com/HeleneThomsen/dissertation/main/figures/3_methods_fig/study2_cgmformer.png" TargetMode="External" /><Relationship Type="http://schemas.openxmlformats.org/officeDocument/2006/relationships/hyperlink" Id="rId120" Target="https://raw.githubusercontent.com/HeleneThomsen/dissertation/main/figures/3_methods_fig/study2_clin_strata.png" TargetMode="External" /><Relationship Type="http://schemas.openxmlformats.org/officeDocument/2006/relationships/hyperlink" Id="rId115" Target="https://raw.githubusercontent.com/HeleneThomsen/dissertation/main/figures/3_methods_fig/study2_co_sim_emb.png" TargetMode="External" /><Relationship Type="http://schemas.openxmlformats.org/officeDocument/2006/relationships/hyperlink" Id="rId106" Target="https://raw.githubusercontent.com/HeleneThomsen/dissertation/main/figures/3_methods_fig/study2_embedding.png" TargetMode="External" /><Relationship Type="http://schemas.openxmlformats.org/officeDocument/2006/relationships/hyperlink" Id="rId146" Target="https://raw.githubusercontent.com/HeleneThomsen/dissertation/main/figures/3_methods_fig/study3_partitioning.png" TargetMode="External" /><Relationship Type="http://schemas.openxmlformats.org/officeDocument/2006/relationships/hyperlink" Id="rId151" Target="https://raw.githubusercontent.com/HeleneThomsen/dissertation/main/figures/3_methods_fig/study3_train_finetune_test_split.png" TargetMode="External" /><Relationship Type="http://schemas.openxmlformats.org/officeDocument/2006/relationships/hyperlink" Id="rId157" Target="https://raw.githubusercontent.com/HeleneThomsen/dissertation/main/figures/3_methods_fig/study3_training_approaches.png" TargetMode="External" /><Relationship Type="http://schemas.openxmlformats.org/officeDocument/2006/relationships/hyperlink" Id="rId110" Target="https://raw.githubusercontent.com/HeleneThomsen/dissertation/main/figures/3_methods_fig/study_2__3d_emb.png" TargetMode="External" /><Relationship Type="http://schemas.openxmlformats.org/officeDocument/2006/relationships/hyperlink" Id="rId125" Target="https://raw.githubusercontent.com/HeleneThomsen/dissertation/main/figures/3_methods_fig/study_2_dim_reduce.png" TargetMode="External" /><Relationship Type="http://schemas.openxmlformats.org/officeDocument/2006/relationships/hyperlink" Id="rId174" Target="https://raw.githubusercontent.com/HeleneThomsen/dissertation/main/figures/4_results_fig/study_1_prisma.svg" TargetMode="External" /><Relationship Type="http://schemas.openxmlformats.org/officeDocument/2006/relationships/hyperlink" Id="rId179" Target="https://raw.githubusercontent.com/HeleneThomsen/dissertation/main/figures/4_results_fig/study_1_world_map.png" TargetMode="External" /><Relationship Type="http://schemas.openxmlformats.org/officeDocument/2006/relationships/hyperlink" Id="rId197" Target="https://raw.githubusercontent.com/HeleneThomsen/dissertation/main/figures/4_results_fig/study_2_co_sim1.png" TargetMode="External" /><Relationship Type="http://schemas.openxmlformats.org/officeDocument/2006/relationships/hyperlink" Id="rId416" Target="https://stanfordmlgroup.github.io/competitions/chexpert/" TargetMode="External" /><Relationship Type="http://schemas.openxmlformats.org/officeDocument/2006/relationships/hyperlink" Id="rId355" Target="https://www.ahajournals.org/doi/abs/10.1161/CIRCHEARTFAILURE.121.009427" TargetMode="External" /><Relationship Type="http://schemas.openxmlformats.org/officeDocument/2006/relationships/hyperlink" Id="rId277" Target="https://www.ahajournals.org/doi/abs/10.1161/CIRCULATIONAHA.109.849166" TargetMode="External" /><Relationship Type="http://schemas.openxmlformats.org/officeDocument/2006/relationships/hyperlink" Id="rId311" Target="https://www.bmj.com/content/385/bmj-2023-078378" TargetMode="External" /><Relationship Type="http://schemas.openxmlformats.org/officeDocument/2006/relationships/hyperlink" Id="rId251" Target="https://www.frontiersin.org/articles/10.3389/fendo.2022.919942/full" TargetMode="External" /><Relationship Type="http://schemas.openxmlformats.org/officeDocument/2006/relationships/hyperlink" Id="rId283" Target="https://www.jstor.org/stable/41058949" TargetMode="External" /><Relationship Type="http://schemas.openxmlformats.org/officeDocument/2006/relationships/hyperlink" Id="rId414" Target="https://www.kaggle.com/competitions/aptos2019-blindness-detection" TargetMode="External" /><Relationship Type="http://schemas.openxmlformats.org/officeDocument/2006/relationships/hyperlink" Id="rId418" Target="https://www.kaggle.com/datasets/nih-chest-xrays/data" TargetMode="External" /><Relationship Type="http://schemas.openxmlformats.org/officeDocument/2006/relationships/hyperlink" Id="rId180" Target="https://www.mapchart.net" TargetMode="External" /><Relationship Type="http://schemas.openxmlformats.org/officeDocument/2006/relationships/hyperlink" Id="rId236" Target="https://www.mdpi.com/1422-0067/22/12/6403" TargetMode="External" /><Relationship Type="http://schemas.openxmlformats.org/officeDocument/2006/relationships/hyperlink" Id="rId253" Target="https://www.mdpi.com/1999-4923/16/7/944" TargetMode="External" /><Relationship Type="http://schemas.openxmlformats.org/officeDocument/2006/relationships/hyperlink" Id="rId424" Target="https://www.nature.com/articles/sdata201618" TargetMode="External" /><Relationship Type="http://schemas.openxmlformats.org/officeDocument/2006/relationships/hyperlink" Id="rId359" Target="https://www.ncbi.nlm.nih.gov/books/NBK536098/" TargetMode="External" /><Relationship Type="http://schemas.openxmlformats.org/officeDocument/2006/relationships/hyperlink" Id="rId307" Target="https://www.ncbi.nlm.nih.gov/pmc/articles/PMC11450195/" TargetMode="External" /><Relationship Type="http://schemas.openxmlformats.org/officeDocument/2006/relationships/hyperlink" Id="rId401" Target="https://www.ncbi.nlm.nih.gov/pubmed/32324062 https://www.liebertpub.com/doi/pdf/10.1089/dia.2020.0061?download=true" TargetMode="External" /><Relationship Type="http://schemas.openxmlformats.org/officeDocument/2006/relationships/hyperlink" Id="rId403" Target="https://www.ncbi.nlm.nih.gov/pubmed/34598081 https://www.sciencedirect.com/science/article/pii/S0169260721004983?via%3Dihub" TargetMode="External" /><Relationship Type="http://schemas.openxmlformats.org/officeDocument/2006/relationships/hyperlink" Id="rId263" Target="https://www.nejm.org/doi/full/10.1056/NEJMoa1608664" TargetMode="External" /><Relationship Type="http://schemas.openxmlformats.org/officeDocument/2006/relationships/hyperlink" Id="rId395" Target="https://www.sciencedirect.com/science/article/pii/S0009912007003918" TargetMode="External" /><Relationship Type="http://schemas.openxmlformats.org/officeDocument/2006/relationships/hyperlink" Id="rId281" Target="https://www.sciencedirect.com/science/article/pii/S0168822720307518" TargetMode="External" /><Relationship Type="http://schemas.openxmlformats.org/officeDocument/2006/relationships/hyperlink" Id="rId353" Target="https://www.sciencedirect.com/science/article/pii/S0735109721083959" TargetMode="External" /><Relationship Type="http://schemas.openxmlformats.org/officeDocument/2006/relationships/hyperlink" Id="rId287" Target="https://www.sciencedirect.com/science/article/pii/S2589750025000986" TargetMode="External" /></Relationships>
</file>

<file path=word/_rels/footnotes.xml.rels><?xml version="1.0" encoding="UTF-8"?><Relationships xmlns="http://schemas.openxmlformats.org/package/2006/relationships"><Relationship Type="http://schemas.openxmlformats.org/officeDocument/2006/relationships/hyperlink" Id="rId422" Target="http://arxiv.org/abs/2410.05780" TargetMode="External" /><Relationship Type="http://schemas.openxmlformats.org/officeDocument/2006/relationships/hyperlink" Id="rId255" Target="http://journals.sagepub.com/doi/10.1177/19322968221092785" TargetMode="External" /><Relationship Type="http://schemas.openxmlformats.org/officeDocument/2006/relationships/hyperlink" Id="rId345" Target="http://ovidsp.ovid.com/ovidweb.cgi?T=JS&amp;PAGE=reference&amp;D=med10&amp;NEWS=N&amp;AN=23936867" TargetMode="External" /><Relationship Type="http://schemas.openxmlformats.org/officeDocument/2006/relationships/hyperlink" Id="rId375" Target="http://ovidsp.ovid.com/ovidweb.cgi?T=JS&amp;PAGE=reference&amp;D=med18&amp;NEWS=N&amp;AN=32723754" TargetMode="External" /><Relationship Type="http://schemas.openxmlformats.org/officeDocument/2006/relationships/hyperlink" Id="rId389" Target="http://ovidsp.ovid.com/ovidweb.cgi?T=JS&amp;PAGE=reference&amp;D=med22&amp;NEWS=N&amp;AN=35662616" TargetMode="External" /><Relationship Type="http://schemas.openxmlformats.org/officeDocument/2006/relationships/hyperlink" Id="rId244" Target="http://ovidsp.ovid.com/ovidweb.cgi?T=JS&amp;PAGE=reference&amp;D=med8&amp;NEWS=N&amp;AN=20653743" TargetMode="External" /><Relationship Type="http://schemas.openxmlformats.org/officeDocument/2006/relationships/hyperlink" Id="rId373" Target="http://ovidsp.ovid.com/ovidweb.cgi?T=JS&amp;PAGE=reference&amp;D=med8&amp;NEWS=N&amp;AN=20886203" TargetMode="External" /><Relationship Type="http://schemas.openxmlformats.org/officeDocument/2006/relationships/hyperlink" Id="rId387" Target="http://ovidsp.ovid.com/ovidweb.cgi?T=JS&amp;PAGE=reference&amp;D=med8&amp;NEWS=N&amp;AN=22164268" TargetMode="External" /><Relationship Type="http://schemas.openxmlformats.org/officeDocument/2006/relationships/hyperlink" Id="rId383" Target="http://ovidsp.ovid.com/ovidweb.cgi?T=JS&amp;PAGE=reference&amp;D=med9&amp;NEWS=N&amp;AN=22313018" TargetMode="External" /><Relationship Type="http://schemas.openxmlformats.org/officeDocument/2006/relationships/hyperlink" Id="rId379" Target="http://ovidsp.ovid.com/ovidweb.cgi?T=JS&amp;PAGE=reference&amp;D=med9&amp;NEWS=N&amp;AN=22340463" TargetMode="External" /><Relationship Type="http://schemas.openxmlformats.org/officeDocument/2006/relationships/hyperlink" Id="rId377" Target="http://ovidsp.ovid.com/ovidweb.cgi?T=JS&amp;PAGE=reference&amp;D=pmnm3&amp;NEWS=N&amp;AN=24490081" TargetMode="External" /><Relationship Type="http://schemas.openxmlformats.org/officeDocument/2006/relationships/hyperlink" Id="rId385" Target="http://ovidsp.ovid.com/ovidweb.cgi?T=JS&amp;PAGE=reference&amp;D=pmnm4&amp;NEWS=N&amp;AN=31447782" TargetMode="External" /><Relationship Type="http://schemas.openxmlformats.org/officeDocument/2006/relationships/hyperlink" Id="rId303" Target="https://aclanthology.org/W19-4302/" TargetMode="External" /><Relationship Type="http://schemas.openxmlformats.org/officeDocument/2006/relationships/hyperlink" Id="rId357" Target="https://arxiv.org/abs/1802.03426" TargetMode="External" /><Relationship Type="http://schemas.openxmlformats.org/officeDocument/2006/relationships/hyperlink" Id="rId298" Target="https://arxiv.org/abs/2108.07258" TargetMode="External" /><Relationship Type="http://schemas.openxmlformats.org/officeDocument/2006/relationships/hyperlink" Id="rId292" Target="https://ascpt.onlinelibrary.wiley.com/doi/10.1002/cpt.1796" TargetMode="External" /><Relationship Type="http://schemas.openxmlformats.org/officeDocument/2006/relationships/hyperlink" Id="rId309" Target="https://bmcmedicine.biomedcentral.com/articles/10.1186/s12916-025-04340-3" TargetMode="External" /><Relationship Type="http://schemas.openxmlformats.org/officeDocument/2006/relationships/hyperlink" Id="rId412" Target="https://bmjopen.bmj.com/content/15/1/e085961" TargetMode="External" /><Relationship Type="http://schemas.openxmlformats.org/officeDocument/2006/relationships/hyperlink" Id="rId410" Target="https://books.lub.lu.se/catalog/book/184" TargetMode="External" /><Relationship Type="http://schemas.openxmlformats.org/officeDocument/2006/relationships/hyperlink" Id="rId315" Target="https://diabetesjournals.org/care/article/33/3/614/39028/Racial-and-Ethnic-Differences-in-an-Estimated" TargetMode="External" /><Relationship Type="http://schemas.openxmlformats.org/officeDocument/2006/relationships/hyperlink" Id="rId267" Target="https://doi.org/10.1007/s00125-023-06068-2" TargetMode="External" /><Relationship Type="http://schemas.openxmlformats.org/officeDocument/2006/relationships/hyperlink" Id="rId393" Target="https://doi.org/10.1007/s10654-021-00753-5" TargetMode="External" /><Relationship Type="http://schemas.openxmlformats.org/officeDocument/2006/relationships/hyperlink" Id="rId313" Target="https://doi.org/10.1016/j.lana.2022.100252 https://www.sciencedirect.com/science/article/pii/S2667193X22000692?via%3Dihub" TargetMode="External" /><Relationship Type="http://schemas.openxmlformats.org/officeDocument/2006/relationships/hyperlink" Id="rId257" Target="https://doi.org/10.1038/s41467-020-18918-3 https://www.nature.com/articles/s41467-020-18918-3.pdf" TargetMode="External" /><Relationship Type="http://schemas.openxmlformats.org/officeDocument/2006/relationships/hyperlink" Id="rId269" Target="https://doi.org/10.1093/eurheartj/ehab368" TargetMode="External" /><Relationship Type="http://schemas.openxmlformats.org/officeDocument/2006/relationships/hyperlink" Id="rId326" Target="https://doi.org/10.1126/science.aax2342" TargetMode="External" /><Relationship Type="http://schemas.openxmlformats.org/officeDocument/2006/relationships/hyperlink" Id="rId247" Target="https://doi.org/10.1177/19322968221113341" TargetMode="External" /><Relationship Type="http://schemas.openxmlformats.org/officeDocument/2006/relationships/hyperlink" Id="rId365" Target="https://doi.org/10.1186/s12874-016-0239-7" TargetMode="External" /><Relationship Type="http://schemas.openxmlformats.org/officeDocument/2006/relationships/hyperlink" Id="rId362" Target="https://doi.org/10.1371/journal.pone.0248560" TargetMode="External" /><Relationship Type="http://schemas.openxmlformats.org/officeDocument/2006/relationships/hyperlink" Id="rId331" Target="https://doi.org/10.2196/89374" TargetMode="External" /><Relationship Type="http://schemas.openxmlformats.org/officeDocument/2006/relationships/hyperlink" Id="rId391" Target="https://doi.org/10.2337/dc10-1915" TargetMode="External" /><Relationship Type="http://schemas.openxmlformats.org/officeDocument/2006/relationships/hyperlink" Id="rId322" Target="https://doi.org/10.2337/dc12-2715" TargetMode="External" /><Relationship Type="http://schemas.openxmlformats.org/officeDocument/2006/relationships/hyperlink" Id="rId259" Target="https://doi.org/10.2337/dc15-2035" TargetMode="External" /><Relationship Type="http://schemas.openxmlformats.org/officeDocument/2006/relationships/hyperlink" Id="rId275" Target="https://doi.org/10.2337/dc19-0587" TargetMode="External" /><Relationship Type="http://schemas.openxmlformats.org/officeDocument/2006/relationships/hyperlink" Id="rId238" Target="https://doi.org/10.2337/dc24-S006" TargetMode="External" /><Relationship Type="http://schemas.openxmlformats.org/officeDocument/2006/relationships/hyperlink" Id="rId233" Target="https://doi.org/10.2337/dc26-S002" TargetMode="External" /><Relationship Type="http://schemas.openxmlformats.org/officeDocument/2006/relationships/hyperlink" Id="rId240" Target="https://doi.org/10.2337/dc26-S006" TargetMode="External" /><Relationship Type="http://schemas.openxmlformats.org/officeDocument/2006/relationships/hyperlink" Id="rId249" Target="https://doi.org/10.2337/dc26-S007" TargetMode="External" /><Relationship Type="http://schemas.openxmlformats.org/officeDocument/2006/relationships/hyperlink" Id="rId324" Target="https://dx.plos.org/10.1371/journal.pgph.0001556" TargetMode="External" /><Relationship Type="http://schemas.openxmlformats.org/officeDocument/2006/relationships/hyperlink" Id="rId347" Target="https://eppi.ioe.ac.uk/cms/er4/" TargetMode="External" /><Relationship Type="http://schemas.openxmlformats.org/officeDocument/2006/relationships/hyperlink" Id="rId420" Target="https://github.com/IrinaStatsLab/Awesome-CGM" TargetMode="External" /><Relationship Type="http://schemas.openxmlformats.org/officeDocument/2006/relationships/hyperlink" Id="rId371" Target="https://github.com/wptmdoorn/methcomp" TargetMode="External" /><Relationship Type="http://schemas.openxmlformats.org/officeDocument/2006/relationships/hyperlink" Id="rId242" Target="https://idf.org/download-global-clinical-practice-recommendations/" TargetMode="External" /><Relationship Type="http://schemas.openxmlformats.org/officeDocument/2006/relationships/hyperlink" Id="rId294" Target="https://ieeexplore.ieee.org/abstract/document/6472238" TargetMode="External" /><Relationship Type="http://schemas.openxmlformats.org/officeDocument/2006/relationships/hyperlink" Id="rId381" Target="https://ieeexplore.ieee.org/document/10017018/" TargetMode="External" /><Relationship Type="http://schemas.openxmlformats.org/officeDocument/2006/relationships/hyperlink" Id="rId329" Target="https://jbi-global-wiki.refined.site/space/MANUAL/355862497/10.+Scoping+reviews" TargetMode="External" /><Relationship Type="http://schemas.openxmlformats.org/officeDocument/2006/relationships/hyperlink" Id="rId405" Target="https://link.springer.com/10.1007/s00592-024-02241-0" TargetMode="External" /><Relationship Type="http://schemas.openxmlformats.org/officeDocument/2006/relationships/hyperlink" Id="rId305" Target="https://link.springer.com/10.1007/s11892-020-01369-x" TargetMode="External" /><Relationship Type="http://schemas.openxmlformats.org/officeDocument/2006/relationships/hyperlink" Id="rId290" Target="https://linkinghub.elsevier.com/retrieve/pii/S0002934320303399" TargetMode="External" /><Relationship Type="http://schemas.openxmlformats.org/officeDocument/2006/relationships/hyperlink" Id="rId317" Target="https://linkinghub.elsevier.com/retrieve/pii/S0168822721001820" TargetMode="External" /><Relationship Type="http://schemas.openxmlformats.org/officeDocument/2006/relationships/hyperlink" Id="rId261" Target="https://onlinelibrary.wiley.com/doi/10.1111/jdi.14112" TargetMode="External" /><Relationship Type="http://schemas.openxmlformats.org/officeDocument/2006/relationships/hyperlink" Id="rId271" Target="https://onlinelibrary.wiley.com/doi/abs/10.1111/j.1541-9215.2007.06350.x" TargetMode="External" /><Relationship Type="http://schemas.openxmlformats.org/officeDocument/2006/relationships/hyperlink" Id="rId408" Target="https://onlinelibrary.wiley.com/doi/abs/10.1111/pedi.12295" TargetMode="External" /><Relationship Type="http://schemas.openxmlformats.org/officeDocument/2006/relationships/hyperlink" Id="rId341" Target="https://onlinelibrary.wiley.com/doi/abs/10.1155/2018/7464320" TargetMode="External" /><Relationship Type="http://schemas.openxmlformats.org/officeDocument/2006/relationships/hyperlink" Id="rId273" Target="https://pmc.ncbi.nlm.nih.gov/articles/PMC1925200/" TargetMode="External" /><Relationship Type="http://schemas.openxmlformats.org/officeDocument/2006/relationships/hyperlink" Id="rId320" Target="https://pmc.ncbi.nlm.nih.gov/articles/PMC3557948/" TargetMode="External" /><Relationship Type="http://schemas.openxmlformats.org/officeDocument/2006/relationships/hyperlink" Id="rId285" Target="https://projecteuclid.org/journals/statistical-science/volume-16/issue-3/Statistical-Modeling--The-Two-Cultures-with-comments-and-a/10.1214/ss/1009213726.full" TargetMode="External" /><Relationship Type="http://schemas.openxmlformats.org/officeDocument/2006/relationships/hyperlink" Id="rId350" Target="https://public.jaeb.org/datasets/diabetes" TargetMode="External" /><Relationship Type="http://schemas.openxmlformats.org/officeDocument/2006/relationships/hyperlink" Id="rId59" Target="https://raw.githubusercontent.com/HeleneThomsen/dissertation/main/figures/1_intro_fig/agp.png" TargetMode="External" /><Relationship Type="http://schemas.openxmlformats.org/officeDocument/2006/relationships/hyperlink" Id="rId101" Target="https://raw.githubusercontent.com/HeleneThomsen/dissertation/main/figures/3_methods_fig/study2_cgmformer.png" TargetMode="External" /><Relationship Type="http://schemas.openxmlformats.org/officeDocument/2006/relationships/hyperlink" Id="rId120" Target="https://raw.githubusercontent.com/HeleneThomsen/dissertation/main/figures/3_methods_fig/study2_clin_strata.png" TargetMode="External" /><Relationship Type="http://schemas.openxmlformats.org/officeDocument/2006/relationships/hyperlink" Id="rId115" Target="https://raw.githubusercontent.com/HeleneThomsen/dissertation/main/figures/3_methods_fig/study2_co_sim_emb.png" TargetMode="External" /><Relationship Type="http://schemas.openxmlformats.org/officeDocument/2006/relationships/hyperlink" Id="rId106" Target="https://raw.githubusercontent.com/HeleneThomsen/dissertation/main/figures/3_methods_fig/study2_embedding.png" TargetMode="External" /><Relationship Type="http://schemas.openxmlformats.org/officeDocument/2006/relationships/hyperlink" Id="rId146" Target="https://raw.githubusercontent.com/HeleneThomsen/dissertation/main/figures/3_methods_fig/study3_partitioning.png" TargetMode="External" /><Relationship Type="http://schemas.openxmlformats.org/officeDocument/2006/relationships/hyperlink" Id="rId151" Target="https://raw.githubusercontent.com/HeleneThomsen/dissertation/main/figures/3_methods_fig/study3_train_finetune_test_split.png" TargetMode="External" /><Relationship Type="http://schemas.openxmlformats.org/officeDocument/2006/relationships/hyperlink" Id="rId157" Target="https://raw.githubusercontent.com/HeleneThomsen/dissertation/main/figures/3_methods_fig/study3_training_approaches.png" TargetMode="External" /><Relationship Type="http://schemas.openxmlformats.org/officeDocument/2006/relationships/hyperlink" Id="rId110" Target="https://raw.githubusercontent.com/HeleneThomsen/dissertation/main/figures/3_methods_fig/study_2__3d_emb.png" TargetMode="External" /><Relationship Type="http://schemas.openxmlformats.org/officeDocument/2006/relationships/hyperlink" Id="rId125" Target="https://raw.githubusercontent.com/HeleneThomsen/dissertation/main/figures/3_methods_fig/study_2_dim_reduce.png" TargetMode="External" /><Relationship Type="http://schemas.openxmlformats.org/officeDocument/2006/relationships/hyperlink" Id="rId174" Target="https://raw.githubusercontent.com/HeleneThomsen/dissertation/main/figures/4_results_fig/study_1_prisma.svg" TargetMode="External" /><Relationship Type="http://schemas.openxmlformats.org/officeDocument/2006/relationships/hyperlink" Id="rId179" Target="https://raw.githubusercontent.com/HeleneThomsen/dissertation/main/figures/4_results_fig/study_1_world_map.png" TargetMode="External" /><Relationship Type="http://schemas.openxmlformats.org/officeDocument/2006/relationships/hyperlink" Id="rId197" Target="https://raw.githubusercontent.com/HeleneThomsen/dissertation/main/figures/4_results_fig/study_2_co_sim1.png" TargetMode="External" /><Relationship Type="http://schemas.openxmlformats.org/officeDocument/2006/relationships/hyperlink" Id="rId416" Target="https://stanfordmlgroup.github.io/competitions/chexpert/" TargetMode="External" /><Relationship Type="http://schemas.openxmlformats.org/officeDocument/2006/relationships/hyperlink" Id="rId355" Target="https://www.ahajournals.org/doi/abs/10.1161/CIRCHEARTFAILURE.121.009427" TargetMode="External" /><Relationship Type="http://schemas.openxmlformats.org/officeDocument/2006/relationships/hyperlink" Id="rId277" Target="https://www.ahajournals.org/doi/abs/10.1161/CIRCULATIONAHA.109.849166" TargetMode="External" /><Relationship Type="http://schemas.openxmlformats.org/officeDocument/2006/relationships/hyperlink" Id="rId311" Target="https://www.bmj.com/content/385/bmj-2023-078378" TargetMode="External" /><Relationship Type="http://schemas.openxmlformats.org/officeDocument/2006/relationships/hyperlink" Id="rId251" Target="https://www.frontiersin.org/articles/10.3389/fendo.2022.919942/full" TargetMode="External" /><Relationship Type="http://schemas.openxmlformats.org/officeDocument/2006/relationships/hyperlink" Id="rId283" Target="https://www.jstor.org/stable/41058949" TargetMode="External" /><Relationship Type="http://schemas.openxmlformats.org/officeDocument/2006/relationships/hyperlink" Id="rId414" Target="https://www.kaggle.com/competitions/aptos2019-blindness-detection" TargetMode="External" /><Relationship Type="http://schemas.openxmlformats.org/officeDocument/2006/relationships/hyperlink" Id="rId418" Target="https://www.kaggle.com/datasets/nih-chest-xrays/data" TargetMode="External" /><Relationship Type="http://schemas.openxmlformats.org/officeDocument/2006/relationships/hyperlink" Id="rId180" Target="https://www.mapchart.net" TargetMode="External" /><Relationship Type="http://schemas.openxmlformats.org/officeDocument/2006/relationships/hyperlink" Id="rId236" Target="https://www.mdpi.com/1422-0067/22/12/6403" TargetMode="External" /><Relationship Type="http://schemas.openxmlformats.org/officeDocument/2006/relationships/hyperlink" Id="rId253" Target="https://www.mdpi.com/1999-4923/16/7/944" TargetMode="External" /><Relationship Type="http://schemas.openxmlformats.org/officeDocument/2006/relationships/hyperlink" Id="rId424" Target="https://www.nature.com/articles/sdata201618" TargetMode="External" /><Relationship Type="http://schemas.openxmlformats.org/officeDocument/2006/relationships/hyperlink" Id="rId359" Target="https://www.ncbi.nlm.nih.gov/books/NBK536098/" TargetMode="External" /><Relationship Type="http://schemas.openxmlformats.org/officeDocument/2006/relationships/hyperlink" Id="rId307" Target="https://www.ncbi.nlm.nih.gov/pmc/articles/PMC11450195/" TargetMode="External" /><Relationship Type="http://schemas.openxmlformats.org/officeDocument/2006/relationships/hyperlink" Id="rId401" Target="https://www.ncbi.nlm.nih.gov/pubmed/32324062 https://www.liebertpub.com/doi/pdf/10.1089/dia.2020.0061?download=true" TargetMode="External" /><Relationship Type="http://schemas.openxmlformats.org/officeDocument/2006/relationships/hyperlink" Id="rId403" Target="https://www.ncbi.nlm.nih.gov/pubmed/34598081 https://www.sciencedirect.com/science/article/pii/S0169260721004983?via%3Dihub" TargetMode="External" /><Relationship Type="http://schemas.openxmlformats.org/officeDocument/2006/relationships/hyperlink" Id="rId263" Target="https://www.nejm.org/doi/full/10.1056/NEJMoa1608664" TargetMode="External" /><Relationship Type="http://schemas.openxmlformats.org/officeDocument/2006/relationships/hyperlink" Id="rId395" Target="https://www.sciencedirect.com/science/article/pii/S0009912007003918" TargetMode="External" /><Relationship Type="http://schemas.openxmlformats.org/officeDocument/2006/relationships/hyperlink" Id="rId281" Target="https://www.sciencedirect.com/science/article/pii/S0168822720307518" TargetMode="External" /><Relationship Type="http://schemas.openxmlformats.org/officeDocument/2006/relationships/hyperlink" Id="rId353" Target="https://www.sciencedirect.com/science/article/pii/S0735109721083959" TargetMode="External" /><Relationship Type="http://schemas.openxmlformats.org/officeDocument/2006/relationships/hyperlink" Id="rId287" Target="https://www.sciencedirect.com/science/article/pii/S258975002500098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Methods for Continuous Glucose Monitoring Data and their Potential in Cardiovascular Risk Assessment</dc:title>
  <dc:creator>Helene Bei Thomsen</dc:creator>
  <cp:keywords/>
  <dcterms:created xsi:type="dcterms:W3CDTF">2026-09-25T13:09:22Z</dcterms:created>
  <dcterms:modified xsi:type="dcterms:W3CDTF">2026-09-25T13:09:22Z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ronym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uthor">
    <vt:lpwstr/>
  </property>
  <property fmtid="{D5CDD505-2E9C-101B-9397-08002B2CF9AE}" pid="8" name="crossref">
    <vt:lpwstr/>
  </property>
  <property fmtid="{D5CDD505-2E9C-101B-9397-08002B2CF9AE}" pid="9" name="csl">
    <vt:lpwstr>citestyle.csl</vt:lpwstr>
  </property>
  <property fmtid="{D5CDD505-2E9C-101B-9397-08002B2CF9AE}" pid="10" name="date">
    <vt:lpwstr>2026</vt:lpwstr>
  </property>
  <property fmtid="{D5CDD505-2E9C-101B-9397-08002B2CF9AE}" pid="11" name="date-format">
    <vt:lpwstr>YYYY</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number-depth">
    <vt:lpwstr>2</vt:lpwstr>
  </property>
  <property fmtid="{D5CDD505-2E9C-101B-9397-08002B2CF9AE}" pid="17" name="template-partials">
    <vt:lpwstr/>
  </property>
  <property fmtid="{D5CDD505-2E9C-101B-9397-08002B2CF9AE}" pid="18" name="toc-title">
    <vt:lpwstr>Table of contents</vt:lpwstr>
  </property>
</Properties>
</file>