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25.png" ContentType="image/png"/>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methods for continuous glucose monitoring data and their potential in cardiovascular risk assessment</w:t>
      </w:r>
    </w:p>
    <w:p>
      <w:pPr>
        <w:pStyle w:val="Author"/>
      </w:pPr>
      <w:r>
        <w:t xml:space="preserve">Helene Bei Thomsen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upervisors-and-assessment-committee"/>
    <w:p>
      <w:pPr>
        <w:pStyle w:val="Heading1"/>
      </w:pPr>
      <w:r>
        <w:t xml:space="preserve">Supervisors and Assessment Committee</w:t>
      </w:r>
    </w:p>
    <w:bookmarkEnd w:id="9"/>
    <w:bookmarkStart w:id="10" w:name="cover-page"/>
    <w:p>
      <w:pPr>
        <w:pStyle w:val="Heading1"/>
      </w:pPr>
      <w:r>
        <w:t xml:space="preserve">Cover Page</w:t>
      </w:r>
    </w:p>
    <w:bookmarkEnd w:id="10"/>
    <w:p>
      <w:pPr>
        <w:pStyle w:val="FirstParagraph"/>
      </w:pPr>
      <w:r>
        <w:drawing>
          <wp:inline>
            <wp:extent cx="2133600" cy="2133600"/>
            <wp:effectExtent b="0" l="0" r="0" t="0"/>
            <wp:docPr descr="" title="" id="12" name="Picture"/>
            <a:graphic>
              <a:graphicData uri="http://schemas.openxmlformats.org/drawingml/2006/picture">
                <pic:pic>
                  <pic:nvPicPr>
                    <pic:cNvPr descr="figures/ausegl_blaa.png" id="13" name="Picture"/>
                    <pic:cNvPicPr>
                      <a:picLocks noChangeArrowheads="1" noChangeAspect="1"/>
                    </pic:cNvPicPr>
                  </pic:nvPicPr>
                  <pic:blipFill>
                    <a:blip r:embed="rId11"/>
                    <a:stretch>
                      <a:fillRect/>
                    </a:stretch>
                  </pic:blipFill>
                  <pic:spPr bwMode="auto">
                    <a:xfrm>
                      <a:off x="0" y="0"/>
                      <a:ext cx="2133600" cy="2133600"/>
                    </a:xfrm>
                    <a:prstGeom prst="rect">
                      <a:avLst/>
                    </a:prstGeom>
                    <a:noFill/>
                    <a:ln w="9525">
                      <a:noFill/>
                      <a:headEnd/>
                      <a:tailEnd/>
                    </a:ln>
                  </pic:spPr>
                </pic:pic>
              </a:graphicData>
            </a:graphic>
          </wp:inline>
        </w:drawing>
      </w:r>
    </w:p>
    <w:p>
      <w:pPr>
        <w:pStyle w:val="BodyText"/>
      </w:pPr>
      <w:r>
        <w:rPr>
          <w:b/>
          <w:bCs/>
        </w:rPr>
        <w:t xml:space="preserve">PhD Dissertation</w:t>
      </w:r>
      <w:r>
        <w:br/>
      </w:r>
      <w:r>
        <w:rPr>
          <w:b/>
          <w:bCs/>
        </w:rPr>
        <w:t xml:space="preserve">Department of Public Health</w:t>
      </w:r>
      <w:r>
        <w:br/>
      </w:r>
      <w:r>
        <w:rPr>
          <w:b/>
          <w:bCs/>
        </w:rPr>
        <w:t xml:space="preserve">Faculty of Health</w:t>
      </w:r>
      <w:r>
        <w:br/>
      </w:r>
      <w:r>
        <w:rPr>
          <w:b/>
          <w:bCs/>
        </w:rPr>
        <w:t xml:space="preserve">Aarhus University</w:t>
      </w:r>
    </w:p>
    <w:p>
      <w:pPr>
        <w:pStyle w:val="BodyText"/>
      </w:pPr>
      <w:r>
        <w:drawing>
          <wp:inline>
            <wp:extent cx="4267200" cy="492321"/>
            <wp:effectExtent b="0" l="0" r="0" t="0"/>
            <wp:docPr descr="" title="" id="15" name="Picture"/>
            <a:graphic>
              <a:graphicData uri="http://schemas.openxmlformats.org/drawingml/2006/picture">
                <pic:pic>
                  <pic:nvPicPr>
                    <pic:cNvPr descr="figures/au_health.png" id="16" name="Picture"/>
                    <pic:cNvPicPr>
                      <a:picLocks noChangeArrowheads="1" noChangeAspect="1"/>
                    </pic:cNvPicPr>
                  </pic:nvPicPr>
                  <pic:blipFill>
                    <a:blip r:embed="rId14"/>
                    <a:stretch>
                      <a:fillRect/>
                    </a:stretch>
                  </pic:blipFill>
                  <pic:spPr bwMode="auto">
                    <a:xfrm>
                      <a:off x="0" y="0"/>
                      <a:ext cx="4267200" cy="492321"/>
                    </a:xfrm>
                    <a:prstGeom prst="rect">
                      <a:avLst/>
                    </a:prstGeom>
                    <a:noFill/>
                    <a:ln w="9525">
                      <a:noFill/>
                      <a:headEnd/>
                      <a:tailEnd/>
                    </a:ln>
                  </pic:spPr>
                </pic:pic>
              </a:graphicData>
            </a:graphic>
          </wp:inline>
        </w:drawing>
      </w:r>
    </w:p>
    <w:bookmarkStart w:id="24" w:name="disclosures-and-notes"/>
    <w:p>
      <w:pPr>
        <w:pStyle w:val="Heading1"/>
      </w:pPr>
      <w:r>
        <w:t xml:space="preserve">Disclosures and Notes</w:t>
      </w:r>
    </w:p>
    <w:bookmarkStart w:id="23" w:name="financial-disclosures"/>
    <w:p>
      <w:pPr>
        <w:pStyle w:val="Heading2"/>
      </w:pPr>
      <w:r>
        <w:t xml:space="preserve">Financial Disclosures</w:t>
      </w:r>
    </w:p>
    <w:p>
      <w:pPr>
        <w:pStyle w:val="FirstParagraph"/>
      </w:pPr>
      <w:r>
        <w:t xml:space="preserve">This PhD project was supported by a research grant from the</w:t>
      </w:r>
      <w:r>
        <w:t xml:space="preserve"> </w:t>
      </w:r>
      <w:r>
        <w:rPr>
          <w:b/>
          <w:bCs/>
        </w:rPr>
        <w:t xml:space="preserve">Danish Diabetes and Endocrine Academy</w:t>
      </w:r>
      <w:r>
        <w:t xml:space="preserve"> </w:t>
      </w:r>
      <w:r>
        <w:t xml:space="preserve">(NNF22SA0079901) and the</w:t>
      </w:r>
      <w:r>
        <w:t xml:space="preserve"> </w:t>
      </w:r>
      <w:r>
        <w:rPr>
          <w:b/>
          <w:bCs/>
        </w:rPr>
        <w:t xml:space="preserve">Danish Cardiovascular Academy</w:t>
      </w:r>
      <w:r>
        <w:t xml:space="preserve"> </w:t>
      </w:r>
      <w:r>
        <w:t xml:space="preserve">(NNF20SA0067242), which are funded by the</w:t>
      </w:r>
      <w:r>
        <w:t xml:space="preserve"> </w:t>
      </w:r>
      <w:r>
        <w:rPr>
          <w:b/>
          <w:bCs/>
        </w:rPr>
        <w:t xml:space="preserve">Novo Nordisk Foundation</w:t>
      </w:r>
      <w:r>
        <w:t xml:space="preserve">. Furthermore, the project was supported by the main supervisor’s Data Science Emerging Investigator grant from the Novo Nordisk Foundation (NNF22OC0076725),</w:t>
      </w:r>
    </w:p>
    <w:tbl>
      <w:tblPr>
        <w:tblStyle w:val="Table"/>
        <w:tblW w:type="pct" w:w="3330"/>
        <w:tblLayout w:type="fixed"/>
        <w:tblLook w:firstRow="0" w:lastRow="0" w:firstColumn="0" w:lastColumn="0" w:noHBand="0" w:noVBand="0" w:val="0000"/>
      </w:tblPr>
      <w:tblGrid>
        <w:gridCol w:w="2637"/>
        <w:gridCol w:w="2637"/>
      </w:tblGrid>
      <w:tr>
        <w:tc>
          <w:tcPr/>
          <w:p>
            <w:pPr>
              <w:jc w:val="center"/>
            </w:pPr>
            <w:r>
              <w:drawing>
                <wp:inline>
                  <wp:extent cx="1975104" cy="793279"/>
                  <wp:effectExtent b="0" l="0" r="0" t="0"/>
                  <wp:docPr descr="" title="" id="18" name="Picture"/>
                  <a:graphic>
                    <a:graphicData uri="http://schemas.openxmlformats.org/drawingml/2006/picture">
                      <pic:pic>
                        <pic:nvPicPr>
                          <pic:cNvPr descr="figures/au_health_cropped.png" id="19" name="Picture"/>
                          <pic:cNvPicPr>
                            <a:picLocks noChangeArrowheads="1" noChangeAspect="1"/>
                          </pic:cNvPicPr>
                        </pic:nvPicPr>
                        <pic:blipFill>
                          <a:blip r:embed="rId17"/>
                          <a:stretch>
                            <a:fillRect/>
                          </a:stretch>
                        </pic:blipFill>
                        <pic:spPr bwMode="auto">
                          <a:xfrm>
                            <a:off x="0" y="0"/>
                            <a:ext cx="1975104" cy="793279"/>
                          </a:xfrm>
                          <a:prstGeom prst="rect">
                            <a:avLst/>
                          </a:prstGeom>
                          <a:noFill/>
                          <a:ln w="9525">
                            <a:noFill/>
                            <a:headEnd/>
                            <a:tailEnd/>
                          </a:ln>
                        </pic:spPr>
                      </pic:pic>
                    </a:graphicData>
                  </a:graphic>
                </wp:inline>
              </w:drawing>
            </w:r>
          </w:p>
        </w:tc>
        <w:tc>
          <w:tcPr/>
          <w:p>
            <w:pPr>
              <w:jc w:val="center"/>
            </w:pPr>
            <w:r>
              <w:drawing>
                <wp:inline>
                  <wp:extent cx="1975104" cy="922743"/>
                  <wp:effectExtent b="0" l="0" r="0" t="0"/>
                  <wp:docPr descr="" title="" id="21" name="Picture"/>
                  <a:graphic>
                    <a:graphicData uri="http://schemas.openxmlformats.org/drawingml/2006/picture">
                      <pic:pic>
                        <pic:nvPicPr>
                          <pic:cNvPr descr="figures/sdca.png" id="22" name="Picture"/>
                          <pic:cNvPicPr>
                            <a:picLocks noChangeArrowheads="1" noChangeAspect="1"/>
                          </pic:cNvPicPr>
                        </pic:nvPicPr>
                        <pic:blipFill>
                          <a:blip r:embed="rId20"/>
                          <a:stretch>
                            <a:fillRect/>
                          </a:stretch>
                        </pic:blipFill>
                        <pic:spPr bwMode="auto">
                          <a:xfrm>
                            <a:off x="0" y="0"/>
                            <a:ext cx="1975104" cy="922743"/>
                          </a:xfrm>
                          <a:prstGeom prst="rect">
                            <a:avLst/>
                          </a:prstGeom>
                          <a:noFill/>
                          <a:ln w="9525">
                            <a:noFill/>
                            <a:headEnd/>
                            <a:tailEnd/>
                          </a:ln>
                        </pic:spPr>
                      </pic:pic>
                    </a:graphicData>
                  </a:graphic>
                </wp:inline>
              </w:drawing>
            </w:r>
          </w:p>
        </w:tc>
      </w:tr>
    </w:tbl>
    <w:bookmarkEnd w:id="23"/>
    <w:bookmarkEnd w:id="24"/>
    <w:bookmarkStart w:id="26" w:name="sec-preface"/>
    <w:p>
      <w:pPr>
        <w:pStyle w:val="Heading1"/>
      </w:pPr>
      <w:r>
        <w:t xml:space="preserve">Preface</w:t>
      </w:r>
    </w:p>
    <w:bookmarkStart w:id="25" w:name="outline-of-the-dissertation"/>
    <w:p>
      <w:pPr>
        <w:pStyle w:val="Heading2"/>
      </w:pPr>
      <w:r>
        <w:t xml:space="preserve">Outline of the dissertation</w:t>
      </w:r>
    </w:p>
    <w:bookmarkEnd w:id="25"/>
    <w:bookmarkEnd w:id="26"/>
    <w:bookmarkStart w:id="30" w:name="sec-linked-papers"/>
    <w:p>
      <w:pPr>
        <w:pStyle w:val="Heading1"/>
      </w:pPr>
      <w:r>
        <w:t xml:space="preserve">Papers in the dissertation</w:t>
      </w:r>
    </w:p>
    <w:bookmarkStart w:id="27" w:name="study-i"/>
    <w:p>
      <w:pPr>
        <w:pStyle w:val="Heading2"/>
      </w:pPr>
      <w:r>
        <w:t xml:space="preserve">Study I</w:t>
      </w:r>
    </w:p>
    <w:p>
      <w:pPr>
        <w:pStyle w:val="FirstParagraph"/>
      </w:pPr>
      <w:r>
        <w:t xml:space="preserve">Thomsen, H. B., Lebiecka-Johansen, B., Nørgaard, O., Andersen, T. H., Andersen, S. T., Fagherazzi, G., Hulman, A., &amp; Isaksen, A. A. (2026). Continuous Glucose Monitoring–Derived Metrics and Cardiovascular Risk Among People With Diabetes: Systematic Scoping Review. JMIR Diabetes, 11(1), e89374. https://doi.org/10.2196/89374</w:t>
      </w:r>
    </w:p>
    <w:bookmarkEnd w:id="27"/>
    <w:bookmarkStart w:id="28" w:name="study-ii"/>
    <w:p>
      <w:pPr>
        <w:pStyle w:val="Heading2"/>
      </w:pPr>
      <w:r>
        <w:t xml:space="preserve">Study II</w:t>
      </w:r>
    </w:p>
    <w:p>
      <w:pPr>
        <w:pStyle w:val="FirstParagraph"/>
      </w:pPr>
      <w:r>
        <w:t xml:space="preserve">Thomsen, H. B., Andersen, S. T., Fagherazzi, G., Isaksen, A. A. &amp; Hulman, A. (2026). Foundation model–derived representations of continuous glucose monitoring data: relation to glycemic patterns and cardiovascular risk. (Under review at JMIR AI, (7.30.2026), pending for preprint at JMIR preprints)</w:t>
      </w:r>
    </w:p>
    <w:bookmarkEnd w:id="28"/>
    <w:bookmarkStart w:id="29" w:name="study-iii"/>
    <w:p>
      <w:pPr>
        <w:pStyle w:val="Heading2"/>
      </w:pPr>
      <w:r>
        <w:t xml:space="preserve">Study III</w:t>
      </w:r>
    </w:p>
    <w:p>
      <w:pPr>
        <w:pStyle w:val="FirstParagraph"/>
      </w:pPr>
      <w:r>
        <w:t xml:space="preserve">Thomsen, H. B., Li, L. Y., Isaksen, A. A., Lebiecka-Johansen, B., Bour, C., Fagherazzi, G., Doorn, W. P. T. M. van, Varga, T. V., &amp; Hulman, A. (2025). Racial disparities in continuous glucose monitoring-based 60-min glucose predictions among people with type 1 diabetes. PLOS Digital Health, 4(6), e0000918. https://doi.org/10.1371/journal.pdig.0000918</w:t>
      </w:r>
    </w:p>
    <w:bookmarkEnd w:id="29"/>
    <w:bookmarkEnd w:id="30"/>
    <w:bookmarkStart w:id="48" w:name="abbreviations"/>
    <w:p>
      <w:pPr>
        <w:pStyle w:val="Heading1"/>
      </w:pPr>
      <w:r>
        <w:t xml:space="preserve">Abbreviations</w:t>
      </w:r>
    </w:p>
    <w:p>
      <w:pPr>
        <w:pStyle w:val="FirstParagraph"/>
      </w:pPr>
      <w:bookmarkStart w:id="31" w:name="acronyms_AGP"/>
      <w:r>
        <w:rPr>
          <w:b/>
          <w:bCs/>
        </w:rPr>
        <w:t xml:space="preserve">AGP</w:t>
      </w:r>
      <w:bookmarkEnd w:id="31"/>
      <w:r>
        <w:t xml:space="preserve">: ambulatory glucose profile</w:t>
      </w:r>
    </w:p>
    <w:p>
      <w:pPr>
        <w:pStyle w:val="BodyText"/>
      </w:pPr>
      <w:bookmarkStart w:id="32" w:name="acronyms_AID"/>
      <w:r>
        <w:rPr>
          <w:b/>
          <w:bCs/>
        </w:rPr>
        <w:t xml:space="preserve">AID</w:t>
      </w:r>
      <w:bookmarkEnd w:id="32"/>
      <w:r>
        <w:t xml:space="preserve">: Automated insulin delivery</w:t>
      </w:r>
    </w:p>
    <w:p>
      <w:pPr>
        <w:pStyle w:val="BodyText"/>
      </w:pPr>
      <w:bookmarkStart w:id="33" w:name="acronyms_CGM"/>
      <w:r>
        <w:rPr>
          <w:b/>
          <w:bCs/>
        </w:rPr>
        <w:t xml:space="preserve">CGM</w:t>
      </w:r>
      <w:bookmarkEnd w:id="33"/>
      <w:r>
        <w:t xml:space="preserve">: continuous glucose monitoring</w:t>
      </w:r>
    </w:p>
    <w:p>
      <w:pPr>
        <w:pStyle w:val="BodyText"/>
      </w:pPr>
      <w:bookmarkStart w:id="34" w:name="acronyms_CV"/>
      <w:r>
        <w:rPr>
          <w:b/>
          <w:bCs/>
        </w:rPr>
        <w:t xml:space="preserve">CV</w:t>
      </w:r>
      <w:bookmarkEnd w:id="34"/>
      <w:r>
        <w:t xml:space="preserve">: coefficient of variation</w:t>
      </w:r>
    </w:p>
    <w:p>
      <w:pPr>
        <w:pStyle w:val="BodyText"/>
      </w:pPr>
      <w:bookmarkStart w:id="35" w:name="acronyms_CVD"/>
      <w:r>
        <w:rPr>
          <w:b/>
          <w:bCs/>
        </w:rPr>
        <w:t xml:space="preserve">CVD</w:t>
      </w:r>
      <w:bookmarkEnd w:id="35"/>
      <w:r>
        <w:t xml:space="preserve">: cardiovascular disease</w:t>
      </w:r>
    </w:p>
    <w:p>
      <w:pPr>
        <w:pStyle w:val="BodyText"/>
      </w:pPr>
      <w:bookmarkStart w:id="36" w:name="acronyms_eGFR"/>
      <w:r>
        <w:rPr>
          <w:b/>
          <w:bCs/>
        </w:rPr>
        <w:t xml:space="preserve">eGFR</w:t>
      </w:r>
      <w:bookmarkEnd w:id="36"/>
      <w:r>
        <w:t xml:space="preserve">: Estimated Glomerular Filtration Rate</w:t>
      </w:r>
    </w:p>
    <w:p>
      <w:pPr>
        <w:pStyle w:val="BodyText"/>
      </w:pPr>
      <w:bookmarkStart w:id="37" w:name="acronyms_GMI"/>
      <w:r>
        <w:rPr>
          <w:b/>
          <w:bCs/>
        </w:rPr>
        <w:t xml:space="preserve">GMI</w:t>
      </w:r>
      <w:bookmarkEnd w:id="37"/>
      <w:r>
        <w:t xml:space="preserve">: glucose management indicator</w:t>
      </w:r>
    </w:p>
    <w:p>
      <w:pPr>
        <w:pStyle w:val="BodyText"/>
      </w:pPr>
      <w:bookmarkStart w:id="38" w:name="acronyms_HbA1c"/>
      <w:r>
        <w:rPr>
          <w:b/>
          <w:bCs/>
        </w:rPr>
        <w:t xml:space="preserve">HbA1c</w:t>
      </w:r>
      <w:bookmarkEnd w:id="38"/>
      <w:r>
        <w:t xml:space="preserve">: hemoglobin A1c</w:t>
      </w:r>
    </w:p>
    <w:p>
      <w:pPr>
        <w:pStyle w:val="BodyText"/>
      </w:pPr>
      <w:bookmarkStart w:id="39" w:name="acronyms_MBG"/>
      <w:r>
        <w:rPr>
          <w:b/>
          <w:bCs/>
        </w:rPr>
        <w:t xml:space="preserve">MBG</w:t>
      </w:r>
      <w:bookmarkEnd w:id="39"/>
      <w:r>
        <w:t xml:space="preserve">: mean glucose</w:t>
      </w:r>
    </w:p>
    <w:p>
      <w:pPr>
        <w:pStyle w:val="BodyText"/>
      </w:pPr>
      <w:bookmarkStart w:id="40" w:name="acronyms_NT_proBNP"/>
      <w:r>
        <w:rPr>
          <w:b/>
          <w:bCs/>
        </w:rPr>
        <w:t xml:space="preserve">NT-proBNP</w:t>
      </w:r>
      <w:bookmarkEnd w:id="40"/>
      <w:r>
        <w:t xml:space="preserve">: N-terminal Pro-B-type Natriuretic Peptide</w:t>
      </w:r>
    </w:p>
    <w:p>
      <w:pPr>
        <w:pStyle w:val="BodyText"/>
      </w:pPr>
      <w:bookmarkStart w:id="41" w:name="acronyms_SCORE2_Diabetes"/>
      <w:r>
        <w:rPr>
          <w:b/>
          <w:bCs/>
        </w:rPr>
        <w:t xml:space="preserve">SCORE2-Diabetes</w:t>
      </w:r>
      <w:bookmarkEnd w:id="41"/>
      <w:r>
        <w:t xml:space="preserve">: Systematic Coronary Risk Evaluation 2-Diabetes</w:t>
      </w:r>
    </w:p>
    <w:p>
      <w:pPr>
        <w:pStyle w:val="BodyText"/>
      </w:pPr>
      <w:bookmarkStart w:id="42" w:name="acronyms_SMBG"/>
      <w:r>
        <w:rPr>
          <w:b/>
          <w:bCs/>
        </w:rPr>
        <w:t xml:space="preserve">SMBG</w:t>
      </w:r>
      <w:bookmarkEnd w:id="42"/>
      <w:r>
        <w:t xml:space="preserve">: self-monitoring blood glucose</w:t>
      </w:r>
    </w:p>
    <w:p>
      <w:pPr>
        <w:pStyle w:val="BodyText"/>
      </w:pPr>
      <w:bookmarkStart w:id="43" w:name="acronyms_T1D"/>
      <w:r>
        <w:rPr>
          <w:b/>
          <w:bCs/>
        </w:rPr>
        <w:t xml:space="preserve">T1D</w:t>
      </w:r>
      <w:bookmarkEnd w:id="43"/>
      <w:r>
        <w:t xml:space="preserve">: type 1 diabetes</w:t>
      </w:r>
    </w:p>
    <w:p>
      <w:pPr>
        <w:pStyle w:val="BodyText"/>
      </w:pPr>
      <w:bookmarkStart w:id="44" w:name="acronyms_T2D"/>
      <w:r>
        <w:rPr>
          <w:b/>
          <w:bCs/>
        </w:rPr>
        <w:t xml:space="preserve">T2D</w:t>
      </w:r>
      <w:bookmarkEnd w:id="44"/>
      <w:r>
        <w:t xml:space="preserve">: type 2 diabetes</w:t>
      </w:r>
    </w:p>
    <w:p>
      <w:pPr>
        <w:pStyle w:val="BodyText"/>
      </w:pPr>
      <w:bookmarkStart w:id="45" w:name="acronyms_TAR"/>
      <w:r>
        <w:rPr>
          <w:b/>
          <w:bCs/>
        </w:rPr>
        <w:t xml:space="preserve">TAR</w:t>
      </w:r>
      <w:bookmarkEnd w:id="45"/>
      <w:r>
        <w:t xml:space="preserve">: time above range</w:t>
      </w:r>
    </w:p>
    <w:p>
      <w:pPr>
        <w:pStyle w:val="BodyText"/>
      </w:pPr>
      <w:bookmarkStart w:id="46" w:name="acronyms_TBR"/>
      <w:r>
        <w:rPr>
          <w:b/>
          <w:bCs/>
        </w:rPr>
        <w:t xml:space="preserve">TBR</w:t>
      </w:r>
      <w:bookmarkEnd w:id="46"/>
      <w:r>
        <w:t xml:space="preserve">: time below range</w:t>
      </w:r>
    </w:p>
    <w:p>
      <w:pPr>
        <w:pStyle w:val="BodyText"/>
      </w:pPr>
      <w:bookmarkStart w:id="47" w:name="acronyms_TIR"/>
      <w:r>
        <w:rPr>
          <w:b/>
          <w:bCs/>
        </w:rPr>
        <w:t xml:space="preserve">TIR</w:t>
      </w:r>
      <w:bookmarkEnd w:id="47"/>
      <w:r>
        <w:t xml:space="preserve">: time in range</w:t>
      </w:r>
    </w:p>
    <w:bookmarkEnd w:id="48"/>
    <w:bookmarkStart w:id="64" w:name="sec-introduction"/>
    <w:p>
      <w:pPr>
        <w:pStyle w:val="Heading1"/>
      </w:pPr>
      <w:r>
        <w:t xml:space="preserve">1. Introduction</w:t>
      </w:r>
    </w:p>
    <w:bookmarkStart w:id="50" w:name="diabetes"/>
    <w:p>
      <w:pPr>
        <w:pStyle w:val="Heading2"/>
      </w:pPr>
      <w:r>
        <w:t xml:space="preserve">1.1 Diabetes</w:t>
      </w:r>
    </w:p>
    <w:p>
      <w:pPr>
        <w:pStyle w:val="FirstParagraph"/>
      </w:pPr>
      <w:r>
        <w:t xml:space="preserve">Diabetes is a metabolic disease characterized by high blood glucose levels known as hyperglycemia.</w:t>
      </w:r>
      <w:r>
        <w:rPr>
          <w:vertAlign w:val="superscript"/>
        </w:rPr>
        <w:t xml:space="preserve">1,2</w:t>
      </w:r>
      <w:r>
        <w:t xml:space="preserve"> </w:t>
      </w:r>
      <w:r>
        <w:t xml:space="preserve">The disease is one of the fastest growing global healths challenges.</w:t>
      </w:r>
      <w:r>
        <w:rPr>
          <w:vertAlign w:val="superscript"/>
        </w:rPr>
        <w:t xml:space="preserve">3</w:t>
      </w:r>
      <w:r>
        <w:t xml:space="preserve"> </w:t>
      </w:r>
      <w:r>
        <w:t xml:space="preserve">In 2021 it was estimated that 537 million people lived with diabetes, and it is expected to reach 643 million by 2030.</w:t>
      </w:r>
      <w:r>
        <w:rPr>
          <w:vertAlign w:val="superscript"/>
        </w:rPr>
        <w:t xml:space="preserve">3</w:t>
      </w:r>
      <w:r>
        <w:t xml:space="preserve"> </w:t>
      </w:r>
      <w:r>
        <w:t xml:space="preserve">The most common forms of chronic diabetes are</w:t>
      </w:r>
      <w:r>
        <w:t xml:space="preserve"> </w:t>
      </w:r>
      <w:hyperlink w:anchor="acronyms_T1D">
        <w:r>
          <w:rPr>
            <w:rStyle w:val="Hyperlink"/>
          </w:rPr>
          <w:t xml:space="preserve">type 1 diabetes (T1D)</w:t>
        </w:r>
      </w:hyperlink>
      <w:r>
        <w:t xml:space="preserve"> </w:t>
      </w:r>
      <w:r>
        <w:t xml:space="preserve">and</w:t>
      </w:r>
      <w:r>
        <w:t xml:space="preserve"> </w:t>
      </w:r>
      <w:hyperlink w:anchor="acronyms_T2D">
        <w:r>
          <w:rPr>
            <w:rStyle w:val="Hyperlink"/>
          </w:rPr>
          <w:t xml:space="preserve">type 2 diabetes (T2D)</w:t>
        </w:r>
      </w:hyperlink>
      <w:r>
        <w:t xml:space="preserve">.</w:t>
      </w:r>
      <w:r>
        <w:rPr>
          <w:vertAlign w:val="superscript"/>
        </w:rPr>
        <w:t xml:space="preserve">1</w:t>
      </w:r>
      <w:r>
        <w:t xml:space="preserve"> </w:t>
      </w:r>
      <w:r>
        <w:t xml:space="preserve">T1D is an autoimmune disease characterized by the destruction of the pancreatic islet</w:t>
      </w:r>
      <w:r>
        <w:t xml:space="preserve"> </w:t>
      </w:r>
      <m:oMath>
        <m:r>
          <m:t>β</m:t>
        </m:r>
      </m:oMath>
      <w:r>
        <w:t xml:space="preserve">-cells, leading to an absolute insulin deficiency.</w:t>
      </w:r>
      <w:r>
        <w:rPr>
          <w:vertAlign w:val="superscript"/>
        </w:rPr>
        <w:t xml:space="preserve">4</w:t>
      </w:r>
      <w:r>
        <w:t xml:space="preserve"> </w:t>
      </w:r>
      <w:r>
        <w:t xml:space="preserve">Approximately 85%-95% of all people with diabetes in developing countries have</w:t>
      </w:r>
      <w:r>
        <w:t xml:space="preserve"> </w:t>
      </w:r>
      <w:hyperlink w:anchor="acronyms_T2D">
        <w:r>
          <w:rPr>
            <w:rStyle w:val="Hyperlink"/>
          </w:rPr>
          <w:t xml:space="preserve">T2D</w:t>
        </w:r>
      </w:hyperlink>
      <w:r>
        <w:t xml:space="preserve">.</w:t>
      </w:r>
      <w:r>
        <w:rPr>
          <w:vertAlign w:val="superscript"/>
        </w:rPr>
        <w:t xml:space="preserve">1</w:t>
      </w:r>
      <w:r>
        <w:t xml:space="preserve"> </w:t>
      </w:r>
      <w:r>
        <w:t xml:space="preserve">It is the most common form of diabetes and in contrast to</w:t>
      </w:r>
      <w:r>
        <w:t xml:space="preserve"> </w:t>
      </w:r>
      <w:hyperlink w:anchor="acronyms_T1D">
        <w:r>
          <w:rPr>
            <w:rStyle w:val="Hyperlink"/>
          </w:rPr>
          <w:t xml:space="preserve">T1D</w:t>
        </w:r>
      </w:hyperlink>
      <w:r>
        <w:t xml:space="preserve"> </w:t>
      </w:r>
      <w:r>
        <w:t xml:space="preserve">it generally begins with insulin resistance in which the body’s cells become less responsive to insulin.</w:t>
      </w:r>
      <w:r>
        <w:rPr>
          <w:vertAlign w:val="superscript"/>
        </w:rPr>
        <w:t xml:space="preserve">1,5</w:t>
      </w:r>
      <w:r>
        <w:t xml:space="preserve"> </w:t>
      </w:r>
      <w:r>
        <w:t xml:space="preserve">Initially, the pancreas compensates by increasing insulin secretion, but over time progressive</w:t>
      </w:r>
      <w:r>
        <w:t xml:space="preserve"> </w:t>
      </w:r>
      <m:oMath>
        <m:r>
          <m:t>β</m:t>
        </m:r>
      </m:oMath>
      <w:r>
        <w:t xml:space="preserve">-cell dysfunction results in inadequate insulin production to meet the body’s demands.</w:t>
      </w:r>
      <w:r>
        <w:rPr>
          <w:vertAlign w:val="superscript"/>
        </w:rPr>
        <w:t xml:space="preserve">1,2,5</w:t>
      </w:r>
      <w:r>
        <w:t xml:space="preserve"> </w:t>
      </w:r>
      <w:hyperlink w:anchor="acronyms_T2D">
        <w:r>
          <w:rPr>
            <w:rStyle w:val="Hyperlink"/>
          </w:rPr>
          <w:t xml:space="preserve">T2D</w:t>
        </w:r>
      </w:hyperlink>
      <w:r>
        <w:t xml:space="preserve"> </w:t>
      </w:r>
      <w:r>
        <w:t xml:space="preserve">is the most which is is</w:t>
      </w:r>
      <w:r>
        <w:t xml:space="preserve"> </w:t>
      </w:r>
      <w:r>
        <w:t xml:space="preserve">Despite their distinct underlying pathophysiology,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are characterized by chronic hyperglycemia.</w:t>
      </w:r>
    </w:p>
    <w:p>
      <w:pPr>
        <w:pStyle w:val="BodyText"/>
      </w:pPr>
      <w:r>
        <w:t xml:space="preserve">Diabetes can be diagnosed based on a bloodtest to check</w:t>
      </w:r>
      <w:r>
        <w:t xml:space="preserve"> </w:t>
      </w:r>
      <w:hyperlink w:anchor="acronyms_HbA1c">
        <w:r>
          <w:rPr>
            <w:rStyle w:val="Hyperlink"/>
          </w:rPr>
          <w:t xml:space="preserve">hemoglobin A1c (HbA1c)</w:t>
        </w:r>
      </w:hyperlink>
      <w:r>
        <w:t xml:space="preserve"> </w:t>
      </w:r>
      <w:r>
        <w:t xml:space="preserve">levels or through plasma glucose criteria (</w:t>
      </w:r>
      <w:hyperlink w:anchor="tbl-diagnosis_criteria">
        <w:r>
          <w:rPr>
            <w:rStyle w:val="Hyperlink"/>
          </w:rPr>
          <w:t xml:space="preserve">Table 1.1</w:t>
        </w:r>
      </w:hyperlink>
      <w:r>
        <w:t xml:space="preserve">).</w:t>
      </w:r>
      <w:r>
        <w:rPr>
          <w:vertAlign w:val="superscript"/>
        </w:rPr>
        <w:t xml:space="preserve">4,6</w:t>
      </w:r>
    </w:p>
    <w:tbl>
      <w:tblPr>
        <w:tblStyle w:val="Table"/>
        <w:tblW w:type="pct" w:w="5000"/>
        <w:tblLayout w:type="fixed"/>
        <w:tblLook w:firstRow="0" w:lastRow="0" w:firstColumn="0" w:lastColumn="0" w:noHBand="0" w:noVBand="0" w:val="0000"/>
      </w:tblPr>
      <w:tblGrid>
        <w:gridCol w:w="7920"/>
      </w:tblGrid>
      <w:tr>
        <w:tc>
          <w:tcPr/>
          <w:bookmarkStart w:id="49" w:name="tbl-diagnosis_criteria"/>
          <w:p>
            <w:pPr>
              <w:jc w:val="center"/>
            </w:pPr>
            <w:pPr>
              <w:jc w:val="left"/>
              <w:spacing w:before="200"/>
              <w:pStyle w:val="ImageCaption"/>
            </w:pPr>
            <w:r>
              <w:t xml:space="preserve">Table 1.1: Diagnostic tests for diabetes</w:t>
            </w:r>
          </w:p>
          <w:bookmarkEnd w:id="49"/>
        </w:tc>
      </w:tr>
    </w:tbl>
    <w:p>
      <w:pPr>
        <w:pStyle w:val="BodyText"/>
      </w:pPr>
      <w:r>
        <w:t xml:space="preserve">Although both plasma glucose tests and</w:t>
      </w:r>
      <w:r>
        <w:t xml:space="preserve"> </w:t>
      </w:r>
      <w:hyperlink w:anchor="acronyms_HbA1c">
        <w:r>
          <w:rPr>
            <w:rStyle w:val="Hyperlink"/>
          </w:rPr>
          <w:t xml:space="preserve">HbA1c</w:t>
        </w:r>
      </w:hyperlink>
      <w:r>
        <w:t xml:space="preserve"> </w:t>
      </w:r>
      <w:r>
        <w:t xml:space="preserve">tests are appropriate for diabetes screening, the</w:t>
      </w:r>
      <w:r>
        <w:t xml:space="preserve"> </w:t>
      </w:r>
      <w:hyperlink w:anchor="acronyms_HbA1c">
        <w:r>
          <w:rPr>
            <w:rStyle w:val="Hyperlink"/>
          </w:rPr>
          <w:t xml:space="preserve">HbA1c</w:t>
        </w:r>
      </w:hyperlink>
      <w:r>
        <w:t xml:space="preserve"> </w:t>
      </w:r>
      <w:r>
        <w:t xml:space="preserve">test has several advantages.</w:t>
      </w:r>
      <w:r>
        <w:rPr>
          <w:vertAlign w:val="superscript"/>
        </w:rPr>
        <w:t xml:space="preserve">4</w:t>
      </w:r>
      <w:r>
        <w:t xml:space="preserve"> </w:t>
      </w:r>
      <w:r>
        <w:t xml:space="preserve">Some of the benefits are that it requires no fasting and it is less sensitive to stress and changes in nutrition.</w:t>
      </w:r>
      <w:r>
        <w:rPr>
          <w:vertAlign w:val="superscript"/>
        </w:rPr>
        <w:t xml:space="preserve">4</w:t>
      </w:r>
      <w:r>
        <w:t xml:space="preserve"> </w:t>
      </w:r>
      <w:hyperlink w:anchor="acronyms_HbA1c">
        <w:r>
          <w:rPr>
            <w:rStyle w:val="Hyperlink"/>
          </w:rPr>
          <w:t xml:space="preserve">HbA1c</w:t>
        </w:r>
      </w:hyperlink>
      <w:r>
        <w:t xml:space="preserve"> </w:t>
      </w:r>
      <w:r>
        <w:t xml:space="preserve">is an indirect measure of blood glucose levels because glucose binds hemoglobin over</w:t>
      </w:r>
      <w:r>
        <w:t xml:space="preserve"> </w:t>
      </w:r>
      <m:oMath>
        <m:r>
          <m:rPr>
            <m:sty m:val="p"/>
          </m:rPr>
          <m:t>∼</m:t>
        </m:r>
      </m:oMath>
      <w:r>
        <w:t xml:space="preserve"> </w:t>
      </w:r>
      <w:r>
        <w:t xml:space="preserve">120 days lifespan of erythrocytes (red blood cells).</w:t>
      </w:r>
      <w:r>
        <w:rPr>
          <w:vertAlign w:val="superscript"/>
        </w:rPr>
        <w:t xml:space="preserve">4</w:t>
      </w:r>
      <w:r>
        <w:t xml:space="preserve"> </w:t>
      </w:r>
      <w:r>
        <w:t xml:space="preserve">However</w:t>
      </w:r>
      <w:r>
        <w:t xml:space="preserve"> </w:t>
      </w:r>
      <w:hyperlink w:anchor="acronyms_HbA1c">
        <w:r>
          <w:rPr>
            <w:rStyle w:val="Hyperlink"/>
          </w:rPr>
          <w:t xml:space="preserve">HbA1c</w:t>
        </w:r>
      </w:hyperlink>
      <w:r>
        <w:t xml:space="preserve"> </w:t>
      </w:r>
      <w:r>
        <w:t xml:space="preserve">testing is not always accessible, affordable or suitable (e.g., for people with anemia or under HIV-treatment).</w:t>
      </w:r>
      <w:r>
        <w:rPr>
          <w:vertAlign w:val="superscript"/>
        </w:rPr>
        <w:t xml:space="preserve">4</w:t>
      </w:r>
      <w:r>
        <w:t xml:space="preserve"> </w:t>
      </w:r>
      <w:r>
        <w:t xml:space="preserve">With the guidelines recommendation of using</w:t>
      </w:r>
      <w:r>
        <w:t xml:space="preserve"> </w:t>
      </w:r>
      <w:hyperlink w:anchor="acronyms_HbA1c">
        <w:r>
          <w:rPr>
            <w:rStyle w:val="Hyperlink"/>
          </w:rPr>
          <w:t xml:space="preserve">HbA1c</w:t>
        </w:r>
      </w:hyperlink>
      <w:r>
        <w:t xml:space="preserve">, a debate has sparked on the controversy of using a set thresholds as it is well known that racial differences in HbA1c exists.</w:t>
      </w:r>
      <w:r>
        <w:rPr>
          <w:vertAlign w:val="superscript"/>
        </w:rPr>
        <w:t xml:space="preserve">7</w:t>
      </w:r>
      <w:r>
        <w:t xml:space="preserve"> </w:t>
      </w:r>
      <w:r>
        <w:t xml:space="preserve">Black individuals have higher HbA1c levels than Hispanic and non-Hispanic White people with diabetes,</w:t>
      </w:r>
      <w:r>
        <w:rPr>
          <w:vertAlign w:val="superscript"/>
        </w:rPr>
        <w:t xml:space="preserve">4,8</w:t>
      </w:r>
      <w:r>
        <w:t xml:space="preserve"> </w:t>
      </w:r>
      <w:r>
        <w:t xml:space="preserve">however studies show that the association between</w:t>
      </w:r>
      <w:r>
        <w:t xml:space="preserve"> </w:t>
      </w:r>
      <w:hyperlink w:anchor="acronyms_HbA1c">
        <w:r>
          <w:rPr>
            <w:rStyle w:val="Hyperlink"/>
          </w:rPr>
          <w:t xml:space="preserve">HbA1c</w:t>
        </w:r>
      </w:hyperlink>
      <w:r>
        <w:t xml:space="preserve"> </w:t>
      </w:r>
      <w:r>
        <w:t xml:space="preserve">and risk of complications appear to be similar between ethnic race groups.</w:t>
      </w:r>
      <w:r>
        <w:rPr>
          <w:vertAlign w:val="superscript"/>
        </w:rPr>
        <w:t xml:space="preserve">4</w:t>
      </w:r>
    </w:p>
    <w:bookmarkEnd w:id="50"/>
    <w:bookmarkStart w:id="57" w:name="blood-glucose-monitoring"/>
    <w:p>
      <w:pPr>
        <w:pStyle w:val="Heading2"/>
      </w:pPr>
      <w:r>
        <w:t xml:space="preserve">1.2 Blood Glucose Monitoring</w:t>
      </w:r>
    </w:p>
    <w:p>
      <w:pPr>
        <w:pStyle w:val="FirstParagraph"/>
      </w:pPr>
      <w:hyperlink w:anchor="acronyms_HbA1c">
        <w:r>
          <w:rPr>
            <w:rStyle w:val="Hyperlink"/>
          </w:rPr>
          <w:t xml:space="preserve">HbA1c</w:t>
        </w:r>
      </w:hyperlink>
      <w:r>
        <w:t xml:space="preserve"> </w:t>
      </w:r>
      <w:r>
        <w:t xml:space="preserve">values are a very important part of diabetes management. The treatment goal is for</w:t>
      </w:r>
      <w:r>
        <w:t xml:space="preserve"> </w:t>
      </w:r>
      <w:hyperlink w:anchor="acronyms_HbA1c">
        <w:r>
          <w:rPr>
            <w:rStyle w:val="Hyperlink"/>
          </w:rPr>
          <w:t xml:space="preserve">HbA1c</w:t>
        </w:r>
      </w:hyperlink>
      <w:r>
        <w:t xml:space="preserve"> </w:t>
      </w:r>
      <w:r>
        <w:t xml:space="preserve">to be below 53 mmol/mol for non-pregnant adults without any hyperglycemia or hypoglycemia (low blood glucose levels). However</w:t>
      </w:r>
      <w:r>
        <w:t xml:space="preserve"> </w:t>
      </w:r>
      <w:hyperlink w:anchor="acronyms_HbA1c">
        <w:r>
          <w:rPr>
            <w:rStyle w:val="Hyperlink"/>
          </w:rPr>
          <w:t xml:space="preserve">HbA1c</w:t>
        </w:r>
      </w:hyperlink>
      <w:r>
        <w:t xml:space="preserve"> </w:t>
      </w:r>
      <w:r>
        <w:t xml:space="preserve">goals should be individualized to fit each individuals specific situation</w:t>
      </w:r>
      <w:r>
        <w:t xml:space="preserve"> </w:t>
      </w:r>
      <w:hyperlink w:anchor="acronyms_HbA1c">
        <w:r>
          <w:rPr>
            <w:rStyle w:val="Hyperlink"/>
          </w:rPr>
          <w:t xml:space="preserve">HbA1c</w:t>
        </w:r>
      </w:hyperlink>
      <w:r>
        <w:t xml:space="preserve"> </w:t>
      </w:r>
      <w:r>
        <w:t xml:space="preserve">can vary from e.g., &lt;48mmol/mol to none.</w:t>
      </w:r>
      <w:r>
        <w:rPr>
          <w:vertAlign w:val="superscript"/>
        </w:rPr>
        <w:t xml:space="preserve">9,10</w:t>
      </w:r>
      <w:r>
        <w:t xml:space="preserve"> </w:t>
      </w:r>
      <w:r>
        <w:t xml:space="preserve">There are two tools available for self-assessment of glycemia, the</w:t>
      </w:r>
      <w:r>
        <w:t xml:space="preserve"> </w:t>
      </w:r>
      <w:hyperlink w:anchor="acronyms_SMBG">
        <w:r>
          <w:rPr>
            <w:rStyle w:val="Hyperlink"/>
          </w:rPr>
          <w:t xml:space="preserve">self-monitoring blood glucose (SMBG)</w:t>
        </w:r>
      </w:hyperlink>
      <w:r>
        <w:t xml:space="preserve"> </w:t>
      </w:r>
      <w:r>
        <w:t xml:space="preserve">device measuring capillary blood with finger-sticks, and the</w:t>
      </w:r>
      <w:r>
        <w:t xml:space="preserve"> </w:t>
      </w:r>
      <w:hyperlink w:anchor="acronyms_CGM">
        <w:r>
          <w:rPr>
            <w:rStyle w:val="Hyperlink"/>
          </w:rPr>
          <w:t xml:space="preserve">continuous glucose monitoring (CGM)</w:t>
        </w:r>
      </w:hyperlink>
      <w:r>
        <w:t xml:space="preserve"> </w:t>
      </w:r>
      <w:r>
        <w:t xml:space="preserve">measuring interstitial fluid continuously.</w:t>
      </w:r>
      <w:r>
        <w:rPr>
          <w:vertAlign w:val="superscript"/>
        </w:rPr>
        <w:t xml:space="preserve">10,11</w:t>
      </w:r>
      <w:r>
        <w:t xml:space="preserve"> </w:t>
      </w:r>
      <w:r>
        <w:t xml:space="preserve">Both monitoring devices have shown to improve glycemic control in people with diabetes, however the</w:t>
      </w:r>
      <w:r>
        <w:t xml:space="preserve"> </w:t>
      </w:r>
      <w:hyperlink w:anchor="acronyms_CGM">
        <w:r>
          <w:rPr>
            <w:rStyle w:val="Hyperlink"/>
          </w:rPr>
          <w:t xml:space="preserve">CGM</w:t>
        </w:r>
      </w:hyperlink>
      <w:r>
        <w:t xml:space="preserve"> </w:t>
      </w:r>
      <w:r>
        <w:t xml:space="preserve">is superior when it comes to immediate information and alerts on asymptomatic hypo- and hyperglycemic events and provide a comprehensive glucose profile including both pre- and postprandial blood glucose measurements.</w:t>
      </w:r>
      <w:r>
        <w:rPr>
          <w:vertAlign w:val="superscript"/>
        </w:rPr>
        <w:t xml:space="preserve">10,12,13</w:t>
      </w:r>
    </w:p>
    <w:p>
      <w:pPr>
        <w:pStyle w:val="BodyText"/>
      </w:pPr>
      <w:r>
        <w:t xml:space="preserve">The</w:t>
      </w:r>
      <w:r>
        <w:t xml:space="preserve"> </w:t>
      </w:r>
      <w:hyperlink w:anchor="acronyms_CGM">
        <w:r>
          <w:rPr>
            <w:rStyle w:val="Hyperlink"/>
          </w:rPr>
          <w:t xml:space="preserve">CGM</w:t>
        </w:r>
      </w:hyperlink>
      <w:r>
        <w:t xml:space="preserve"> </w:t>
      </w:r>
      <w:r>
        <w:t xml:space="preserve">devices measures the glucose in the interstitial fluid, which is the fluid around and between cells. It corresponds with plasma glucose although a lag can appear when glucose levels rise or fall rapidly.</w:t>
      </w:r>
      <w:r>
        <w:rPr>
          <w:vertAlign w:val="superscript"/>
        </w:rPr>
        <w:t xml:space="preserve">14</w:t>
      </w:r>
      <w:r>
        <w:t xml:space="preserve"> </w:t>
      </w:r>
      <w:r>
        <w:t xml:space="preserve">Use of</w:t>
      </w:r>
      <w:r>
        <w:t xml:space="preserve"> </w:t>
      </w:r>
      <w:hyperlink w:anchor="acronyms_CGM">
        <w:r>
          <w:rPr>
            <w:rStyle w:val="Hyperlink"/>
          </w:rPr>
          <w:t xml:space="preserve">CGM</w:t>
        </w:r>
      </w:hyperlink>
      <w:r>
        <w:t xml:space="preserve"> </w:t>
      </w:r>
      <w:r>
        <w:t xml:space="preserve">devices has shown to improve glycemic control in both</w:t>
      </w:r>
      <w:r>
        <w:t xml:space="preserve"> </w:t>
      </w:r>
      <w:hyperlink w:anchor="acronyms_T1D">
        <w:r>
          <w:rPr>
            <w:rStyle w:val="Hyperlink"/>
          </w:rPr>
          <w:t xml:space="preserve">T1D</w:t>
        </w:r>
      </w:hyperlink>
      <w:r>
        <w:t xml:space="preserve"> </w:t>
      </w:r>
      <w:r>
        <w:t xml:space="preserve">and</w:t>
      </w:r>
      <w:r>
        <w:t xml:space="preserve"> </w:t>
      </w:r>
      <w:hyperlink w:anchor="acronyms_T2D">
        <w:r>
          <w:rPr>
            <w:rStyle w:val="Hyperlink"/>
          </w:rPr>
          <w:t xml:space="preserve">T2D</w:t>
        </w:r>
      </w:hyperlink>
      <w:r>
        <w:t xml:space="preserve"> </w:t>
      </w:r>
      <w:r>
        <w:t xml:space="preserve">with improvements in</w:t>
      </w:r>
      <w:r>
        <w:t xml:space="preserve"> </w:t>
      </w:r>
      <w:hyperlink w:anchor="acronyms_HbA1c">
        <w:r>
          <w:rPr>
            <w:rStyle w:val="Hyperlink"/>
          </w:rPr>
          <w:t xml:space="preserve">HbA1c</w:t>
        </w:r>
      </w:hyperlink>
      <w:r>
        <w:t xml:space="preserve"> </w:t>
      </w:r>
      <w:r>
        <w:t xml:space="preserve">levels and more time spent in target range (3.9-10 mmol/L) regardless of age, sex, eduction and income.</w:t>
      </w:r>
      <w:r>
        <w:rPr>
          <w:vertAlign w:val="superscript"/>
        </w:rPr>
        <w:t xml:space="preserve">9,14</w:t>
      </w:r>
      <w:r>
        <w:t xml:space="preserve"> </w:t>
      </w:r>
      <w:hyperlink w:anchor="acronyms_CGM">
        <w:r>
          <w:rPr>
            <w:rStyle w:val="Hyperlink"/>
          </w:rPr>
          <w:t xml:space="preserve">CGM</w:t>
        </w:r>
      </w:hyperlink>
      <w:r>
        <w:t xml:space="preserve"> </w:t>
      </w:r>
      <w:r>
        <w:t xml:space="preserve">devices focuses on monitoring and it is possible to get an</w:t>
      </w:r>
      <w:r>
        <w:t xml:space="preserve"> </w:t>
      </w:r>
      <w:hyperlink w:anchor="acronyms_AGP">
        <w:r>
          <w:rPr>
            <w:rStyle w:val="Hyperlink"/>
          </w:rPr>
          <w:t xml:space="preserve">ambulatory glucose profile (AGP)</w:t>
        </w:r>
      </w:hyperlink>
      <w:r>
        <w:t xml:space="preserve"> </w:t>
      </w:r>
      <w:r>
        <w:t xml:space="preserve">report from you device (</w:t>
      </w:r>
      <w:hyperlink w:anchor="fig-agp">
        <w:r>
          <w:rPr>
            <w:rStyle w:val="Hyperlink"/>
          </w:rPr>
          <w:t xml:space="preserve">Figure 1.1</w:t>
        </w:r>
      </w:hyperlink>
      <w:r>
        <w:t xml:space="preserve">). The</w:t>
      </w:r>
      <w:r>
        <w:t xml:space="preserve"> </w:t>
      </w:r>
      <w:hyperlink w:anchor="acronyms_AGP">
        <w:r>
          <w:rPr>
            <w:rStyle w:val="Hyperlink"/>
          </w:rPr>
          <w:t xml:space="preserve">AGP</w:t>
        </w:r>
      </w:hyperlink>
      <w:r>
        <w:t xml:space="preserve"> </w:t>
      </w:r>
      <w:r>
        <w:t xml:space="preserve">report shows summary statistics over all your data (usually a two weeks period) including</w:t>
      </w:r>
      <w:r>
        <w:t xml:space="preserve"> </w:t>
      </w:r>
      <w:hyperlink w:anchor="acronyms_CGM">
        <w:r>
          <w:rPr>
            <w:rStyle w:val="Hyperlink"/>
          </w:rPr>
          <w:t xml:space="preserve">CGM</w:t>
        </w:r>
      </w:hyperlink>
      <w:r>
        <w:t xml:space="preserve">-derived metrics as shown in (</w:t>
      </w:r>
      <w:hyperlink w:anchor="tbl-agp">
        <w:r>
          <w:rPr>
            <w:rStyle w:val="Hyperlink"/>
          </w:rPr>
          <w:t xml:space="preserve">Table 1.2</w:t>
        </w:r>
      </w:hyperlink>
      <w:r>
        <w:t xml:space="preserve">).</w:t>
      </w:r>
      <w:r>
        <w:rPr>
          <w:vertAlign w:val="superscript"/>
        </w:rPr>
        <w:t xml:space="preserve">12</w:t>
      </w:r>
      <w:r>
        <w:t xml:space="preserve"> </w:t>
      </w:r>
      <w:r>
        <w:t xml:space="preserve">Besides monitoring, data from</w:t>
      </w:r>
      <w:r>
        <w:t xml:space="preserve"> </w:t>
      </w:r>
      <w:hyperlink w:anchor="acronyms_CGM">
        <w:r>
          <w:rPr>
            <w:rStyle w:val="Hyperlink"/>
          </w:rPr>
          <w:t xml:space="preserve">CGM</w:t>
        </w:r>
      </w:hyperlink>
      <w:r>
        <w:t xml:space="preserve"> </w:t>
      </w:r>
      <w:r>
        <w:t xml:space="preserve">devices are now used in combination with insulin delivery systems to automate the process of administering insulin.</w:t>
      </w:r>
      <w:r>
        <w:rPr>
          <w:vertAlign w:val="superscript"/>
        </w:rPr>
        <w:t xml:space="preserve">14</w:t>
      </w:r>
      <w:r>
        <w:t xml:space="preserve"> </w:t>
      </w:r>
      <w:hyperlink w:anchor="acronyms_AID">
        <w:r>
          <w:rPr>
            <w:rStyle w:val="Hyperlink"/>
          </w:rPr>
          <w:t xml:space="preserve">Automated insulin delivery (AID)</w:t>
        </w:r>
      </w:hyperlink>
      <w:r>
        <w:t xml:space="preserve"> </w:t>
      </w:r>
      <w:r>
        <w:t xml:space="preserve">systems typically use data from</w:t>
      </w:r>
      <w:r>
        <w:t xml:space="preserve"> </w:t>
      </w:r>
      <w:hyperlink w:anchor="acronyms_CGM">
        <w:r>
          <w:rPr>
            <w:rStyle w:val="Hyperlink"/>
          </w:rPr>
          <w:t xml:space="preserve">CGM</w:t>
        </w:r>
      </w:hyperlink>
      <w:r>
        <w:t xml:space="preserve"> </w:t>
      </w:r>
      <w:r>
        <w:t xml:space="preserve">devices to determine or adjust insulin delivery.</w:t>
      </w:r>
      <w:r>
        <w:t xml:space="preserve"> </w:t>
      </w:r>
      <w:r>
        <w:t xml:space="preserve">The simplest</w:t>
      </w:r>
      <w:r>
        <w:t xml:space="preserve"> </w:t>
      </w:r>
      <w:hyperlink w:anchor="acronyms_AID">
        <w:r>
          <w:rPr>
            <w:rStyle w:val="Hyperlink"/>
          </w:rPr>
          <w:t xml:space="preserve">AID</w:t>
        </w:r>
      </w:hyperlink>
      <w:r>
        <w:t xml:space="preserve">s are threshold-based low-glucose suspend systems in which insulin delivery is automatically suspended when blood glucose levels drop below a predefined threshold.</w:t>
      </w:r>
      <w:r>
        <w:rPr>
          <w:b/>
          <w:bCs/>
          <w:vertAlign w:val="superscript"/>
        </w:rPr>
        <w:t xml:space="preserve">race7?</w:t>
      </w:r>
      <w:r>
        <w:t xml:space="preserve"> </w:t>
      </w:r>
      <w:r>
        <w:t xml:space="preserve">More advanced systems utilize additional information such as carbohydrate intake and physical activity to optimize insulin delivery.</w:t>
      </w:r>
      <w:r>
        <w:rPr>
          <w:b/>
          <w:bCs/>
          <w:vertAlign w:val="superscript"/>
        </w:rPr>
        <w:t xml:space="preserve">race8?</w:t>
      </w:r>
    </w:p>
    <w:tbl>
      <w:tblPr>
        <w:tblStyle w:val="Table"/>
        <w:tblW w:type="pct" w:w="5000"/>
        <w:tblLayout w:type="fixed"/>
        <w:tblLook w:firstRow="0" w:lastRow="0" w:firstColumn="0" w:lastColumn="0" w:noHBand="0" w:noVBand="0" w:val="0000"/>
      </w:tblPr>
      <w:tblGrid>
        <w:gridCol w:w="7920"/>
      </w:tblGrid>
      <w:tr>
        <w:tc>
          <w:tcPr/>
          <w:bookmarkStart w:id="55" w:name="fig-agp"/>
          <w:p>
            <w:pPr>
              <w:pStyle w:val="Compact"/>
              <w:jc w:val="center"/>
            </w:pPr>
            <w:hyperlink r:id="rId54">
              <w:r>
                <w:drawing>
                  <wp:inline>
                    <wp:extent cx="5334000" cy="6178550"/>
                    <wp:effectExtent b="0" l="0" r="0" t="0"/>
                    <wp:docPr descr="" title="" id="52" name="Picture"/>
                    <a:graphic>
                      <a:graphicData uri="http://schemas.openxmlformats.org/drawingml/2006/picture">
                        <pic:pic>
                          <pic:nvPicPr>
                            <pic:cNvPr descr="figures/1_intro_fig/agp.png" id="53" name="Picture"/>
                            <pic:cNvPicPr>
                              <a:picLocks noChangeArrowheads="1" noChangeAspect="1"/>
                            </pic:cNvPicPr>
                          </pic:nvPicPr>
                          <pic:blipFill>
                            <a:blip r:embed="rId51"/>
                            <a:stretch>
                              <a:fillRect/>
                            </a:stretch>
                          </pic:blipFill>
                          <pic:spPr bwMode="auto">
                            <a:xfrm>
                              <a:off x="0" y="0"/>
                              <a:ext cx="5334000" cy="6178550"/>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1.1: Ambulatory glucose profile report from female without diabetes. Data points are from the author herself using an intermittently-scanned (Manuel data upload) FreeStyle LibreLink sensor.</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tbl-agp"/>
          <w:p>
            <w:pPr>
              <w:jc w:val="center"/>
            </w:pPr>
            <w:pPr>
              <w:jc w:val="left"/>
              <w:spacing w:before="200"/>
              <w:pStyle w:val="ImageCaption"/>
            </w:pPr>
            <w:r>
              <w:t xml:space="preserve">Table 1.2: CGM-derived metrics presented in the ambulatory glucose profile report with target values.</w:t>
            </w:r>
          </w:p>
          <w:bookmarkEnd w:id="56"/>
        </w:tc>
      </w:tr>
    </w:tbl>
    <w:bookmarkEnd w:id="57"/>
    <w:bookmarkStart w:id="58" w:name="glycemic-variability"/>
    <w:p>
      <w:pPr>
        <w:pStyle w:val="Heading2"/>
      </w:pPr>
      <w:r>
        <w:t xml:space="preserve">1.3 Glycemic Variability</w:t>
      </w:r>
    </w:p>
    <w:p>
      <w:pPr>
        <w:pStyle w:val="FirstParagraph"/>
      </w:pPr>
      <w:r>
        <w:t xml:space="preserve">The challenge in obtaining good glycemic control is to keep blood glucose levels low enough to prevent comorbidities while avoiding the acute symptoms and, for insulin treated people with diabetes, potential mortality of iatrogenic(treatment-induced) hypoglycemia.</w:t>
      </w:r>
      <w:r>
        <w:rPr>
          <w:vertAlign w:val="superscript"/>
        </w:rPr>
        <w:t xml:space="preserve">15</w:t>
      </w:r>
      <w:r>
        <w:t xml:space="preserve"> </w:t>
      </w:r>
      <w:r>
        <w:t xml:space="preserve">The variability in the blood glucose fluctuations needs to be reduced in order to lower the average blood glucose levels while still avoiding hypoglycemia.</w:t>
      </w:r>
      <w:r>
        <w:rPr>
          <w:vertAlign w:val="superscript"/>
        </w:rPr>
        <w:t xml:space="preserve">15</w:t>
      </w:r>
      <w:r>
        <w:t xml:space="preserve"> </w:t>
      </w:r>
      <w:r>
        <w:t xml:space="preserve">Advances in</w:t>
      </w:r>
      <w:r>
        <w:t xml:space="preserve"> </w:t>
      </w:r>
      <w:hyperlink w:anchor="acronyms_CGM">
        <w:r>
          <w:rPr>
            <w:rStyle w:val="Hyperlink"/>
          </w:rPr>
          <w:t xml:space="preserve">CGM</w:t>
        </w:r>
      </w:hyperlink>
      <w:r>
        <w:t xml:space="preserve"> </w:t>
      </w:r>
      <w:r>
        <w:t xml:space="preserve">technology have enabled the quantification of glucose variability, a measure of the extent of fluctuations in blood glucose levels over time, including both peaks and nadirs.</w:t>
      </w:r>
      <w:r>
        <w:rPr>
          <w:vertAlign w:val="superscript"/>
        </w:rPr>
        <w:t xml:space="preserve">16</w:t>
      </w:r>
      <w:r>
        <w:t xml:space="preserve"> </w:t>
      </w:r>
      <w:r>
        <w:t xml:space="preserve">Describing the variability is clinically relevant because two individuals with similar</w:t>
      </w:r>
      <w:r>
        <w:t xml:space="preserve"> </w:t>
      </w:r>
      <w:hyperlink w:anchor="acronyms_HbA1c">
        <w:r>
          <w:rPr>
            <w:rStyle w:val="Hyperlink"/>
          </w:rPr>
          <w:t xml:space="preserve">HbA1c</w:t>
        </w:r>
      </w:hyperlink>
      <w:r>
        <w:t xml:space="preserve"> </w:t>
      </w:r>
      <w:r>
        <w:t xml:space="preserve">levels may exhibit different glycemic variability profiles.</w:t>
      </w:r>
      <w:r>
        <w:rPr>
          <w:vertAlign w:val="superscript"/>
        </w:rPr>
        <w:t xml:space="preserve">15</w:t>
      </w:r>
      <w:r>
        <w:t xml:space="preserve"> </w:t>
      </w:r>
      <w:r>
        <w:t xml:space="preserve">Numerous metrics have been developed to characterize different aspects of glucose variability, but no single measure captures all of its dimensions. Consequently, no universal consensus has been reached, although the</w:t>
      </w:r>
      <w:r>
        <w:t xml:space="preserve"> </w:t>
      </w:r>
      <w:hyperlink w:anchor="acronyms_CV">
        <w:r>
          <w:rPr>
            <w:rStyle w:val="Hyperlink"/>
          </w:rPr>
          <w:t xml:space="preserve">coefficient of variation (CV)</w:t>
        </w:r>
      </w:hyperlink>
      <w:r>
        <w:t xml:space="preserve"> </w:t>
      </w:r>
      <w:r>
        <w:t xml:space="preserve">and SD have been incorporated into</w:t>
      </w:r>
      <w:r>
        <w:t xml:space="preserve"> </w:t>
      </w:r>
      <w:hyperlink w:anchor="acronyms_AGP">
        <w:r>
          <w:rPr>
            <w:rStyle w:val="Hyperlink"/>
          </w:rPr>
          <w:t xml:space="preserve">AGP</w:t>
        </w:r>
      </w:hyperlink>
      <w:r>
        <w:t xml:space="preserve"> </w:t>
      </w:r>
      <w:r>
        <w:t xml:space="preserve">reports and the American Diabetes Association guidelines (</w:t>
      </w:r>
      <w:hyperlink w:anchor="tbl-agp">
        <w:r>
          <w:rPr>
            <w:rStyle w:val="Hyperlink"/>
          </w:rPr>
          <w:t xml:space="preserve">Table 1.2</w:t>
        </w:r>
      </w:hyperlink>
      <w:r>
        <w:t xml:space="preserve">).</w:t>
      </w:r>
      <w:r>
        <w:rPr>
          <w:vertAlign w:val="superscript"/>
        </w:rPr>
        <w:t xml:space="preserve">15,16</w:t>
      </w:r>
    </w:p>
    <w:bookmarkEnd w:id="58"/>
    <w:bookmarkStart w:id="59" w:name="X3ff35e13629adf51e1d418d47c71ea4c11f8b03"/>
    <w:p>
      <w:pPr>
        <w:pStyle w:val="Heading2"/>
      </w:pPr>
      <w:r>
        <w:t xml:space="preserve">1.4 Cardiovascular Diseases and Predicting Risk</w:t>
      </w:r>
    </w:p>
    <w:p>
      <w:pPr>
        <w:pStyle w:val="FirstParagraph"/>
      </w:pPr>
      <w:r>
        <w:t xml:space="preserve">Although advances in diabetes management have reduced the incidence of several diabetes-related complications, cardiovascular disease remains a major cause of morbidity and mortality in people with diabetes.</w:t>
      </w:r>
      <w:r>
        <w:rPr>
          <w:vertAlign w:val="superscript"/>
        </w:rPr>
        <w:t xml:space="preserve">17–19</w:t>
      </w:r>
      <w:r>
        <w:t xml:space="preserve"> </w:t>
      </w:r>
      <w:r>
        <w:t xml:space="preserve">Chronic hyperglycemia can lead to long-term complications, although the progression and manifestation of these complications vary between individuals.</w:t>
      </w:r>
      <w:r>
        <w:rPr>
          <w:vertAlign w:val="superscript"/>
        </w:rPr>
        <w:t xml:space="preserve">4</w:t>
      </w:r>
      <w:r>
        <w:t xml:space="preserve"> </w:t>
      </w:r>
      <w:r>
        <w:t xml:space="preserve">Identifying individuals at increased risk of atherosclerotic cardiovascular disease or heart failure before clinical disease develops is therefore an important component of diabetes care.</w:t>
      </w:r>
      <w:r>
        <w:rPr>
          <w:vertAlign w:val="superscript"/>
        </w:rPr>
        <w:t xml:space="preserve">18</w:t>
      </w:r>
    </w:p>
    <w:p>
      <w:pPr>
        <w:pStyle w:val="BodyText"/>
      </w:pPr>
      <w:r>
        <w:t xml:space="preserve">Risk prediction models estimating an individual’s future risk of developing</w:t>
      </w:r>
      <w:r>
        <w:t xml:space="preserve"> </w:t>
      </w:r>
      <w:hyperlink w:anchor="acronyms_CVD">
        <w:r>
          <w:rPr>
            <w:rStyle w:val="Hyperlink"/>
          </w:rPr>
          <w:t xml:space="preserve">cardiovascular disease (CVD)</w:t>
        </w:r>
      </w:hyperlink>
      <w:r>
        <w:t xml:space="preserve"> </w:t>
      </w:r>
      <w:r>
        <w:t xml:space="preserve">have been developed and are widely used.</w:t>
      </w:r>
      <w:r>
        <w:rPr>
          <w:vertAlign w:val="superscript"/>
        </w:rPr>
        <w:t xml:space="preserve">19–22</w:t>
      </w:r>
      <w:r>
        <w:t xml:space="preserve"> </w:t>
      </w:r>
      <w:r>
        <w:t xml:space="preserve">By estimating the probability of a</w:t>
      </w:r>
      <w:r>
        <w:t xml:space="preserve"> </w:t>
      </w:r>
      <w:hyperlink w:anchor="acronyms_CVD">
        <w:r>
          <w:rPr>
            <w:rStyle w:val="Hyperlink"/>
          </w:rPr>
          <w:t xml:space="preserve">CVD</w:t>
        </w:r>
      </w:hyperlink>
      <w:r>
        <w:t xml:space="preserve"> </w:t>
      </w:r>
      <w:r>
        <w:t xml:space="preserve">event within a specified time horizon, these models can increase awareness of cardiovascular risk, encourage adherence to recommended lifestyle changes and medical treatment, and help identify individuals who are most likely to benefit from preventive interventions.</w:t>
      </w:r>
      <w:r>
        <w:rPr>
          <w:vertAlign w:val="superscript"/>
        </w:rPr>
        <w:t xml:space="preserve">23</w:t>
      </w:r>
      <w:r>
        <w:t xml:space="preserve"> </w:t>
      </w:r>
      <w:r>
        <w:t xml:space="preserve">Among these, the</w:t>
      </w:r>
      <w:r>
        <w:t xml:space="preserve"> </w:t>
      </w:r>
      <w:hyperlink w:anchor="acronyms_SCORE2_Diabetes">
        <w:r>
          <w:rPr>
            <w:rStyle w:val="Hyperlink"/>
          </w:rPr>
          <w:t xml:space="preserve">Systematic Coronary Risk Evaluation 2-Diabetes (SCORE2-Diabetes)</w:t>
        </w:r>
      </w:hyperlink>
      <w:r>
        <w:t xml:space="preserve"> </w:t>
      </w:r>
      <w:r>
        <w:t xml:space="preserve">model estimates the 10-year risk of</w:t>
      </w:r>
      <w:r>
        <w:t xml:space="preserve"> </w:t>
      </w:r>
      <w:hyperlink w:anchor="acronyms_CVD">
        <w:r>
          <w:rPr>
            <w:rStyle w:val="Hyperlink"/>
          </w:rPr>
          <w:t xml:space="preserve">CVD</w:t>
        </w:r>
      </w:hyperlink>
      <w:r>
        <w:t xml:space="preserve"> </w:t>
      </w:r>
      <w:r>
        <w:t xml:space="preserve">in individuals with</w:t>
      </w:r>
      <w:r>
        <w:t xml:space="preserve"> </w:t>
      </w:r>
      <w:hyperlink w:anchor="acronyms_T2D">
        <w:r>
          <w:rPr>
            <w:rStyle w:val="Hyperlink"/>
          </w:rPr>
          <w:t xml:space="preserve">T2D</w:t>
        </w:r>
      </w:hyperlink>
      <w:r>
        <w:t xml:space="preserve">. It was developed and calibrated using European cohorts, making it particularly relevant for the Danish cohort included in this dissertation.</w:t>
      </w:r>
      <w:r>
        <w:rPr>
          <w:vertAlign w:val="superscript"/>
        </w:rPr>
        <w:t xml:space="preserve">19</w:t>
      </w:r>
      <w:r>
        <w:t xml:space="preserve"> </w:t>
      </w:r>
      <w:r>
        <w:t xml:space="preserve">However, the</w:t>
      </w:r>
      <w:r>
        <w:t xml:space="preserve"> </w:t>
      </w:r>
      <w:hyperlink w:anchor="acronyms_SCORE2_Diabetes">
        <w:r>
          <w:rPr>
            <w:rStyle w:val="Hyperlink"/>
          </w:rPr>
          <w:t xml:space="preserve">SCORE2-Diabetes</w:t>
        </w:r>
      </w:hyperlink>
      <w:r>
        <w:t xml:space="preserve"> </w:t>
      </w:r>
      <w:r>
        <w:t xml:space="preserve">model relies solely on traditional clinical variables, including age, sex, smoking status, systolic blood pressure, high-density lipoprotein cholesterol, age at diabetes diagnosis,</w:t>
      </w:r>
      <w:r>
        <w:t xml:space="preserve"> </w:t>
      </w:r>
      <w:hyperlink w:anchor="acronyms_HbA1c">
        <w:r>
          <w:rPr>
            <w:rStyle w:val="Hyperlink"/>
          </w:rPr>
          <w:t xml:space="preserve">HbA1c</w:t>
        </w:r>
      </w:hyperlink>
      <w:r>
        <w:t xml:space="preserve">, and</w:t>
      </w:r>
      <w:r>
        <w:t xml:space="preserve"> </w:t>
      </w:r>
      <w:hyperlink w:anchor="acronyms_eGFR">
        <w:r>
          <w:rPr>
            <w:rStyle w:val="Hyperlink"/>
          </w:rPr>
          <w:t xml:space="preserve">Estimated Glomerular Filtration Rate (eGFR)</w:t>
        </w:r>
      </w:hyperlink>
      <w:r>
        <w:t xml:space="preserve">, and does not incorporate information on glucose dynamics beyond the long-term glycemic exposure reflected by</w:t>
      </w:r>
      <w:r>
        <w:t xml:space="preserve"> </w:t>
      </w:r>
      <w:hyperlink w:anchor="acronyms_HbA1c">
        <w:r>
          <w:rPr>
            <w:rStyle w:val="Hyperlink"/>
          </w:rPr>
          <w:t xml:space="preserve">HbA1c</w:t>
        </w:r>
      </w:hyperlink>
      <w:r>
        <w:t xml:space="preserve">.</w:t>
      </w:r>
      <w:r>
        <w:rPr>
          <w:vertAlign w:val="superscript"/>
        </w:rPr>
        <w:t xml:space="preserve">19</w:t>
      </w:r>
      <w:r>
        <w:t xml:space="preserve"> </w:t>
      </w:r>
      <w:hyperlink w:anchor="acronyms_HbA1c">
        <w:r>
          <w:rPr>
            <w:rStyle w:val="Hyperlink"/>
          </w:rPr>
          <w:t xml:space="preserve">HbA1c</w:t>
        </w:r>
      </w:hyperlink>
      <w:r>
        <w:t xml:space="preserve"> </w:t>
      </w:r>
      <w:r>
        <w:t xml:space="preserve">have been independently associated with risk of heart failure,</w:t>
      </w:r>
      <w:r>
        <w:rPr>
          <w:vertAlign w:val="superscript"/>
        </w:rPr>
        <w:t xml:space="preserve">24</w:t>
      </w:r>
      <w:r>
        <w:t xml:space="preserve"> </w:t>
      </w:r>
      <w:r>
        <w:t xml:space="preserve">however it does not capture the short-term glucose fluctuations, which may be associated with the progression of vascular complications in diabetes.</w:t>
      </w:r>
      <w:r>
        <w:rPr>
          <w:vertAlign w:val="superscript"/>
        </w:rPr>
        <w:t xml:space="preserve">25</w:t>
      </w:r>
      <w:r>
        <w:t xml:space="preserve"> </w:t>
      </w:r>
      <w:r>
        <w:t xml:space="preserve">Associations between</w:t>
      </w:r>
      <w:r>
        <w:t xml:space="preserve"> </w:t>
      </w:r>
      <w:hyperlink w:anchor="acronyms_CGM">
        <w:r>
          <w:rPr>
            <w:rStyle w:val="Hyperlink"/>
          </w:rPr>
          <w:t xml:space="preserve">CGM</w:t>
        </w:r>
      </w:hyperlink>
      <w:r>
        <w:t xml:space="preserve">-derived metrics and</w:t>
      </w:r>
      <w:r>
        <w:t xml:space="preserve"> </w:t>
      </w:r>
      <w:hyperlink w:anchor="acronyms_CVD">
        <w:r>
          <w:rPr>
            <w:rStyle w:val="Hyperlink"/>
          </w:rPr>
          <w:t xml:space="preserve">CVD</w:t>
        </w:r>
      </w:hyperlink>
      <w:r>
        <w:t xml:space="preserve"> </w:t>
      </w:r>
      <w:r>
        <w:t xml:space="preserve">outcomes have been investigated in the literature</w:t>
      </w:r>
      <w:r>
        <w:rPr>
          <w:vertAlign w:val="superscript"/>
        </w:rPr>
        <w:t xml:space="preserve">26–28</w:t>
      </w:r>
      <w:r>
        <w:t xml:space="preserve"> </w:t>
      </w:r>
      <w:r>
        <w:t xml:space="preserve">however evidence regarding the predictive power of CGM-derived metrics in predicting CVD remains limited.</w:t>
      </w:r>
      <w:r>
        <w:rPr>
          <w:vertAlign w:val="superscript"/>
        </w:rPr>
        <w:t xml:space="preserve">29</w:t>
      </w:r>
    </w:p>
    <w:bookmarkEnd w:id="59"/>
    <w:bookmarkStart w:id="60" w:name="heart-failure"/>
    <w:p>
      <w:pPr>
        <w:pStyle w:val="Heading2"/>
      </w:pPr>
      <w:r>
        <w:t xml:space="preserve">1.5 Heart Failure</w:t>
      </w:r>
    </w:p>
    <w:p>
      <w:pPr>
        <w:pStyle w:val="FirstParagraph"/>
      </w:pPr>
      <w:r>
        <w:t xml:space="preserve">The limited evidence on the predictive value of CGM data is particularly important for heart failure, as the condition is at least twice as prevalent among people with diabetes as in the general population.</w:t>
      </w:r>
      <w:r>
        <w:rPr>
          <w:vertAlign w:val="superscript"/>
        </w:rPr>
        <w:t xml:space="preserve">18,30</w:t>
      </w:r>
      <w:r>
        <w:t xml:space="preserve"> </w:t>
      </w:r>
      <w:r>
        <w:t xml:space="preserve">Heart failure may present as either an acute or a chronic condition.</w:t>
      </w:r>
      <w:r>
        <w:rPr>
          <w:vertAlign w:val="superscript"/>
        </w:rPr>
        <w:t xml:space="preserve">31</w:t>
      </w:r>
      <w:r>
        <w:t xml:space="preserve"> </w:t>
      </w:r>
      <w:r>
        <w:t xml:space="preserve">It is a clinical syndrome characterized by a combination of symptoms, including breathlessness, fatigue, and ankle swelling, together with clinical signs such as elevated jugular venous pressure and pulmonary crackles.</w:t>
      </w:r>
      <w:r>
        <w:rPr>
          <w:vertAlign w:val="superscript"/>
        </w:rPr>
        <w:t xml:space="preserve">31</w:t>
      </w:r>
      <w:r>
        <w:t xml:space="preserve"> </w:t>
      </w:r>
      <w:r>
        <w:t xml:space="preserve">In individuals with suspected chronic heart failure based on risk factors, symptoms, clinical findings, and supporting investigations such as electrocardiography, measurement of</w:t>
      </w:r>
      <w:r>
        <w:t xml:space="preserve"> </w:t>
      </w:r>
      <w:hyperlink w:anchor="acronyms_NT_proBNP">
        <w:r>
          <w:rPr>
            <w:rStyle w:val="Hyperlink"/>
          </w:rPr>
          <w:t xml:space="preserve">N-terminal Pro-B-type Natriuretic Peptide (NT-proBNP)</w:t>
        </w:r>
      </w:hyperlink>
      <w:r>
        <w:t xml:space="preserve"> </w:t>
      </w:r>
      <w:r>
        <w:t xml:space="preserve">is recommended as part of the diagnostic work-up.</w:t>
      </w:r>
      <w:r>
        <w:rPr>
          <w:vertAlign w:val="superscript"/>
        </w:rPr>
        <w:t xml:space="preserve">31</w:t>
      </w:r>
      <w:r>
        <w:t xml:space="preserve"> </w:t>
      </w:r>
      <w:r>
        <w:t xml:space="preserve">An</w:t>
      </w:r>
      <w:r>
        <w:t xml:space="preserve"> </w:t>
      </w:r>
      <w:hyperlink w:anchor="acronyms_NT_proBNP">
        <w:r>
          <w:rPr>
            <w:rStyle w:val="Hyperlink"/>
          </w:rPr>
          <w:t xml:space="preserve">NT-proBNP</w:t>
        </w:r>
      </w:hyperlink>
      <w:r>
        <w:t xml:space="preserve"> </w:t>
      </w:r>
      <w:r>
        <w:t xml:space="preserve">concentration of ≥125 pg/mL indicates the need for further cardiac evaluation, whereas concentrations below this threshold make chronic heart failure unlikely and alternative diagnoses should be considered.</w:t>
      </w:r>
      <w:r>
        <w:rPr>
          <w:vertAlign w:val="superscript"/>
        </w:rPr>
        <w:t xml:space="preserve">31</w:t>
      </w:r>
      <w:r>
        <w:t xml:space="preserve"> </w:t>
      </w:r>
      <w:r>
        <w:t xml:space="preserve">Consequently,</w:t>
      </w:r>
      <w:r>
        <w:t xml:space="preserve"> </w:t>
      </w:r>
      <w:hyperlink w:anchor="acronyms_NT_proBNP">
        <w:r>
          <w:rPr>
            <w:rStyle w:val="Hyperlink"/>
          </w:rPr>
          <w:t xml:space="preserve">NT-proBNP</w:t>
        </w:r>
      </w:hyperlink>
      <w:r>
        <w:t xml:space="preserve"> </w:t>
      </w:r>
      <w:r>
        <w:t xml:space="preserve">represents a clinically relevant biomarker for identifying individuals at increased risk of chronic heart failure.</w:t>
      </w:r>
    </w:p>
    <w:bookmarkEnd w:id="60"/>
    <w:bookmarkStart w:id="61" w:name="association-vs-prediction"/>
    <w:p>
      <w:pPr>
        <w:pStyle w:val="Heading2"/>
      </w:pPr>
      <w:r>
        <w:t xml:space="preserve">1.6 Association vs Prediction</w:t>
      </w:r>
    </w:p>
    <w:p>
      <w:pPr>
        <w:pStyle w:val="FirstParagraph"/>
      </w:pPr>
      <w:r>
        <w:t xml:space="preserve">Many studies have</w:t>
      </w:r>
    </w:p>
    <w:bookmarkEnd w:id="61"/>
    <w:bookmarkStart w:id="62" w:name="machine-learning"/>
    <w:p>
      <w:pPr>
        <w:pStyle w:val="Heading2"/>
      </w:pPr>
      <w:r>
        <w:t xml:space="preserve">1.7 Machine learning</w:t>
      </w:r>
    </w:p>
    <w:p>
      <w:pPr>
        <w:pStyle w:val="FirstParagraph"/>
      </w:pPr>
      <w:r>
        <w:rPr>
          <w:b/>
          <w:bCs/>
        </w:rPr>
        <w:t xml:space="preserve">Relevant?</w:t>
      </w:r>
      <w:r>
        <w:t xml:space="preserve"> </w:t>
      </w:r>
      <w:r>
        <w:t xml:space="preserve">Artificial Intelligence: The Future for Diabetes Care: https://www.clinicalkey.com/#!/content/playContent/1-s2.0-S0002934320303399?returnurl=https:%2F%2Flinkinghub.elsevier.com%2Fretrieve%2Fpii%2FS0002934320303399%3Fshowall%3Dtrue&amp;referrer=</w:t>
      </w:r>
      <w:r>
        <w:t xml:space="preserve"> </w:t>
      </w:r>
      <w:r>
        <w:t xml:space="preserve">Mo2023: says something about glucose variability metrics, what they are and what critiques are there to say about them: Glycemic variability: Measurement, target, impact on complications of diabetes and does it really matter? https://onlinelibrary.wiley.com/doi/10.1111/jdi.14112</w:t>
      </w:r>
    </w:p>
    <w:p>
      <w:pPr>
        <w:pStyle w:val="Compact"/>
        <w:numPr>
          <w:ilvl w:val="0"/>
          <w:numId w:val="1001"/>
        </w:numPr>
      </w:pPr>
      <w:r>
        <w:t xml:space="preserve">Data-driven vs hypothesis-drivenly(knowledge-based) paradigms</w:t>
      </w:r>
    </w:p>
    <w:p>
      <w:pPr>
        <w:pStyle w:val="Compact"/>
        <w:numPr>
          <w:ilvl w:val="0"/>
          <w:numId w:val="1001"/>
        </w:numPr>
      </w:pPr>
      <w:r>
        <w:t xml:space="preserve">Why machine learning in diabetes and cardiovascular risk prediction?</w:t>
      </w:r>
    </w:p>
    <w:p>
      <w:pPr>
        <w:pStyle w:val="Compact"/>
        <w:numPr>
          <w:ilvl w:val="0"/>
          <w:numId w:val="1001"/>
        </w:numPr>
      </w:pPr>
      <w:r>
        <w:t xml:space="preserve">Why are ML fantastic for CGM data?</w:t>
      </w:r>
    </w:p>
    <w:p>
      <w:pPr>
        <w:pStyle w:val="Compact"/>
        <w:numPr>
          <w:ilvl w:val="0"/>
          <w:numId w:val="1001"/>
        </w:numPr>
      </w:pPr>
      <w:r>
        <w:t xml:space="preserve">Types of machine learning methods</w:t>
      </w:r>
    </w:p>
    <w:p>
      <w:pPr>
        <w:numPr>
          <w:ilvl w:val="1"/>
          <w:numId w:val="1002"/>
        </w:numPr>
      </w:pPr>
      <w:r>
        <w:t xml:space="preserve">Logistic regression</w:t>
      </w:r>
    </w:p>
    <w:p>
      <w:pPr>
        <w:numPr>
          <w:ilvl w:val="1"/>
          <w:numId w:val="1002"/>
        </w:numPr>
      </w:pPr>
      <w:r>
        <w:t xml:space="preserve">LSTM and CNNs</w:t>
      </w:r>
    </w:p>
    <w:p>
      <w:pPr>
        <w:numPr>
          <w:ilvl w:val="1"/>
          <w:numId w:val="1002"/>
        </w:numPr>
      </w:pPr>
      <w:r>
        <w:t xml:space="preserve">Foundation models and their advantage</w:t>
      </w:r>
      <w:r>
        <w:t xml:space="preserve"> </w:t>
      </w:r>
      <w:r>
        <w:t xml:space="preserve"> </w:t>
      </w:r>
      <w:r>
        <w:t xml:space="preserve"> </w:t>
      </w:r>
    </w:p>
    <w:p>
      <w:pPr>
        <w:numPr>
          <w:ilvl w:val="1"/>
          <w:numId w:val="1002"/>
        </w:numPr>
      </w:pPr>
      <w:r>
        <w:t xml:space="preserve">The CGMformer is bla bla bla</w:t>
      </w:r>
      <w:r>
        <w:rPr>
          <w:vertAlign w:val="superscript"/>
        </w:rPr>
        <w:t xml:space="preserve">32</w:t>
      </w:r>
    </w:p>
    <w:p>
      <w:pPr>
        <w:pStyle w:val="Compact"/>
        <w:numPr>
          <w:ilvl w:val="0"/>
          <w:numId w:val="1001"/>
        </w:numPr>
      </w:pPr>
      <w:r>
        <w:t xml:space="preserve">Challenges and pitfalls of machine learning in healthcare</w:t>
      </w:r>
    </w:p>
    <w:p>
      <w:pPr>
        <w:pStyle w:val="Compact"/>
        <w:numPr>
          <w:ilvl w:val="1"/>
          <w:numId w:val="1003"/>
        </w:numPr>
      </w:pPr>
      <w:r>
        <w:t xml:space="preserve">Overfitting and generalizability</w:t>
      </w:r>
    </w:p>
    <w:p>
      <w:pPr>
        <w:pStyle w:val="Compact"/>
        <w:numPr>
          <w:ilvl w:val="1"/>
          <w:numId w:val="1003"/>
        </w:numPr>
      </w:pPr>
      <w:r>
        <w:t xml:space="preserve">Interpretability and explainability</w:t>
      </w:r>
    </w:p>
    <w:bookmarkEnd w:id="62"/>
    <w:bookmarkStart w:id="63" w:name="fairness-and-bias-in-machine-learning"/>
    <w:p>
      <w:pPr>
        <w:pStyle w:val="Heading2"/>
      </w:pPr>
      <w:r>
        <w:t xml:space="preserve">1.8 Fairness and bias in machine learning</w:t>
      </w:r>
    </w:p>
    <w:p>
      <w:pPr>
        <w:numPr>
          <w:ilvl w:val="0"/>
          <w:numId w:val="1004"/>
        </w:numPr>
      </w:pPr>
      <w:r>
        <w:t xml:space="preserve">Define race and ethnicity</w:t>
      </w:r>
    </w:p>
    <w:p>
      <w:pPr>
        <w:numPr>
          <w:ilvl w:val="0"/>
          <w:numId w:val="1004"/>
        </w:numPr>
      </w:pPr>
      <w:r>
        <w:t xml:space="preserve">Algorithmic bias and group fairness</w:t>
      </w:r>
    </w:p>
    <w:p>
      <w:pPr>
        <w:numPr>
          <w:ilvl w:val="0"/>
          <w:numId w:val="1004"/>
        </w:numPr>
      </w:pPr>
      <w:r>
        <w:t xml:space="preserve">Fairness metrics and mitigation strategies</w:t>
      </w:r>
    </w:p>
    <w:p>
      <w:pPr>
        <w:numPr>
          <w:ilvl w:val="0"/>
          <w:numId w:val="1004"/>
        </w:numPr>
      </w:pPr>
      <w:r>
        <w:t xml:space="preserve">Trends in the quality of care and racial disparities in Medicare managed care: https://pubmed.ncbi.nlm.nih.gov/16107622/</w:t>
      </w:r>
    </w:p>
    <w:bookmarkEnd w:id="63"/>
    <w:bookmarkEnd w:id="64"/>
    <w:bookmarkStart w:id="118" w:name="sec-refs"/>
    <w:p>
      <w:pPr>
        <w:pStyle w:val="Heading1"/>
      </w:pPr>
      <w:r>
        <w:t xml:space="preserve">References</w:t>
      </w:r>
    </w:p>
    <w:bookmarkStart w:id="117" w:name="refs"/>
    <w:bookmarkStart w:id="65" w:name="ref-Sacks2023"/>
    <w:p>
      <w:pPr>
        <w:pStyle w:val="Bibliography"/>
      </w:pPr>
      <w:r>
        <w:t xml:space="preserve">1.</w:t>
      </w:r>
      <w:r>
        <w:t xml:space="preserve"> </w:t>
      </w:r>
      <w:r>
        <w:t xml:space="preserve">	</w:t>
      </w:r>
      <w:r>
        <w:t xml:space="preserve">Sacks DB, Arnold M, Bakris GL, et al. Guidelines and recommendations for laboratory analysis in the diagnosis and management of diabetes mellitus. Diabetes care 2023;46(10):e151–99.</w:t>
      </w:r>
      <w:r>
        <w:t xml:space="preserve"> </w:t>
      </w:r>
    </w:p>
    <w:bookmarkEnd w:id="65"/>
    <w:bookmarkStart w:id="66" w:name="ref-Deshpande2008"/>
    <w:p>
      <w:pPr>
        <w:pStyle w:val="Bibliography"/>
      </w:pPr>
      <w:r>
        <w:t xml:space="preserve">2.</w:t>
      </w:r>
      <w:r>
        <w:t xml:space="preserve"> </w:t>
      </w:r>
      <w:r>
        <w:t xml:space="preserve">	</w:t>
      </w:r>
      <w:r>
        <w:t xml:space="preserve">Deshpande AD, Harris-Hayes M, Schootman M. Epidemiology of diabetes and diabetes-related complications. Physical therapy 2008;88(11):1254–64.</w:t>
      </w:r>
      <w:r>
        <w:t xml:space="preserve"> </w:t>
      </w:r>
    </w:p>
    <w:bookmarkEnd w:id="66"/>
    <w:bookmarkStart w:id="68" w:name="ref-IDF_ed10_Magliano2021"/>
    <w:p>
      <w:pPr>
        <w:pStyle w:val="Bibliography"/>
      </w:pPr>
      <w:r>
        <w:t xml:space="preserve">3.</w:t>
      </w:r>
      <w:r>
        <w:t xml:space="preserve"> </w:t>
      </w:r>
      <w:r>
        <w:t xml:space="preserve">	</w:t>
      </w:r>
      <w:r>
        <w:t xml:space="preserve">Magliano DJ, Boyko EJ. IDF diabetes atlas [Internet]. 10th ed. Brussels, Belgium: International Diabetes Federation; 2021. Available from:</w:t>
      </w:r>
      <w:r>
        <w:t xml:space="preserve"> </w:t>
      </w:r>
      <w:hyperlink r:id="rId67">
        <w:r>
          <w:rPr>
            <w:rStyle w:val="Hyperlink"/>
          </w:rPr>
          <w:t xml:space="preserve">https://www.ncbi.nlm.nih.gov/books/NBK581930/</w:t>
        </w:r>
      </w:hyperlink>
    </w:p>
    <w:bookmarkEnd w:id="68"/>
    <w:bookmarkStart w:id="70" w:name="ref-ADA2026_ch2"/>
    <w:p>
      <w:pPr>
        <w:pStyle w:val="Bibliography"/>
      </w:pPr>
      <w:r>
        <w:t xml:space="preserve">4.</w:t>
      </w:r>
      <w:r>
        <w:t xml:space="preserve"> </w:t>
      </w:r>
      <w:r>
        <w:t xml:space="preserve">	</w:t>
      </w:r>
      <w:r>
        <w:t xml:space="preserve">American Diabetes Association Professional Practice Committee for Diabetes*. 2.</w:t>
      </w:r>
      <w:r>
        <w:t xml:space="preserve"> </w:t>
      </w:r>
      <w:r>
        <w:t xml:space="preserve">Diagnosis</w:t>
      </w:r>
      <w:r>
        <w:t xml:space="preserve"> </w:t>
      </w:r>
      <w:r>
        <w:t xml:space="preserve">and</w:t>
      </w:r>
      <w:r>
        <w:t xml:space="preserve"> </w:t>
      </w:r>
      <w:r>
        <w:t xml:space="preserve">Classification</w:t>
      </w:r>
      <w:r>
        <w:t xml:space="preserve"> </w:t>
      </w:r>
      <w:r>
        <w:t xml:space="preserve">of</w:t>
      </w:r>
      <w:r>
        <w:t xml:space="preserve"> </w:t>
      </w:r>
      <w:r>
        <w:t xml:space="preserve">Diabetes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8];49(Supplement_1):S27–49. Available from:</w:t>
      </w:r>
      <w:r>
        <w:t xml:space="preserve"> </w:t>
      </w:r>
      <w:hyperlink r:id="rId69">
        <w:r>
          <w:rPr>
            <w:rStyle w:val="Hyperlink"/>
          </w:rPr>
          <w:t xml:space="preserve">https://doi.org/10.2337/dc26-S002</w:t>
        </w:r>
      </w:hyperlink>
    </w:p>
    <w:bookmarkEnd w:id="70"/>
    <w:bookmarkStart w:id="71" w:name="ref-Hall2020"/>
    <w:p>
      <w:pPr>
        <w:pStyle w:val="Bibliography"/>
      </w:pPr>
      <w:r>
        <w:t xml:space="preserve">5.</w:t>
      </w:r>
      <w:r>
        <w:t xml:space="preserve"> </w:t>
      </w:r>
      <w:r>
        <w:t xml:space="preserve">	</w:t>
      </w:r>
      <w:r>
        <w:t xml:space="preserve">Hall ME, Hall JE. Guyton and hall textbook of medical physiology. Elsevier; 2020.</w:t>
      </w:r>
      <w:r>
        <w:t xml:space="preserve"> </w:t>
      </w:r>
    </w:p>
    <w:bookmarkEnd w:id="71"/>
    <w:bookmarkStart w:id="73" w:name="ref-ADA2023_ch6"/>
    <w:p>
      <w:pPr>
        <w:pStyle w:val="Bibliography"/>
      </w:pPr>
      <w:r>
        <w:t xml:space="preserve">6.</w:t>
      </w:r>
      <w:r>
        <w:t xml:space="preserve"> </w:t>
      </w:r>
      <w:r>
        <w:t xml:space="preserve">	</w:t>
      </w:r>
      <w:r>
        <w:t xml:space="preserve">American Diabetes Association Professional Practice Committee. 6.</w:t>
      </w:r>
      <w:r>
        <w:t xml:space="preserve"> </w:t>
      </w:r>
      <w:r>
        <w:t xml:space="preserve">Glycemic</w:t>
      </w:r>
      <w:r>
        <w:t xml:space="preserve"> </w:t>
      </w:r>
      <w:r>
        <w:t xml:space="preserve">Goals</w:t>
      </w:r>
      <w:r>
        <w:t xml:space="preserve"> </w:t>
      </w:r>
      <w:r>
        <w:t xml:space="preserve">and</w:t>
      </w:r>
      <w:r>
        <w:t xml:space="preserve"> </w:t>
      </w:r>
      <w:r>
        <w:t xml:space="preserve">Hypoglycemia</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—2024. Diabetes Care [Internet] 2023 [cited 2024 May 17];47(Supplement_1):Suppl 1:S111–S125. Available from:</w:t>
      </w:r>
      <w:r>
        <w:t xml:space="preserve"> </w:t>
      </w:r>
      <w:hyperlink r:id="rId72">
        <w:r>
          <w:rPr>
            <w:rStyle w:val="Hyperlink"/>
          </w:rPr>
          <w:t xml:space="preserve">https://doi.org/10.2337/dc24-S006</w:t>
        </w:r>
      </w:hyperlink>
    </w:p>
    <w:bookmarkEnd w:id="73"/>
    <w:bookmarkStart w:id="75" w:name="ref-Selvin2013"/>
    <w:p>
      <w:pPr>
        <w:pStyle w:val="Bibliography"/>
      </w:pPr>
      <w:r>
        <w:t xml:space="preserve">7.</w:t>
      </w:r>
      <w:r>
        <w:t xml:space="preserve"> </w:t>
      </w:r>
      <w:r>
        <w:t xml:space="preserve">	</w:t>
      </w:r>
      <w:r>
        <w:t xml:space="preserve">Selvin E, Rawlings AM, Bergenstal RM, Coresh J, Brancati FL. No</w:t>
      </w:r>
      <w:r>
        <w:t xml:space="preserve"> </w:t>
      </w:r>
      <w:r>
        <w:t xml:space="preserve">Racial</w:t>
      </w:r>
      <w:r>
        <w:t xml:space="preserve"> </w:t>
      </w:r>
      <w:r>
        <w:t xml:space="preserve">Differences</w:t>
      </w:r>
      <w:r>
        <w:t xml:space="preserve"> </w:t>
      </w:r>
      <w:r>
        <w:t xml:space="preserve">in the</w:t>
      </w:r>
      <w:r>
        <w:t xml:space="preserve"> </w:t>
      </w:r>
      <w:r>
        <w:t xml:space="preserve">Association</w:t>
      </w:r>
      <w:r>
        <w:t xml:space="preserve"> </w:t>
      </w:r>
      <w:r>
        <w:t xml:space="preserve">of</w:t>
      </w:r>
      <w:r>
        <w:t xml:space="preserve"> </w:t>
      </w:r>
      <w:r>
        <w:t xml:space="preserve">Glycated</w:t>
      </w:r>
      <w:r>
        <w:t xml:space="preserve"> </w:t>
      </w:r>
      <w:r>
        <w:t xml:space="preserve">Hemoglobin</w:t>
      </w:r>
      <w:r>
        <w:t xml:space="preserve"> </w:t>
      </w:r>
      <w:r>
        <w:t xml:space="preserve">With</w:t>
      </w:r>
      <w:r>
        <w:t xml:space="preserve"> </w:t>
      </w:r>
      <w:r>
        <w:t xml:space="preserve">Kidney</w:t>
      </w:r>
      <w:r>
        <w:t xml:space="preserve"> </w:t>
      </w:r>
      <w:r>
        <w:t xml:space="preserve">Disease</w:t>
      </w:r>
      <w:r>
        <w:t xml:space="preserve"> </w:t>
      </w:r>
      <w:r>
        <w:t xml:space="preserve">and</w:t>
      </w:r>
      <w:r>
        <w:t xml:space="preserve"> </w:t>
      </w:r>
      <w:r>
        <w:t xml:space="preserve">Cardiovascular</w:t>
      </w:r>
      <w:r>
        <w:t xml:space="preserve"> </w:t>
      </w:r>
      <w:r>
        <w:t xml:space="preserve">Outcomes</w:t>
      </w:r>
      <w:r>
        <w:t xml:space="preserve">. Diabetes Care [Internet] 2013 [cited 2026 July 9];36(10):2995–3001. Available from:</w:t>
      </w:r>
      <w:r>
        <w:t xml:space="preserve"> </w:t>
      </w:r>
      <w:hyperlink r:id="rId74">
        <w:r>
          <w:rPr>
            <w:rStyle w:val="Hyperlink"/>
          </w:rPr>
          <w:t xml:space="preserve">https://doi.org/10.2337/dc12-2715</w:t>
        </w:r>
      </w:hyperlink>
    </w:p>
    <w:bookmarkEnd w:id="75"/>
    <w:bookmarkStart w:id="77" w:name="ref-kirk2006"/>
    <w:p>
      <w:pPr>
        <w:pStyle w:val="Bibliography"/>
      </w:pPr>
      <w:r>
        <w:t xml:space="preserve">8.</w:t>
      </w:r>
      <w:r>
        <w:t xml:space="preserve"> </w:t>
      </w:r>
      <w:r>
        <w:t xml:space="preserve">	</w:t>
      </w:r>
      <w:r>
        <w:t xml:space="preserve">Kirk JK, D’Agostino RB, Bell RA, et al. Disparities in</w:t>
      </w:r>
      <w:r>
        <w:t xml:space="preserve"> </w:t>
      </w:r>
      <w:r>
        <w:t xml:space="preserve">HbA1c</w:t>
      </w:r>
      <w:r>
        <w:t xml:space="preserve"> </w:t>
      </w:r>
      <w:r>
        <w:t xml:space="preserve">Levels</w:t>
      </w:r>
      <w:r>
        <w:t xml:space="preserve"> </w:t>
      </w:r>
      <w:r>
        <w:t xml:space="preserve">Between</w:t>
      </w:r>
      <w:r>
        <w:t xml:space="preserve"> </w:t>
      </w:r>
      <w:r>
        <w:t xml:space="preserve">African</w:t>
      </w:r>
      <w:r>
        <w:t xml:space="preserve">-</w:t>
      </w:r>
      <w:r>
        <w:t xml:space="preserve">American</w:t>
      </w:r>
      <w:r>
        <w:t xml:space="preserve"> </w:t>
      </w:r>
      <w:r>
        <w:t xml:space="preserve">and</w:t>
      </w:r>
      <w:r>
        <w:t xml:space="preserve"> </w:t>
      </w:r>
      <w:r>
        <w:t xml:space="preserve">Non</w:t>
      </w:r>
      <w:r>
        <w:t xml:space="preserve">-</w:t>
      </w:r>
      <w:r>
        <w:t xml:space="preserve">Hispanic</w:t>
      </w:r>
      <w:r>
        <w:t xml:space="preserve"> </w:t>
      </w:r>
      <w:r>
        <w:t xml:space="preserve">White</w:t>
      </w:r>
      <w:r>
        <w:t xml:space="preserve"> </w:t>
      </w:r>
      <w:r>
        <w:t xml:space="preserve">Adults</w:t>
      </w:r>
      <w:r>
        <w:t xml:space="preserve"> </w:t>
      </w:r>
      <w:r>
        <w:t xml:space="preserve">With</w:t>
      </w:r>
      <w:r>
        <w:t xml:space="preserve"> </w:t>
      </w:r>
      <w:r>
        <w:t xml:space="preserve">Diabetes</w:t>
      </w:r>
      <w:r>
        <w:t xml:space="preserve">. Diabetes care [Internet] 2006 [cited 2026 July 9];29(9):2130–6. Available from:</w:t>
      </w:r>
      <w:r>
        <w:t xml:space="preserve"> </w:t>
      </w:r>
      <w:hyperlink r:id="rId76">
        <w:r>
          <w:rPr>
            <w:rStyle w:val="Hyperlink"/>
          </w:rPr>
          <w:t xml:space="preserve">https://pmc.ncbi.nlm.nih.gov/articles/PMC3557948/</w:t>
        </w:r>
      </w:hyperlink>
    </w:p>
    <w:bookmarkEnd w:id="77"/>
    <w:bookmarkStart w:id="79" w:name="ref-ADA2026_ch6"/>
    <w:p>
      <w:pPr>
        <w:pStyle w:val="Bibliography"/>
      </w:pPr>
      <w:r>
        <w:t xml:space="preserve">9.</w:t>
      </w:r>
      <w:r>
        <w:t xml:space="preserve"> </w:t>
      </w:r>
      <w:r>
        <w:t xml:space="preserve">	</w:t>
      </w:r>
      <w:r>
        <w:t xml:space="preserve">American Diabetes Association Professional Practice Committee for Diabetes*. 6.</w:t>
      </w:r>
      <w:r>
        <w:t xml:space="preserve"> </w:t>
      </w:r>
      <w:r>
        <w:t xml:space="preserve">Glycemic</w:t>
      </w:r>
      <w:r>
        <w:t xml:space="preserve"> </w:t>
      </w:r>
      <w:r>
        <w:t xml:space="preserve">Goals</w:t>
      </w:r>
      <w:r>
        <w:t xml:space="preserve">,</w:t>
      </w:r>
      <w:r>
        <w:t xml:space="preserve"> </w:t>
      </w:r>
      <w:r>
        <w:t xml:space="preserve">Hypoglycemia</w:t>
      </w:r>
      <w:r>
        <w:t xml:space="preserve">, and</w:t>
      </w:r>
      <w:r>
        <w:t xml:space="preserve"> </w:t>
      </w:r>
      <w:r>
        <w:t xml:space="preserve">Hyperglycemic</w:t>
      </w:r>
      <w:r>
        <w:t xml:space="preserve"> </w:t>
      </w:r>
      <w:r>
        <w:t xml:space="preserve">Crises</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2025 [cited 2026 July 9];49(Supplement_1):S132–49. Available from:</w:t>
      </w:r>
      <w:r>
        <w:t xml:space="preserve"> </w:t>
      </w:r>
      <w:hyperlink r:id="rId78">
        <w:r>
          <w:rPr>
            <w:rStyle w:val="Hyperlink"/>
          </w:rPr>
          <w:t xml:space="preserve">https://doi.org/10.2337/dc26-S006</w:t>
        </w:r>
      </w:hyperlink>
    </w:p>
    <w:bookmarkEnd w:id="79"/>
    <w:bookmarkStart w:id="81" w:name="ref-IDF_2025_guidelines"/>
    <w:p>
      <w:pPr>
        <w:pStyle w:val="Bibliography"/>
      </w:pPr>
      <w:r>
        <w:t xml:space="preserve">10.</w:t>
      </w:r>
      <w:r>
        <w:t xml:space="preserve"> </w:t>
      </w:r>
      <w:r>
        <w:t xml:space="preserve">	</w:t>
      </w:r>
      <w:r>
        <w:t xml:space="preserve">International Diabetes Federation. IDF global clinical practice recommendations for managing type 2 diabetes [Internet]. Brussels, Belgium: International Diabetes Federation; 2025. Available from:</w:t>
      </w:r>
      <w:r>
        <w:t xml:space="preserve"> </w:t>
      </w:r>
      <w:hyperlink r:id="rId80">
        <w:r>
          <w:rPr>
            <w:rStyle w:val="Hyperlink"/>
          </w:rPr>
          <w:t xml:space="preserve">https://idf.org/download-global-clinical-practice-recommendations/</w:t>
        </w:r>
      </w:hyperlink>
    </w:p>
    <w:bookmarkEnd w:id="81"/>
    <w:bookmarkStart w:id="83" w:name="ref-Buscemi2010"/>
    <w:p>
      <w:pPr>
        <w:pStyle w:val="Bibliography"/>
      </w:pPr>
      <w:r>
        <w:t xml:space="preserve">11.</w:t>
      </w:r>
      <w:r>
        <w:t xml:space="preserve"> </w:t>
      </w:r>
      <w:r>
        <w:t xml:space="preserve">	</w:t>
      </w:r>
      <w:r>
        <w:t xml:space="preserve">Buscemi S, Re A, Batsis J A, et al. Glycaemic variability using continuous glucose monitoring and endothelial function in the metabolic syndrome and in</w:t>
      </w:r>
      <w:r>
        <w:t xml:space="preserve"> </w:t>
      </w:r>
      <w:r>
        <w:t xml:space="preserve">Type</w:t>
      </w:r>
      <w:r>
        <w:t xml:space="preserve"> </w:t>
      </w:r>
      <w:r>
        <w:t xml:space="preserve">2 diabetes. Comment in: Diabet Med 2011 Jan;28(1):125-6; author reply 127-8 PMID: 21166857 [https://wwwncbinlmnihgov/pubmed/21166857] Comment in: Diabet Med 2011 Jan;28(1):126; author reply 127-8 PMID: 21166858 [https://wwwncbinlmnihgov/pubmed/21166858] [Internet] 2010;27(8):872–8. Available from:</w:t>
      </w:r>
      <w:r>
        <w:t xml:space="preserve"> </w:t>
      </w:r>
      <w:hyperlink r:id="rId82">
        <w:r>
          <w:rPr>
            <w:rStyle w:val="Hyperlink"/>
          </w:rPr>
          <w:t xml:space="preserve">http://ovidsp.ovid.com/ovidweb.cgi?T=JS&amp;PAGE=reference&amp;D=med8&amp;NEWS=N&amp;AN=20653743</w:t>
        </w:r>
      </w:hyperlink>
    </w:p>
    <w:bookmarkEnd w:id="83"/>
    <w:bookmarkStart w:id="84" w:name="ref-Danne2017"/>
    <w:p>
      <w:pPr>
        <w:pStyle w:val="Bibliography"/>
      </w:pPr>
      <w:r>
        <w:t xml:space="preserve">12.</w:t>
      </w:r>
      <w:r>
        <w:t xml:space="preserve"> </w:t>
      </w:r>
      <w:r>
        <w:t xml:space="preserve">	</w:t>
      </w:r>
      <w:r>
        <w:t xml:space="preserve">Danne T, Nimri R, Battelino T, et al. International consensus on use of continuous glucose monitoring. Diabetes care 2017;40(12):1631–40.</w:t>
      </w:r>
      <w:r>
        <w:t xml:space="preserve"> </w:t>
      </w:r>
    </w:p>
    <w:bookmarkEnd w:id="84"/>
    <w:bookmarkStart w:id="86" w:name="ref-Freckmann2024"/>
    <w:p>
      <w:pPr>
        <w:pStyle w:val="Bibliography"/>
      </w:pPr>
      <w:r>
        <w:t xml:space="preserve">13.</w:t>
      </w:r>
      <w:r>
        <w:t xml:space="preserve"> </w:t>
      </w:r>
      <w:r>
        <w:t xml:space="preserve">	</w:t>
      </w:r>
      <w:r>
        <w:t xml:space="preserve">Freckmann G, Schauer S, Beltzer A, et al.</w:t>
      </w:r>
      <w:r>
        <w:t xml:space="preserve"> </w:t>
      </w:r>
      <w:hyperlink r:id="rId85">
        <w:r>
          <w:rPr>
            <w:rStyle w:val="Hyperlink"/>
          </w:rPr>
          <w:t xml:space="preserve">Continuous</w:t>
        </w:r>
        <w:r>
          <w:rPr>
            <w:rStyle w:val="Hyperlink"/>
          </w:rPr>
          <w:t xml:space="preserve"> </w:t>
        </w:r>
        <w:r>
          <w:rPr>
            <w:rStyle w:val="Hyperlink"/>
          </w:rPr>
          <w:t xml:space="preserve">Glucose</w:t>
        </w:r>
        <w:r>
          <w:rPr>
            <w:rStyle w:val="Hyperlink"/>
          </w:rPr>
          <w:t xml:space="preserve"> </w:t>
        </w:r>
        <w:r>
          <w:rPr>
            <w:rStyle w:val="Hyperlink"/>
          </w:rPr>
          <w:t xml:space="preserve">Profiles</w:t>
        </w:r>
        <w:r>
          <w:rPr>
            <w:rStyle w:val="Hyperlink"/>
          </w:rPr>
          <w:t xml:space="preserve"> </w:t>
        </w:r>
        <w:r>
          <w:rPr>
            <w:rStyle w:val="Hyperlink"/>
          </w:rPr>
          <w:t xml:space="preserve">in</w:t>
        </w:r>
        <w:r>
          <w:rPr>
            <w:rStyle w:val="Hyperlink"/>
          </w:rPr>
          <w:t xml:space="preserve"> </w:t>
        </w:r>
        <w:r>
          <w:rPr>
            <w:rStyle w:val="Hyperlink"/>
          </w:rPr>
          <w:t xml:space="preserve">Healthy</w:t>
        </w:r>
        <w:r>
          <w:rPr>
            <w:rStyle w:val="Hyperlink"/>
          </w:rPr>
          <w:t xml:space="preserve"> </w:t>
        </w:r>
        <w:r>
          <w:rPr>
            <w:rStyle w:val="Hyperlink"/>
          </w:rPr>
          <w:t xml:space="preserve">People</w:t>
        </w:r>
        <w:r>
          <w:rPr>
            <w:rStyle w:val="Hyperlink"/>
          </w:rPr>
          <w:t xml:space="preserve"> </w:t>
        </w:r>
        <w:r>
          <w:rPr>
            <w:rStyle w:val="Hyperlink"/>
          </w:rPr>
          <w:t xml:space="preserve">With</w:t>
        </w:r>
        <w:r>
          <w:rPr>
            <w:rStyle w:val="Hyperlink"/>
          </w:rPr>
          <w:t xml:space="preserve"> </w:t>
        </w:r>
        <w:r>
          <w:rPr>
            <w:rStyle w:val="Hyperlink"/>
          </w:rPr>
          <w:t xml:space="preserve">Fixed</w:t>
        </w:r>
        <w:r>
          <w:rPr>
            <w:rStyle w:val="Hyperlink"/>
          </w:rPr>
          <w:t xml:space="preserve"> </w:t>
        </w:r>
        <w:r>
          <w:rPr>
            <w:rStyle w:val="Hyperlink"/>
          </w:rPr>
          <w:t xml:space="preserve">Meal</w:t>
        </w:r>
        <w:r>
          <w:rPr>
            <w:rStyle w:val="Hyperlink"/>
          </w:rPr>
          <w:t xml:space="preserve"> </w:t>
        </w:r>
        <w:r>
          <w:rPr>
            <w:rStyle w:val="Hyperlink"/>
          </w:rPr>
          <w:t xml:space="preserve">Times</w:t>
        </w:r>
        <w:r>
          <w:rPr>
            <w:rStyle w:val="Hyperlink"/>
          </w:rPr>
          <w:t xml:space="preserve"> </w:t>
        </w:r>
        <w:r>
          <w:rPr>
            <w:rStyle w:val="Hyperlink"/>
          </w:rPr>
          <w:t xml:space="preserve">and</w:t>
        </w:r>
        <w:r>
          <w:rPr>
            <w:rStyle w:val="Hyperlink"/>
          </w:rPr>
          <w:t xml:space="preserve"> </w:t>
        </w:r>
        <w:r>
          <w:rPr>
            <w:rStyle w:val="Hyperlink"/>
          </w:rPr>
          <w:t xml:space="preserve">Under</w:t>
        </w:r>
        <w:r>
          <w:rPr>
            <w:rStyle w:val="Hyperlink"/>
          </w:rPr>
          <w:t xml:space="preserve"> </w:t>
        </w:r>
        <w:r>
          <w:rPr>
            <w:rStyle w:val="Hyperlink"/>
          </w:rPr>
          <w:t xml:space="preserve">Everyday</w:t>
        </w:r>
        <w:r>
          <w:rPr>
            <w:rStyle w:val="Hyperlink"/>
          </w:rPr>
          <w:t xml:space="preserve"> </w:t>
        </w:r>
        <w:r>
          <w:rPr>
            <w:rStyle w:val="Hyperlink"/>
          </w:rPr>
          <w:t xml:space="preserve">Life</w:t>
        </w:r>
        <w:r>
          <w:rPr>
            <w:rStyle w:val="Hyperlink"/>
          </w:rPr>
          <w:t xml:space="preserve"> </w:t>
        </w:r>
        <w:r>
          <w:rPr>
            <w:rStyle w:val="Hyperlink"/>
          </w:rPr>
          <w:t xml:space="preserve">Conditions</w:t>
        </w:r>
      </w:hyperlink>
      <w:r>
        <w:t xml:space="preserve">. Journal of Diabetes Science and Technology 2024;18(2):407–13.</w:t>
      </w:r>
      <w:r>
        <w:t xml:space="preserve"> </w:t>
      </w:r>
    </w:p>
    <w:bookmarkEnd w:id="86"/>
    <w:bookmarkStart w:id="88" w:name="ref-ADA2026_ch7"/>
    <w:p>
      <w:pPr>
        <w:pStyle w:val="Bibliography"/>
      </w:pPr>
      <w:r>
        <w:t xml:space="preserve">14.</w:t>
      </w:r>
      <w:r>
        <w:t xml:space="preserve"> </w:t>
      </w:r>
      <w:r>
        <w:t xml:space="preserve">	</w:t>
      </w:r>
      <w:r>
        <w:t xml:space="preserve">American Diabetes Association Professional Practice Committee for Diabetes*. 7.</w:t>
      </w:r>
      <w:r>
        <w:t xml:space="preserve"> </w:t>
      </w:r>
      <w:r>
        <w:t xml:space="preserve">Diabetes</w:t>
      </w:r>
      <w:r>
        <w:t xml:space="preserve"> </w:t>
      </w:r>
      <w:r>
        <w:t xml:space="preserve">Technology</w:t>
      </w:r>
      <w:r>
        <w:t xml:space="preserve">:</w:t>
      </w:r>
      <w:r>
        <w:t xml:space="preserve"> </w:t>
      </w:r>
      <w:r>
        <w:t xml:space="preserve">Standards</w:t>
      </w:r>
      <w:r>
        <w:t xml:space="preserve"> </w:t>
      </w:r>
      <w:r>
        <w:t xml:space="preserve">of</w:t>
      </w:r>
      <w:r>
        <w:t xml:space="preserve"> </w:t>
      </w:r>
      <w:r>
        <w:t xml:space="preserve">Care</w:t>
      </w:r>
      <w:r>
        <w:t xml:space="preserve"> </w:t>
      </w:r>
      <w:r>
        <w:t xml:space="preserve">in</w:t>
      </w:r>
      <w:r>
        <w:t xml:space="preserve"> </w:t>
      </w:r>
      <w:r>
        <w:t xml:space="preserve">Diabetes</w:t>
      </w:r>
      <w:r>
        <w:t xml:space="preserve">—2026. Diabetes Care [Internet] 2026 [cited 2026 July 13];49(Supplement_1):S150–65. Available from:</w:t>
      </w:r>
      <w:r>
        <w:t xml:space="preserve"> </w:t>
      </w:r>
      <w:hyperlink r:id="rId87">
        <w:r>
          <w:rPr>
            <w:rStyle w:val="Hyperlink"/>
          </w:rPr>
          <w:t xml:space="preserve">https://doi.org/10.2337/dc26-S007</w:t>
        </w:r>
      </w:hyperlink>
    </w:p>
    <w:bookmarkEnd w:id="88"/>
    <w:bookmarkStart w:id="90" w:name="ref-Kovatchev2016"/>
    <w:p>
      <w:pPr>
        <w:pStyle w:val="Bibliography"/>
      </w:pPr>
      <w:r>
        <w:t xml:space="preserve">15.</w:t>
      </w:r>
      <w:r>
        <w:t xml:space="preserve"> </w:t>
      </w:r>
      <w:r>
        <w:t xml:space="preserve">	</w:t>
      </w:r>
      <w:r>
        <w:t xml:space="preserve">Kovatchev B, Cobelli C. Glucose</w:t>
      </w:r>
      <w:r>
        <w:t xml:space="preserve"> </w:t>
      </w:r>
      <w:r>
        <w:t xml:space="preserve">Variability</w:t>
      </w:r>
      <w:r>
        <w:t xml:space="preserve">:</w:t>
      </w:r>
      <w:r>
        <w:t xml:space="preserve"> </w:t>
      </w:r>
      <w:r>
        <w:t xml:space="preserve">Timing</w:t>
      </w:r>
      <w:r>
        <w:t xml:space="preserve">,</w:t>
      </w:r>
      <w:r>
        <w:t xml:space="preserve"> </w:t>
      </w:r>
      <w:r>
        <w:t xml:space="preserve">Risk</w:t>
      </w:r>
      <w:r>
        <w:t xml:space="preserve"> </w:t>
      </w:r>
      <w:r>
        <w:t xml:space="preserve">Analysis</w:t>
      </w:r>
      <w:r>
        <w:t xml:space="preserve">, and</w:t>
      </w:r>
      <w:r>
        <w:t xml:space="preserve"> </w:t>
      </w:r>
      <w:r>
        <w:t xml:space="preserve">Relationship</w:t>
      </w:r>
      <w:r>
        <w:t xml:space="preserve"> </w:t>
      </w:r>
      <w:r>
        <w:t xml:space="preserve">to</w:t>
      </w:r>
      <w:r>
        <w:t xml:space="preserve"> </w:t>
      </w:r>
      <w:r>
        <w:t xml:space="preserve">Hypoglycemia</w:t>
      </w:r>
      <w:r>
        <w:t xml:space="preserve"> </w:t>
      </w:r>
      <w:r>
        <w:t xml:space="preserve">in</w:t>
      </w:r>
      <w:r>
        <w:t xml:space="preserve"> </w:t>
      </w:r>
      <w:r>
        <w:t xml:space="preserve">Diabetes</w:t>
      </w:r>
      <w:r>
        <w:t xml:space="preserve">. Diabetes Care [Internet] 2016 [cited 2024 Dec 20];39(4):502–10. Available from:</w:t>
      </w:r>
      <w:r>
        <w:t xml:space="preserve"> </w:t>
      </w:r>
      <w:hyperlink r:id="rId89">
        <w:r>
          <w:rPr>
            <w:rStyle w:val="Hyperlink"/>
          </w:rPr>
          <w:t xml:space="preserve">https://doi.org/10.2337/dc15-2035</w:t>
        </w:r>
      </w:hyperlink>
    </w:p>
    <w:bookmarkEnd w:id="90"/>
    <w:bookmarkStart w:id="92" w:name="ref-Mo2024"/>
    <w:p>
      <w:pPr>
        <w:pStyle w:val="Bibliography"/>
      </w:pPr>
      <w:r>
        <w:t xml:space="preserve">16.</w:t>
      </w:r>
      <w:r>
        <w:t xml:space="preserve"> </w:t>
      </w:r>
      <w:r>
        <w:t xml:space="preserve">	</w:t>
      </w:r>
      <w:r>
        <w:t xml:space="preserve">Mo Y, Lu J, Zhou J. Glycemic variability:</w:t>
      </w:r>
      <w:r>
        <w:t xml:space="preserve"> </w:t>
      </w:r>
      <w:r>
        <w:t xml:space="preserve">Measurement</w:t>
      </w:r>
      <w:r>
        <w:t xml:space="preserve">, target, impact on complications of diabetes and does it really matter? Journal of Diabetes Investigation [Internet] 2024 [cited 2026 July 13];15(1):5–14. Available from:</w:t>
      </w:r>
      <w:r>
        <w:t xml:space="preserve"> </w:t>
      </w:r>
      <w:hyperlink r:id="rId91">
        <w:r>
          <w:rPr>
            <w:rStyle w:val="Hyperlink"/>
          </w:rPr>
          <w:t xml:space="preserve">https://onlinelibrary.wiley.com/doi/10.1111/jdi.14112</w:t>
        </w:r>
      </w:hyperlink>
    </w:p>
    <w:bookmarkEnd w:id="92"/>
    <w:bookmarkStart w:id="94" w:name="ref-rawshani2017"/>
    <w:p>
      <w:pPr>
        <w:pStyle w:val="Bibliography"/>
      </w:pPr>
      <w:r>
        <w:t xml:space="preserve">17.</w:t>
      </w:r>
      <w:r>
        <w:t xml:space="preserve"> </w:t>
      </w:r>
      <w:r>
        <w:t xml:space="preserve">	</w:t>
      </w:r>
      <w:r>
        <w:t xml:space="preserve">Rawshani A, Rawshani A, Franz én S, et al.</w:t>
      </w:r>
      <w:r>
        <w:t xml:space="preserve"> Mortality and</w:t>
      </w:r>
      <w:r>
        <w:t xml:space="preserve"> </w:t>
      </w:r>
      <w:r>
        <w:t xml:space="preserve">Cardiovascular</w:t>
      </w:r>
      <w:r>
        <w:t xml:space="preserve"> </w:t>
      </w:r>
      <w:r>
        <w:t xml:space="preserve">Disease</w:t>
      </w:r>
      <w:r>
        <w:t xml:space="preserve"> </w:t>
      </w:r>
      <w:r>
        <w:t xml:space="preserve">in</w:t>
      </w:r>
      <w:r>
        <w:t xml:space="preserve"> </w:t>
      </w:r>
      <w:r>
        <w:t xml:space="preserve">Type</w:t>
      </w:r>
      <w:r>
        <w:t xml:space="preserve"> </w:t>
      </w:r>
      <w:r>
        <w:t xml:space="preserve">1 and</w:t>
      </w:r>
      <w:r>
        <w:t xml:space="preserve"> </w:t>
      </w:r>
      <w:r>
        <w:t xml:space="preserve">Type</w:t>
      </w:r>
      <w:r>
        <w:t xml:space="preserve"> </w:t>
      </w:r>
      <w:r>
        <w:t xml:space="preserve">2</w:t>
      </w:r>
      <w:r>
        <w:t xml:space="preserve"> </w:t>
      </w:r>
      <w:r>
        <w:t xml:space="preserve">Diabetes</w:t>
      </w:r>
      <w:r>
        <w:t xml:space="preserve">. New England Journal of Medicine [Internet] 2017 [cited 2026 July 13];376(15):1407–18. Available from:</w:t>
      </w:r>
      <w:r>
        <w:t xml:space="preserve"> </w:t>
      </w:r>
      <w:hyperlink r:id="rId93">
        <w:r>
          <w:rPr>
            <w:rStyle w:val="Hyperlink"/>
          </w:rPr>
          <w:t xml:space="preserve">https://www.nejm.org/doi/full/10.1056/NEJMoa1608664</w:t>
        </w:r>
      </w:hyperlink>
    </w:p>
    <w:bookmarkEnd w:id="94"/>
    <w:bookmarkStart w:id="95" w:name="ref-ADA2026_ch10"/>
    <w:p>
      <w:pPr>
        <w:pStyle w:val="Bibliography"/>
      </w:pPr>
      <w:r>
        <w:t xml:space="preserve">18.</w:t>
      </w:r>
      <w:r>
        <w:t xml:space="preserve"> </w:t>
      </w:r>
      <w:r>
        <w:t xml:space="preserve">	</w:t>
      </w:r>
      <w:r>
        <w:t xml:space="preserve">Bajaj M, McCoy RG, Balapattabi K, et al. 10. Cardiovascular disease and risk management: Standards of care in diabetes-2026. Diabetes care 2026;49(Supplement_1):S216–45.</w:t>
      </w:r>
      <w:r>
        <w:t xml:space="preserve"> </w:t>
      </w:r>
    </w:p>
    <w:bookmarkEnd w:id="95"/>
    <w:bookmarkStart w:id="96" w:name="ref-Pennells2023_score2dm"/>
    <w:p>
      <w:pPr>
        <w:pStyle w:val="Bibliography"/>
      </w:pPr>
      <w:r>
        <w:t xml:space="preserve">19.</w:t>
      </w:r>
      <w:r>
        <w:t xml:space="preserve"> </w:t>
      </w:r>
      <w:r>
        <w:t xml:space="preserve">	</w:t>
      </w:r>
      <w:r>
        <w:t xml:space="preserve">Pennells L, Kaptoge S, Østergaard HB, et al. SCORE2-diabetes: 10-year cardiovascular risk estimation in type 2 diabetes in europe. European heart journal 2023;44(28):2544–56.</w:t>
      </w:r>
      <w:r>
        <w:t xml:space="preserve"> </w:t>
      </w:r>
    </w:p>
    <w:bookmarkEnd w:id="96"/>
    <w:bookmarkStart w:id="98" w:name="ref-Framingham2007"/>
    <w:p>
      <w:pPr>
        <w:pStyle w:val="Bibliography"/>
      </w:pPr>
      <w:r>
        <w:t xml:space="preserve">20.</w:t>
      </w:r>
      <w:r>
        <w:t xml:space="preserve"> </w:t>
      </w:r>
      <w:r>
        <w:t xml:space="preserve">	</w:t>
      </w:r>
      <w:r>
        <w:t xml:space="preserve">Hemann BA, Bimson WF, Taylor AJ. The framingham risk score: An appraisal of its benefits and limitations. American Heart Hospital Journal [Internet] 2007;5(2):91–6. Available from:</w:t>
      </w:r>
      <w:r>
        <w:t xml:space="preserve"> </w:t>
      </w:r>
      <w:hyperlink r:id="rId97">
        <w:r>
          <w:rPr>
            <w:rStyle w:val="Hyperlink"/>
          </w:rPr>
          <w:t xml:space="preserve">https://onlinelibrary.wiley.com/doi/abs/10.1111/j.1541-9215.2007.06350.x</w:t>
        </w:r>
      </w:hyperlink>
    </w:p>
    <w:bookmarkEnd w:id="98"/>
    <w:bookmarkStart w:id="100" w:name="ref-QRISK_2007"/>
    <w:p>
      <w:pPr>
        <w:pStyle w:val="Bibliography"/>
      </w:pPr>
      <w:r>
        <w:t xml:space="preserve">21.</w:t>
      </w:r>
      <w:r>
        <w:t xml:space="preserve"> </w:t>
      </w:r>
      <w:r>
        <w:t xml:space="preserve">	</w:t>
      </w:r>
      <w:r>
        <w:t xml:space="preserve">Hippisley-Cox J, Coupland C, Vinogradova Y, Robson J, May M, Brindle P. Derivation and validation of</w:t>
      </w:r>
      <w:r>
        <w:t xml:space="preserve"> </w:t>
      </w:r>
      <w:r>
        <w:t xml:space="preserve">QRISK</w:t>
      </w:r>
      <w:r>
        <w:t xml:space="preserve">, a new cardiovascular disease risk score for the</w:t>
      </w:r>
      <w:r>
        <w:t xml:space="preserve"> </w:t>
      </w:r>
      <w:r>
        <w:t xml:space="preserve">United</w:t>
      </w:r>
      <w:r>
        <w:t xml:space="preserve"> </w:t>
      </w:r>
      <w:r>
        <w:t xml:space="preserve">Kingdom</w:t>
      </w:r>
      <w:r>
        <w:t xml:space="preserve">: Prospective open cohort study. BMJ : British Medical Journal [Internet] 2007 [cited 2026 July 13];335(7611):136. Available from:</w:t>
      </w:r>
      <w:r>
        <w:t xml:space="preserve"> </w:t>
      </w:r>
      <w:hyperlink r:id="rId99">
        <w:r>
          <w:rPr>
            <w:rStyle w:val="Hyperlink"/>
          </w:rPr>
          <w:t xml:space="preserve">https://pmc.ncbi.nlm.nih.gov/articles/PMC1925200/</w:t>
        </w:r>
      </w:hyperlink>
    </w:p>
    <w:bookmarkEnd w:id="100"/>
    <w:bookmarkStart w:id="102" w:name="ref-Segar2019"/>
    <w:p>
      <w:pPr>
        <w:pStyle w:val="Bibliography"/>
      </w:pPr>
      <w:r>
        <w:t xml:space="preserve">22.</w:t>
      </w:r>
      <w:r>
        <w:t xml:space="preserve"> </w:t>
      </w:r>
      <w:r>
        <w:t xml:space="preserve">	</w:t>
      </w:r>
      <w:r>
        <w:t xml:space="preserve">Segar MW, Vaduganathan M, Patel KV, et al. Machine</w:t>
      </w:r>
      <w:r>
        <w:t xml:space="preserve"> </w:t>
      </w:r>
      <w:r>
        <w:t xml:space="preserve">Learning</w:t>
      </w:r>
      <w:r>
        <w:t xml:space="preserve"> </w:t>
      </w:r>
      <w:r>
        <w:t xml:space="preserve">to</w:t>
      </w:r>
      <w:r>
        <w:t xml:space="preserve"> </w:t>
      </w:r>
      <w:r>
        <w:t xml:space="preserve">Predict</w:t>
      </w:r>
      <w:r>
        <w:t xml:space="preserve"> </w:t>
      </w:r>
      <w:r>
        <w:t xml:space="preserve">the</w:t>
      </w:r>
      <w:r>
        <w:t xml:space="preserve"> </w:t>
      </w:r>
      <w:r>
        <w:t xml:space="preserve">Risk</w:t>
      </w:r>
      <w:r>
        <w:t xml:space="preserve"> </w:t>
      </w:r>
      <w:r>
        <w:t xml:space="preserve">of</w:t>
      </w:r>
      <w:r>
        <w:t xml:space="preserve"> </w:t>
      </w:r>
      <w:r>
        <w:t xml:space="preserve">Incident</w:t>
      </w:r>
      <w:r>
        <w:t xml:space="preserve"> </w:t>
      </w:r>
      <w:r>
        <w:t xml:space="preserve">Heart</w:t>
      </w:r>
      <w:r>
        <w:t xml:space="preserve"> </w:t>
      </w:r>
      <w:r>
        <w:t xml:space="preserve">Failure</w:t>
      </w:r>
      <w:r>
        <w:t xml:space="preserve"> </w:t>
      </w:r>
      <w:r>
        <w:t xml:space="preserve">Hospitalization</w:t>
      </w:r>
      <w:r>
        <w:t xml:space="preserve"> </w:t>
      </w:r>
      <w:r>
        <w:t xml:space="preserve">Among</w:t>
      </w:r>
      <w:r>
        <w:t xml:space="preserve"> </w:t>
      </w:r>
      <w:r>
        <w:t xml:space="preserve">Patients</w:t>
      </w:r>
      <w:r>
        <w:t xml:space="preserve"> </w:t>
      </w:r>
      <w:r>
        <w:t xml:space="preserve">With</w:t>
      </w:r>
      <w:r>
        <w:t xml:space="preserve"> </w:t>
      </w:r>
      <w:r>
        <w:t xml:space="preserve">Diabetes</w:t>
      </w:r>
      <w:r>
        <w:t xml:space="preserve">:</w:t>
      </w:r>
      <w:r>
        <w:t xml:space="preserve"> </w:t>
      </w:r>
      <w:r>
        <w:t xml:space="preserve">The</w:t>
      </w:r>
      <w:r>
        <w:t xml:space="preserve"> </w:t>
      </w:r>
      <w:r>
        <w:t xml:space="preserve">WATCH</w:t>
      </w:r>
      <w:r>
        <w:t xml:space="preserve">-</w:t>
      </w:r>
      <w:r>
        <w:t xml:space="preserve">DM</w:t>
      </w:r>
      <w:r>
        <w:t xml:space="preserve"> </w:t>
      </w:r>
      <w:r>
        <w:t xml:space="preserve">Risk</w:t>
      </w:r>
      <w:r>
        <w:t xml:space="preserve"> </w:t>
      </w:r>
      <w:r>
        <w:t xml:space="preserve">Score</w:t>
      </w:r>
      <w:r>
        <w:t xml:space="preserve">. Diabetes Care [Internet] 2019 [cited 2026 July 13];42(12):2298–306. Available from:</w:t>
      </w:r>
      <w:r>
        <w:t xml:space="preserve"> </w:t>
      </w:r>
      <w:hyperlink r:id="rId101">
        <w:r>
          <w:rPr>
            <w:rStyle w:val="Hyperlink"/>
          </w:rPr>
          <w:t xml:space="preserve">https://doi.org/10.2337/dc19-0587</w:t>
        </w:r>
      </w:hyperlink>
    </w:p>
    <w:bookmarkEnd w:id="102"/>
    <w:bookmarkStart w:id="104" w:name="ref-Donald2010"/>
    <w:p>
      <w:pPr>
        <w:pStyle w:val="Bibliography"/>
      </w:pPr>
      <w:r>
        <w:t xml:space="preserve">23.</w:t>
      </w:r>
      <w:r>
        <w:t xml:space="preserve"> </w:t>
      </w:r>
      <w:r>
        <w:t xml:space="preserve">	</w:t>
      </w:r>
      <w:r>
        <w:t xml:space="preserve">Lloyd-Jones DM. Cardiovascular risk prediction. Circulation [Internet] 2010;121(15):1768–77. Available from:</w:t>
      </w:r>
      <w:r>
        <w:t xml:space="preserve"> </w:t>
      </w:r>
      <w:hyperlink r:id="rId103">
        <w:r>
          <w:rPr>
            <w:rStyle w:val="Hyperlink"/>
          </w:rPr>
          <w:t xml:space="preserve">https://www.ahajournals.org/doi/abs/10.1161/CIRCULATIONAHA.109.849166</w:t>
        </w:r>
      </w:hyperlink>
    </w:p>
    <w:bookmarkEnd w:id="104"/>
    <w:bookmarkStart w:id="105" w:name="ref-Hsiao2025"/>
    <w:p>
      <w:pPr>
        <w:pStyle w:val="Bibliography"/>
      </w:pPr>
      <w:r>
        <w:t xml:space="preserve">24.</w:t>
      </w:r>
      <w:r>
        <w:t xml:space="preserve"> </w:t>
      </w:r>
      <w:r>
        <w:t xml:space="preserve">	</w:t>
      </w:r>
      <w:r>
        <w:t xml:space="preserve">Hsiao F-C, Lin C-P, Hsu T-J, et al. Glycohemoglobin variations and long-term risk of incident heart failure in patients with type 2 diabetes. Mayo Clinic proceedings 2025;100(8):1332–44.</w:t>
      </w:r>
      <w:r>
        <w:t xml:space="preserve"> </w:t>
      </w:r>
    </w:p>
    <w:bookmarkEnd w:id="105"/>
    <w:bookmarkStart w:id="106" w:name="ref-Belli2023"/>
    <w:p>
      <w:pPr>
        <w:pStyle w:val="Bibliography"/>
      </w:pPr>
      <w:r>
        <w:t xml:space="preserve">25.</w:t>
      </w:r>
      <w:r>
        <w:t xml:space="preserve"> </w:t>
      </w:r>
      <w:r>
        <w:t xml:space="preserve">	</w:t>
      </w:r>
      <w:r>
        <w:t xml:space="preserve">Belli M, Bellia A, Sergi D, Barone L, Lauro D, Barillà F. Glucose variability: A new risk factor for cardiovascular disease. Acta diabetologica 2023;60(10):1291–9.</w:t>
      </w:r>
      <w:r>
        <w:t xml:space="preserve"> </w:t>
      </w:r>
    </w:p>
    <w:bookmarkEnd w:id="106"/>
    <w:bookmarkStart w:id="107" w:name="ref-Yapanis2022"/>
    <w:p>
      <w:pPr>
        <w:pStyle w:val="Bibliography"/>
      </w:pPr>
      <w:r>
        <w:t xml:space="preserve">26.</w:t>
      </w:r>
      <w:r>
        <w:t xml:space="preserve"> </w:t>
      </w:r>
      <w:r>
        <w:t xml:space="preserve">	</w:t>
      </w:r>
      <w:r>
        <w:t xml:space="preserve">Yapanis M, James S, Craig ME, O’Neal D, Ekinci EI. Complications of diabetes and metrics of glycemic management derived from continuous glucose monitoring. The journal of clinical endocrinology and metabolism 2022;107(6):e2221–36.</w:t>
      </w:r>
      <w:r>
        <w:t xml:space="preserve"> </w:t>
      </w:r>
    </w:p>
    <w:bookmarkEnd w:id="107"/>
    <w:bookmarkStart w:id="109" w:name="ref-Thomsen2026"/>
    <w:p>
      <w:pPr>
        <w:pStyle w:val="Bibliography"/>
      </w:pPr>
      <w:r>
        <w:t xml:space="preserve">27.</w:t>
      </w:r>
      <w:r>
        <w:t xml:space="preserve"> </w:t>
      </w:r>
      <w:r>
        <w:t xml:space="preserve">	</w:t>
      </w:r>
      <w:r>
        <w:t xml:space="preserve">Thomsen HB, Lebiecka-Johansen B, Nørgaard O, et al. Continuous glucose monitoring–derived metrics and cardiovascular risk among people with diabetes: Systematic scoping review. JMIR Diabetes [Internet] 2026;11:e89374. Available from:</w:t>
      </w:r>
      <w:r>
        <w:t xml:space="preserve"> </w:t>
      </w:r>
      <w:hyperlink r:id="rId108">
        <w:r>
          <w:rPr>
            <w:rStyle w:val="Hyperlink"/>
          </w:rPr>
          <w:t xml:space="preserve">https://doi.org/10.2196/89374</w:t>
        </w:r>
      </w:hyperlink>
    </w:p>
    <w:bookmarkEnd w:id="109"/>
    <w:bookmarkStart w:id="110" w:name="ref-Zhang2024"/>
    <w:p>
      <w:pPr>
        <w:pStyle w:val="Bibliography"/>
      </w:pPr>
      <w:r>
        <w:t xml:space="preserve">28.</w:t>
      </w:r>
      <w:r>
        <w:t xml:space="preserve"> </w:t>
      </w:r>
      <w:r>
        <w:t xml:space="preserve">	</w:t>
      </w:r>
      <w:r>
        <w:t xml:space="preserve">Zhang L, Sun X-X, Tian Q. Research progress on the association between glycemic variability index derived from CGM and cardiovascular disease complications. Acta diabetologica 2024;61(6):679–92.</w:t>
      </w:r>
      <w:r>
        <w:t xml:space="preserve"> </w:t>
      </w:r>
    </w:p>
    <w:bookmarkEnd w:id="110"/>
    <w:bookmarkStart w:id="111" w:name="ref-Su2011"/>
    <w:p>
      <w:pPr>
        <w:pStyle w:val="Bibliography"/>
      </w:pPr>
      <w:r>
        <w:t xml:space="preserve">29.</w:t>
      </w:r>
      <w:r>
        <w:t xml:space="preserve"> </w:t>
      </w:r>
      <w:r>
        <w:t xml:space="preserve">	</w:t>
      </w:r>
      <w:r>
        <w:t xml:space="preserve">Su G, Mi S, Tao H, et al. Association of glycemic variability and the presence and severity of coronary artery disease in patients with type 2 diabetes. Cardiovascular diabetology 2011;10(1):19–9.</w:t>
      </w:r>
      <w:r>
        <w:t xml:space="preserve"> </w:t>
      </w:r>
    </w:p>
    <w:bookmarkEnd w:id="111"/>
    <w:bookmarkStart w:id="113" w:name="ref-Hoek2024"/>
    <w:p>
      <w:pPr>
        <w:pStyle w:val="Bibliography"/>
      </w:pPr>
      <w:r>
        <w:t xml:space="preserve">30.</w:t>
      </w:r>
      <w:r>
        <w:t xml:space="preserve"> </w:t>
      </w:r>
      <w:r>
        <w:t xml:space="preserve">	</w:t>
      </w:r>
      <w:r>
        <w:t xml:space="preserve">Hoek AG, Dal Canto E, Wenker E, et al. Epidemiology of heart failure in diabetes: A disease in disguise. Diabetologia [Internet] 2024 [cited 2026 July 13];67(4):574–601. Available from:</w:t>
      </w:r>
      <w:r>
        <w:t xml:space="preserve"> </w:t>
      </w:r>
      <w:hyperlink r:id="rId112">
        <w:r>
          <w:rPr>
            <w:rStyle w:val="Hyperlink"/>
          </w:rPr>
          <w:t xml:space="preserve">https://doi.org/10.1007/s00125-023-06068-2</w:t>
        </w:r>
      </w:hyperlink>
    </w:p>
    <w:bookmarkEnd w:id="113"/>
    <w:bookmarkStart w:id="115" w:name="ref-mcdonagh2021"/>
    <w:p>
      <w:pPr>
        <w:pStyle w:val="Bibliography"/>
      </w:pPr>
      <w:r>
        <w:t xml:space="preserve">31.</w:t>
      </w:r>
      <w:r>
        <w:t xml:space="preserve"> </w:t>
      </w:r>
      <w:r>
        <w:t xml:space="preserve">	</w:t>
      </w:r>
      <w:r>
        <w:t xml:space="preserve">McDonagh TA, Metra M, Adamo M, et al. 2021</w:t>
      </w:r>
      <w:r>
        <w:t xml:space="preserve"> </w:t>
      </w:r>
      <w:r>
        <w:t xml:space="preserve">ESC</w:t>
      </w:r>
      <w:r>
        <w:t xml:space="preserve"> </w:t>
      </w:r>
      <w:r>
        <w:t xml:space="preserve">Guidelines</w:t>
      </w:r>
      <w:r>
        <w:t xml:space="preserve"> </w:t>
      </w:r>
      <w:r>
        <w:t xml:space="preserve">for the diagnosis and treatment of acute and chronic heart failure:</w:t>
      </w:r>
      <w:r>
        <w:t xml:space="preserve"> </w:t>
      </w:r>
      <w:r>
        <w:t xml:space="preserve">Developed</w:t>
      </w:r>
      <w:r>
        <w:t xml:space="preserve"> </w:t>
      </w:r>
      <w:r>
        <w:t xml:space="preserve">by the</w:t>
      </w:r>
      <w:r>
        <w:t xml:space="preserve"> </w:t>
      </w:r>
      <w:r>
        <w:t xml:space="preserve">Task</w:t>
      </w:r>
      <w:r>
        <w:t xml:space="preserve"> </w:t>
      </w:r>
      <w:r>
        <w:t xml:space="preserve">Force</w:t>
      </w:r>
      <w:r>
        <w:t xml:space="preserve"> </w:t>
      </w:r>
      <w:r>
        <w:t xml:space="preserve">for the diagnosis and treatment of acute and chronic heart failure of the</w:t>
      </w:r>
      <w:r>
        <w:t xml:space="preserve"> </w:t>
      </w:r>
      <w:r>
        <w:t xml:space="preserve">European</w:t>
      </w:r>
      <w:r>
        <w:t xml:space="preserve"> </w:t>
      </w:r>
      <w:r>
        <w:t xml:space="preserve">Society</w:t>
      </w:r>
      <w:r>
        <w:t xml:space="preserve"> </w:t>
      </w:r>
      <w:r>
        <w:t xml:space="preserve">of</w:t>
      </w:r>
      <w:r>
        <w:t xml:space="preserve"> </w:t>
      </w:r>
      <w:r>
        <w:t xml:space="preserve">Cardiology</w:t>
      </w:r>
      <w:r>
        <w:t xml:space="preserve"> </w:t>
      </w:r>
      <w:r>
        <w:t xml:space="preserve">(</w:t>
      </w:r>
      <w:r>
        <w:t xml:space="preserve">ESC</w:t>
      </w:r>
      <w:r>
        <w:t xml:space="preserve">)</w:t>
      </w:r>
      <w:r>
        <w:t xml:space="preserve"> </w:t>
      </w:r>
      <w:r>
        <w:t xml:space="preserve">With</w:t>
      </w:r>
      <w:r>
        <w:t xml:space="preserve"> </w:t>
      </w:r>
      <w:r>
        <w:t xml:space="preserve">the special contribution of the</w:t>
      </w:r>
      <w:r>
        <w:t xml:space="preserve"> </w:t>
      </w:r>
      <w:r>
        <w:t xml:space="preserve">Heart</w:t>
      </w:r>
      <w:r>
        <w:t xml:space="preserve"> </w:t>
      </w:r>
      <w:r>
        <w:t xml:space="preserve">Failure</w:t>
      </w:r>
      <w:r>
        <w:t xml:space="preserve"> </w:t>
      </w:r>
      <w:r>
        <w:t xml:space="preserve">Association</w:t>
      </w:r>
      <w:r>
        <w:t xml:space="preserve"> </w:t>
      </w:r>
      <w:r>
        <w:t xml:space="preserve">(</w:t>
      </w:r>
      <w:r>
        <w:t xml:space="preserve">HFA</w:t>
      </w:r>
      <w:r>
        <w:t xml:space="preserve">) of the</w:t>
      </w:r>
      <w:r>
        <w:t xml:space="preserve"> </w:t>
      </w:r>
      <w:r>
        <w:t xml:space="preserve">ESC</w:t>
      </w:r>
      <w:r>
        <w:t xml:space="preserve">. European Heart Journal [Internet] 2021 [cited 2026 July 13];42(36):3599–726. Available from:</w:t>
      </w:r>
      <w:r>
        <w:t xml:space="preserve"> </w:t>
      </w:r>
      <w:hyperlink r:id="rId114">
        <w:r>
          <w:rPr>
            <w:rStyle w:val="Hyperlink"/>
          </w:rPr>
          <w:t xml:space="preserve">https://doi.org/10.1093/eurheartj/ehab368</w:t>
        </w:r>
      </w:hyperlink>
    </w:p>
    <w:bookmarkEnd w:id="115"/>
    <w:bookmarkStart w:id="116" w:name="ref-YurunLu2025"/>
    <w:p>
      <w:pPr>
        <w:pStyle w:val="Bibliography"/>
      </w:pPr>
      <w:r>
        <w:t xml:space="preserve">32.</w:t>
      </w:r>
      <w:r>
        <w:t xml:space="preserve"> </w:t>
      </w:r>
      <w:r>
        <w:t xml:space="preserve">	</w:t>
      </w:r>
      <w:r>
        <w:t xml:space="preserve">Lu Y, Liu D, Liang Z, et al. A pretrained transformer model for decoding individual glucose dynamics from continuous glucose monitoring data. National science review 2025;12(5):nwaf039–.</w:t>
      </w:r>
      <w:r>
        <w:t xml:space="preserve"> </w:t>
      </w:r>
    </w:p>
    <w:bookmarkEnd w:id="116"/>
    <w:bookmarkEnd w:id="117"/>
    <w:bookmarkEnd w:id="118"/>
    <w:bookmarkStart w:id="121" w:name="sec-suppl-search-strings"/>
    <w:p>
      <w:pPr>
        <w:pStyle w:val="Heading1"/>
      </w:pPr>
      <w:r>
        <w:t xml:space="preserve">Appendix A — Study I: Search strings</w:t>
      </w:r>
    </w:p>
    <w:tbl>
      <w:tblPr>
        <w:tblStyle w:val="Table"/>
        <w:tblW w:type="pct" w:w="5000"/>
        <w:tblLayout w:type="fixed"/>
        <w:tblLook w:firstRow="0" w:lastRow="0" w:firstColumn="0" w:lastColumn="0" w:noHBand="0" w:noVBand="0" w:val="0000"/>
      </w:tblPr>
      <w:tblGrid>
        <w:gridCol w:w="7920"/>
      </w:tblGrid>
      <w:tr>
        <w:tc>
          <w:tcPr/>
          <w:bookmarkStart w:id="119" w:name="tbl-suppl-search-strings-medline"/>
          <w:p>
            <w:pPr>
              <w:jc w:val="center"/>
            </w:pPr>
            <w:pPr>
              <w:jc w:val="left"/>
              <w:spacing w:before="200"/>
              <w:pStyle w:val="ImageCaption"/>
            </w:pPr>
            <w:r>
              <w:t xml:space="preserve">Table A.1: Search in Ovid MEDLINE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Self-Monitoring/</w:t>
                  </w:r>
                </w:p>
              </w:tc>
              <w:tc>
                <w:tcPr/>
                <w:p>
                  <w:pPr>
                    <w:pStyle w:val="Compact"/>
                    <w:jc w:val="right"/>
                    <w:jc w:val="center"/>
                  </w:pPr>
                  <w:r>
                    <w:t xml:space="preserve">10241</w:t>
                  </w:r>
                </w:p>
              </w:tc>
            </w:tr>
            <w:tr>
              <w:tc>
                <w:tcPr/>
                <w:p>
                  <w:pPr>
                    <w:pStyle w:val="Compact"/>
                    <w:jc w:val="left"/>
                    <w:jc w:val="center"/>
                  </w:pPr>
                  <w:r>
                    <w:t xml:space="preserve">2</w:t>
                  </w:r>
                </w:p>
              </w:tc>
              <w:tc>
                <w:tcPr/>
                <w:p>
                  <w:pPr>
                    <w:pStyle w:val="Compact"/>
                    <w:jc w:val="left"/>
                    <w:jc w:val="center"/>
                  </w:pPr>
                  <w:r>
                    <w:t xml:space="preserve">Continuous Glucose Monitoring/</w:t>
                  </w:r>
                </w:p>
              </w:tc>
              <w:tc>
                <w:tcPr/>
                <w:p>
                  <w:pPr>
                    <w:pStyle w:val="Compact"/>
                    <w:jc w:val="right"/>
                    <w:jc w:val="center"/>
                  </w:pPr>
                  <w:r>
                    <w:t xml:space="preserve">34</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28749</m:t>
                    </m:r>
                    <m:r>
                      <m:rPr>
                        <m:sty m:val="p"/>
                      </m:rPr>
                      <m:t>|</m:t>
                    </m:r>
                    <m:r>
                      <m:rPr>
                        <m:sty m:val="p"/>
                      </m:rPr>
                      <m:t>|</m:t>
                    </m:r>
                    <m:r>
                      <m:t>4</m:t>
                    </m:r>
                    <m:r>
                      <m:rPr>
                        <m:sty m:val="p"/>
                      </m:rPr>
                      <m:t>|</m:t>
                    </m:r>
                    <m:r>
                      <m:rPr>
                        <m:sty m:val="p"/>
                      </m:rPr>
                      <m:t>(</m:t>
                    </m:r>
                    <m:r>
                      <m:t>B</m:t>
                    </m:r>
                    <m:r>
                      <m:t>l</m:t>
                    </m:r>
                    <m:r>
                      <m:t>o</m:t>
                    </m:r>
                    <m:r>
                      <m:t>o</m:t>
                    </m:r>
                    <m:r>
                      <m:t>d</m:t>
                    </m:r>
                    <m:r>
                      <m:t>G</m:t>
                    </m:r>
                    <m:r>
                      <m:t>l</m:t>
                    </m:r>
                    <m:r>
                      <m:t>u</m:t>
                    </m:r>
                    <m:r>
                      <m:t>c</m:t>
                    </m:r>
                    <m:r>
                      <m:t>o</m:t>
                    </m:r>
                    <m:r>
                      <m:t>s</m:t>
                    </m:r>
                    <m:r>
                      <m:t>e</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8669</m:t>
                    </m:r>
                    <m:r>
                      <m:rPr>
                        <m:sty m:val="p"/>
                      </m:rPr>
                      <m:t>|</m:t>
                    </m:r>
                    <m:r>
                      <m:rPr>
                        <m:sty m:val="p"/>
                      </m:rPr>
                      <m:t>|</m:t>
                    </m:r>
                    <m:r>
                      <m:t>5</m:t>
                    </m:r>
                    <m:r>
                      <m:rPr>
                        <m:sty m:val="p"/>
                      </m:rPr>
                      <m:t>|</m:t>
                    </m:r>
                    <m:r>
                      <m:t>o</m:t>
                    </m:r>
                    <m:r>
                      <m:t>r</m:t>
                    </m:r>
                    <m:r>
                      <m:rPr>
                        <m:sty m:val="p"/>
                      </m:rPr>
                      <m:t>/</m:t>
                    </m:r>
                    <m:r>
                      <m:t>1</m:t>
                    </m:r>
                    <m:r>
                      <m:rPr>
                        <m:sty m:val="p"/>
                      </m:rPr>
                      <m:t>−</m:t>
                    </m:r>
                    <m:r>
                      <m:t>4</m:t>
                    </m:r>
                    <m:r>
                      <m:rPr>
                        <m:sty m:val="p"/>
                      </m:rPr>
                      <m:t>|</m:t>
                    </m:r>
                    <m:r>
                      <m:t>38366</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t>s</m:t>
                    </m:r>
                    <m:r>
                      <m:rPr>
                        <m:sty m:val="p"/>
                      </m:rPr>
                      <m:t>/</m:t>
                    </m:r>
                    <m:r>
                      <m:rPr>
                        <m:sty m:val="p"/>
                      </m:rPr>
                      <m:t>|</m:t>
                    </m:r>
                    <m:r>
                      <m:t>2760764</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2182473</m:t>
                    </m:r>
                    <m:r>
                      <m:rPr>
                        <m:sty m:val="p"/>
                      </m:rPr>
                      <m:t>|</m:t>
                    </m:r>
                    <m:r>
                      <m:rPr>
                        <m:sty m:val="p"/>
                      </m:rPr>
                      <m:t>|</m:t>
                    </m:r>
                    <m:r>
                      <m:t>8</m:t>
                    </m:r>
                    <m:r>
                      <m:rPr>
                        <m:sty m:val="p"/>
                      </m:rPr>
                      <m:t>|</m:t>
                    </m:r>
                    <m:r>
                      <m:t>o</m:t>
                    </m:r>
                    <m:r>
                      <m:t>r</m:t>
                    </m:r>
                    <m:r>
                      <m:rPr>
                        <m:sty m:val="p"/>
                      </m:rPr>
                      <m:t>/</m:t>
                    </m:r>
                    <m:r>
                      <m:t>6</m:t>
                    </m:r>
                    <m:r>
                      <m:rPr>
                        <m:sty m:val="p"/>
                      </m:rPr>
                      <m:t>−</m:t>
                    </m:r>
                    <m:r>
                      <m:t>7</m:t>
                    </m:r>
                    <m:r>
                      <m:rPr>
                        <m:sty m:val="p"/>
                      </m:rPr>
                      <m:t>|</m:t>
                    </m:r>
                    <m:r>
                      <m:t>3971342</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518864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815092</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875527</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2416</w:t>
                  </w:r>
                </w:p>
              </w:tc>
            </w:tr>
            <w:tr>
              <w:tc>
                <w:tcPr/>
                <w:p>
                  <w:pPr>
                    <w:pStyle w:val="Compact"/>
                    <w:jc w:val="left"/>
                    <w:jc w:val="center"/>
                  </w:pPr>
                  <w:r>
                    <w:t xml:space="preserve">13</w:t>
                  </w:r>
                </w:p>
              </w:tc>
              <w:tc>
                <w:tcPr/>
                <w:p>
                  <w:pPr>
                    <w:pStyle w:val="Compact"/>
                    <w:jc w:val="left"/>
                    <w:jc w:val="center"/>
                  </w:pPr>
                  <w:r>
                    <w:t xml:space="preserve">exp Animals/ not Humans/</w:t>
                  </w:r>
                </w:p>
              </w:tc>
              <w:tc>
                <w:tcPr/>
                <w:p>
                  <w:pPr>
                    <w:pStyle w:val="Compact"/>
                    <w:jc w:val="right"/>
                    <w:jc w:val="center"/>
                  </w:pPr>
                  <w:r>
                    <w:t xml:space="preserve">5189493</w:t>
                  </w:r>
                </w:p>
              </w:tc>
            </w:tr>
            <w:tr>
              <w:tc>
                <w:tcPr/>
                <w:p>
                  <w:pPr>
                    <w:pStyle w:val="Compact"/>
                    <w:jc w:val="left"/>
                    <w:jc w:val="center"/>
                  </w:pPr>
                  <w:r>
                    <w:t xml:space="preserve">14</w:t>
                  </w:r>
                </w:p>
              </w:tc>
              <w:tc>
                <w:tcPr/>
                <w:p>
                  <w:pPr>
                    <w:pStyle w:val="Compact"/>
                    <w:jc w:val="left"/>
                    <w:jc w:val="center"/>
                  </w:pPr>
                  <w:r>
                    <w:t xml:space="preserve">12 not 13</w:t>
                  </w:r>
                </w:p>
              </w:tc>
              <w:tc>
                <w:tcPr/>
                <w:p>
                  <w:pPr>
                    <w:pStyle w:val="Compact"/>
                    <w:jc w:val="right"/>
                    <w:jc w:val="center"/>
                  </w:pPr>
                  <w:r>
                    <w:t xml:space="preserve">2300</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15</w:t>
                  </w:r>
                </w:p>
              </w:tc>
              <w:tc>
                <w:tcPr/>
                <w:p>
                  <w:pPr>
                    <w:pStyle w:val="Compact"/>
                    <w:jc w:val="left"/>
                    <w:jc w:val="center"/>
                  </w:pPr>
                  <w:r>
                    <w:t xml:space="preserve">limit 14 to (da=</w:t>
                  </w:r>
                  <w:r>
                    <w:t xml:space="preserve">“20231201-20261231”</w:t>
                  </w:r>
                  <w:r>
                    <w:t xml:space="preserve"> </w:t>
                  </w:r>
                  <w:r>
                    <w:t xml:space="preserve">or dt=</w:t>
                  </w:r>
                  <w:r>
                    <w:t xml:space="preserve">“20231201-20261231”</w:t>
                  </w:r>
                  <w:r>
                    <w:t xml:space="preserve"> </w:t>
                  </w:r>
                  <w:r>
                    <w:t xml:space="preserve">or ez=</w:t>
                  </w:r>
                  <w:r>
                    <w:t xml:space="preserve">“20231201-20261231”</w:t>
                  </w:r>
                  <w:r>
                    <w:t xml:space="preserve"> </w:t>
                  </w:r>
                  <w:r>
                    <w:t xml:space="preserve">or ed=</w:t>
                  </w:r>
                  <w:r>
                    <w:t xml:space="preserve">“20231201-20261231”</w:t>
                  </w:r>
                  <w:r>
                    <w:t xml:space="preserve">)</w:t>
                  </w:r>
                </w:p>
              </w:tc>
              <w:tc>
                <w:tcPr/>
                <w:p>
                  <w:pPr>
                    <w:pStyle w:val="Compact"/>
                    <w:jc w:val="right"/>
                    <w:jc w:val="center"/>
                  </w:pPr>
                  <w:r>
                    <w:t xml:space="preserve">310</w:t>
                  </w:r>
                </w:p>
              </w:tc>
            </w:tr>
            <w:tr>
              <w:tc>
                <w:tcPr/>
                <w:p>
                  <w:pPr>
                    <w:pStyle w:val="Compact"/>
                    <w:jc w:val="left"/>
                    <w:jc w:val="center"/>
                  </w:pPr>
                  <w:r>
                    <w:t xml:space="preserve">16</w:t>
                  </w:r>
                </w:p>
              </w:tc>
              <w:tc>
                <w:tcPr/>
                <w:p>
                  <w:pPr>
                    <w:pStyle w:val="Compact"/>
                    <w:jc w:val="left"/>
                    <w:jc w:val="center"/>
                  </w:pPr>
                  <w:r>
                    <w:t xml:space="preserve">or/14-15</w:t>
                  </w:r>
                </w:p>
              </w:tc>
              <w:tc>
                <w:tcPr/>
                <w:p>
                  <w:pPr>
                    <w:pStyle w:val="Compact"/>
                    <w:jc w:val="right"/>
                    <w:jc w:val="center"/>
                  </w:pPr>
                  <w:r>
                    <w:t xml:space="preserve">2610</w:t>
                  </w:r>
                </w:p>
              </w:tc>
            </w:tr>
          </w:tbl>
          <w:bookmarkEnd w:id="119"/>
          <w:p/>
        </w:tc>
      </w:tr>
    </w:tbl>
    <w:p/>
    <w:tbl>
      <w:tblPr>
        <w:tblStyle w:val="Table"/>
        <w:tblW w:type="pct" w:w="5000"/>
        <w:tblLayout w:type="fixed"/>
        <w:tblLook w:firstRow="0" w:lastRow="0" w:firstColumn="0" w:lastColumn="0" w:noHBand="0" w:noVBand="0" w:val="0000"/>
      </w:tblPr>
      <w:tblGrid>
        <w:gridCol w:w="7920"/>
      </w:tblGrid>
      <w:tr>
        <w:tc>
          <w:tcPr/>
          <w:bookmarkStart w:id="120" w:name="tbl-suppl-search-strings-embase"/>
          <w:p>
            <w:pPr>
              <w:jc w:val="center"/>
            </w:pPr>
            <w:pPr>
              <w:jc w:val="left"/>
              <w:spacing w:before="200"/>
              <w:pStyle w:val="ImageCaption"/>
            </w:pPr>
            <w:r>
              <w:t xml:space="preserve">Table A.2: Search in Embase (Ovid) (Search date: 22 January 2024)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w:t>
                  </w:r>
                </w:p>
              </w:tc>
              <w:tc>
                <w:tcPr/>
                <w:p>
                  <w:pPr>
                    <w:pStyle w:val="Compact"/>
                    <w:jc w:val="left"/>
                    <w:jc w:val="center"/>
                  </w:pPr>
                  <w:r>
                    <w:t xml:space="preserve">Searches</w:t>
                  </w:r>
                </w:p>
              </w:tc>
              <w:tc>
                <w:tcPr/>
                <w:p>
                  <w:pPr>
                    <w:pStyle w:val="Compact"/>
                    <w:jc w:val="right"/>
                    <w:jc w:val="center"/>
                  </w:pPr>
                  <w:r>
                    <w:t xml:space="preserve">Results</w:t>
                  </w:r>
                </w:p>
              </w:tc>
            </w:tr>
            <w:tr>
              <w:tc>
                <w:tcPr/>
                <w:p>
                  <w:pPr>
                    <w:pStyle w:val="Compact"/>
                    <w:jc w:val="left"/>
                    <w:jc w:val="center"/>
                  </w:pPr>
                  <w:r>
                    <w:t xml:space="preserve">1</w:t>
                  </w:r>
                </w:p>
              </w:tc>
              <w:tc>
                <w:tcPr/>
                <w:p>
                  <w:pPr>
                    <w:pStyle w:val="Compact"/>
                    <w:jc w:val="left"/>
                    <w:jc w:val="center"/>
                  </w:pPr>
                  <w:r>
                    <w:t xml:space="preserve">blood glucose monitoring/</w:t>
                  </w:r>
                </w:p>
              </w:tc>
              <w:tc>
                <w:tcPr/>
                <w:p>
                  <w:pPr>
                    <w:pStyle w:val="Compact"/>
                    <w:jc w:val="right"/>
                    <w:jc w:val="center"/>
                  </w:pPr>
                  <w:r>
                    <w:t xml:space="preserve">37574</w:t>
                  </w:r>
                </w:p>
              </w:tc>
            </w:tr>
            <w:tr>
              <w:tc>
                <w:tcPr/>
                <w:p>
                  <w:pPr>
                    <w:pStyle w:val="Compact"/>
                    <w:jc w:val="left"/>
                    <w:jc w:val="center"/>
                  </w:pPr>
                  <w:r>
                    <w:t xml:space="preserve">2</w:t>
                  </w:r>
                </w:p>
              </w:tc>
              <w:tc>
                <w:tcPr/>
                <w:p>
                  <w:pPr>
                    <w:pStyle w:val="Compact"/>
                    <w:jc w:val="left"/>
                    <w:jc w:val="center"/>
                  </w:pPr>
                  <w:r>
                    <w:t xml:space="preserve">exp continuous glucose monitoring system/</w:t>
                  </w:r>
                </w:p>
              </w:tc>
              <w:tc>
                <w:tcPr/>
                <w:p>
                  <w:pPr>
                    <w:pStyle w:val="Compact"/>
                    <w:jc w:val="right"/>
                    <w:jc w:val="center"/>
                  </w:pPr>
                  <w:r>
                    <w:t xml:space="preserve">5648</w:t>
                  </w:r>
                </w:p>
              </w:tc>
            </w:tr>
            <w:tr>
              <w:tc>
                <w:tcPr/>
                <w:p>
                  <w:pPr>
                    <w:pStyle w:val="Compact"/>
                    <w:jc w:val="left"/>
                    <w:jc w:val="center"/>
                  </w:pPr>
                  <w:r>
                    <w:t xml:space="preserve">3</w:t>
                  </w:r>
                </w:p>
              </w:tc>
              <w:tc>
                <w:tcPr/>
                <w:p>
                  <w:pPr>
                    <w:pStyle w:val="Compact"/>
                    <w:jc w:val="left"/>
                    <w:jc w:val="center"/>
                  </w:pPr>
                  <w:r>
                    <w:t xml:space="preserve">(((blood-glucose or bloodglucose or glucose) adj2 (monitor$ or selfmonitor</w:t>
                  </w:r>
                  <m:oMath>
                    <m:r>
                      <m:rPr>
                        <m:sty m:val="p"/>
                      </m:rPr>
                      <m:t>)</m:t>
                    </m:r>
                    <m:r>
                      <m:rPr>
                        <m:sty m:val="p"/>
                      </m:rPr>
                      <m:t>)</m:t>
                    </m:r>
                    <m:r>
                      <m:t>o</m:t>
                    </m:r>
                    <m:r>
                      <m:t>r</m:t>
                    </m:r>
                    <m:r>
                      <m:t>c</m:t>
                    </m:r>
                    <m:r>
                      <m:t>g</m:t>
                    </m:r>
                    <m:r>
                      <m:t>m</m:t>
                    </m:r>
                    <m:r>
                      <m:t>o</m:t>
                    </m:r>
                    <m:r>
                      <m:t>r</m:t>
                    </m:r>
                    <m:r>
                      <m:t>b</m:t>
                    </m:r>
                    <m:r>
                      <m:t>g</m:t>
                    </m:r>
                    <m:r>
                      <m:t>m</m:t>
                    </m:r>
                    <m:r>
                      <m:t>o</m:t>
                    </m:r>
                    <m:r>
                      <m:t>r</m:t>
                    </m:r>
                    <m:r>
                      <m:t>i</m:t>
                    </m:r>
                    <m:r>
                      <m:t>s</m:t>
                    </m:r>
                    <m:r>
                      <m:t>c</m:t>
                    </m:r>
                    <m:r>
                      <m:t>g</m:t>
                    </m:r>
                    <m:r>
                      <m:t>m</m:t>
                    </m:r>
                    <m:r>
                      <m:t>o</m:t>
                    </m:r>
                    <m:r>
                      <m:t>r</m:t>
                    </m:r>
                    <m:r>
                      <m:t>r</m:t>
                    </m:r>
                    <m:r>
                      <m:t>t</m:t>
                    </m:r>
                    <m:r>
                      <m:t>c</m:t>
                    </m:r>
                    <m:r>
                      <m:t>g</m:t>
                    </m:r>
                    <m:r>
                      <m:t>m</m:t>
                    </m:r>
                    <m:r>
                      <m:t>o</m:t>
                    </m:r>
                    <m:r>
                      <m:t>r</m:t>
                    </m:r>
                    <m:r>
                      <m:rPr>
                        <m:sty m:val="p"/>
                      </m:rPr>
                      <m:t>(</m:t>
                    </m:r>
                    <m:r>
                      <m:t>t</m:t>
                    </m:r>
                    <m:r>
                      <m:t>i</m:t>
                    </m:r>
                    <m:r>
                      <m:t>m</m:t>
                    </m:r>
                    <m:r>
                      <m:t>e</m:t>
                    </m:r>
                    <m:r>
                      <m:t>a</m:t>
                    </m:r>
                    <m:r>
                      <m:t>d</m:t>
                    </m:r>
                    <m:r>
                      <m:t>j</m:t>
                    </m:r>
                    <m:r>
                      <m:t>3</m:t>
                    </m:r>
                    <m:r>
                      <m:t>r</m:t>
                    </m:r>
                    <m:r>
                      <m:t>a</m:t>
                    </m:r>
                    <m:r>
                      <m:t>n</m:t>
                    </m:r>
                    <m:r>
                      <m:t>g</m:t>
                    </m:r>
                    <m:r>
                      <m:t>e</m:t>
                    </m:r>
                    <m:r>
                      <m:rPr>
                        <m:sty m:val="p"/>
                      </m:rPr>
                      <m:t>)</m:t>
                    </m:r>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48502</m:t>
                    </m:r>
                    <m:r>
                      <m:rPr>
                        <m:sty m:val="p"/>
                      </m:rPr>
                      <m:t>|</m:t>
                    </m:r>
                    <m:r>
                      <m:rPr>
                        <m:sty m:val="p"/>
                      </m:rPr>
                      <m:t>|</m:t>
                    </m:r>
                    <m:r>
                      <m:t>4</m:t>
                    </m:r>
                    <m:r>
                      <m:rPr>
                        <m:sty m:val="p"/>
                      </m:rPr>
                      <m:t>|</m:t>
                    </m:r>
                    <m:r>
                      <m:rPr>
                        <m:sty m:val="p"/>
                      </m:rPr>
                      <m:t>(</m:t>
                    </m:r>
                    <m:r>
                      <m:t>e</m:t>
                    </m:r>
                    <m:r>
                      <m:t>x</m:t>
                    </m:r>
                    <m:r>
                      <m:t>p</m:t>
                    </m:r>
                    <m:r>
                      <m:t>g</m:t>
                    </m:r>
                    <m:r>
                      <m:t>l</m:t>
                    </m:r>
                    <m:r>
                      <m:t>u</m:t>
                    </m:r>
                    <m:r>
                      <m:t>c</m:t>
                    </m:r>
                    <m:r>
                      <m:t>o</m:t>
                    </m:r>
                    <m:r>
                      <m:t>s</m:t>
                    </m:r>
                    <m:r>
                      <m:t>e</m:t>
                    </m:r>
                    <m:r>
                      <m:t>b</m:t>
                    </m:r>
                    <m:r>
                      <m:t>l</m:t>
                    </m:r>
                    <m:r>
                      <m:t>o</m:t>
                    </m:r>
                    <m:r>
                      <m:t>o</m:t>
                    </m:r>
                    <m:r>
                      <m:t>d</m:t>
                    </m:r>
                    <m:r>
                      <m:t>l</m:t>
                    </m:r>
                    <m:r>
                      <m:t>e</m:t>
                    </m:r>
                    <m:r>
                      <m:t>v</m:t>
                    </m:r>
                    <m:r>
                      <m:t>e</m:t>
                    </m:r>
                    <m:r>
                      <m:t>l</m:t>
                    </m:r>
                    <m:r>
                      <m:rPr>
                        <m:sty m:val="p"/>
                      </m:rPr>
                      <m:t>/</m:t>
                    </m:r>
                    <m:r>
                      <m:t>o</m:t>
                    </m:r>
                    <m:r>
                      <m:t>r</m:t>
                    </m:r>
                    <m:r>
                      <m:t>g</m:t>
                    </m:r>
                    <m:r>
                      <m:t>l</m:t>
                    </m:r>
                    <m:r>
                      <m:t>y</m:t>
                    </m:r>
                    <m:r>
                      <m:t>c</m:t>
                    </m:r>
                    <m:r>
                      <m:t>e</m:t>
                    </m:r>
                    <m:r>
                      <m:t>m</m:t>
                    </m:r>
                    <m:r>
                      <m:t>i</m:t>
                    </m:r>
                    <m:r>
                      <m:t>c</m:t>
                    </m:r>
                    <m:r>
                      <m:t>c</m:t>
                    </m:r>
                    <m:r>
                      <m:t>o</m:t>
                    </m:r>
                    <m:r>
                      <m:t>n</m:t>
                    </m:r>
                    <m:r>
                      <m:t>t</m:t>
                    </m:r>
                    <m:r>
                      <m:t>r</m:t>
                    </m:r>
                    <m:r>
                      <m:t>o</m:t>
                    </m:r>
                    <m:r>
                      <m:t>l</m:t>
                    </m:r>
                    <m:r>
                      <m:rPr>
                        <m:sty m:val="p"/>
                      </m:rPr>
                      <m:t>/</m:t>
                    </m:r>
                    <m:r>
                      <m:t>o</m:t>
                    </m:r>
                    <m:r>
                      <m:t>r</m:t>
                    </m:r>
                    <m:r>
                      <m:rPr>
                        <m:sty m:val="p"/>
                      </m:rPr>
                      <m:t>(</m:t>
                    </m:r>
                    <m:r>
                      <m:t>b</m:t>
                    </m:r>
                    <m:r>
                      <m:t>l</m:t>
                    </m:r>
                    <m:r>
                      <m:t>o</m:t>
                    </m:r>
                    <m:r>
                      <m:t>o</m:t>
                    </m:r>
                    <m:r>
                      <m:t>d</m:t>
                    </m:r>
                    <m:r>
                      <m:t>g</m:t>
                    </m:r>
                    <m:r>
                      <m:t>l</m:t>
                    </m:r>
                    <m:r>
                      <m:t>u</m:t>
                    </m:r>
                    <m:r>
                      <m:t>c</m:t>
                    </m:r>
                    <m:r>
                      <m:t>o</m:t>
                    </m:r>
                    <m:r>
                      <m:t>s</m:t>
                    </m:r>
                    <m:r>
                      <m:t>e</m:t>
                    </m:r>
                  </m:oMath>
                  <w:r>
                    <w:t xml:space="preserve"> </w:t>
                  </w:r>
                  <w:r>
                    <w:t xml:space="preserve">or bloodsugar$ or glucose$ or glyc?emic$ or sugar</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a</m:t>
                    </m:r>
                    <m:r>
                      <m:t>d</m:t>
                    </m:r>
                    <m:r>
                      <m:t>j</m:t>
                    </m:r>
                    <m:r>
                      <m:t>5</m:t>
                    </m:r>
                    <m:r>
                      <m:rPr>
                        <m:sty m:val="p"/>
                      </m:rPr>
                      <m:t>(</m:t>
                    </m:r>
                    <m:r>
                      <m:t>f</m:t>
                    </m:r>
                    <m:r>
                      <m:t>l</m:t>
                    </m:r>
                    <m:r>
                      <m:t>a</m:t>
                    </m:r>
                    <m:r>
                      <m:t>s</m:t>
                    </m:r>
                    <m:r>
                      <m:t>h</m:t>
                    </m:r>
                    <m:r>
                      <m:t>o</m:t>
                    </m:r>
                    <m:r>
                      <m:t>r</m:t>
                    </m:r>
                    <m:r>
                      <m:t>f</m:t>
                    </m:r>
                    <m:r>
                      <m:t>l</m:t>
                    </m:r>
                    <m:r>
                      <m:t>u</m:t>
                    </m:r>
                    <m:r>
                      <m:t>c</m:t>
                    </m:r>
                    <m:r>
                      <m:t>t</m:t>
                    </m:r>
                    <m:r>
                      <m:t>u</m:t>
                    </m:r>
                    <m:r>
                      <m:t>a</m:t>
                    </m:r>
                    <m:r>
                      <m:t>t</m:t>
                    </m:r>
                  </m:oMath>
                  <w:r>
                    <w:t xml:space="preserve"> </w:t>
                  </w:r>
                  <w:r>
                    <w:t xml:space="preserve">or intermittent$ or scan$ or variabilit</w:t>
                  </w:r>
                  <m:oMath>
                    <m:r>
                      <m:rPr>
                        <m:sty m:val="p"/>
                      </m:rPr>
                      <m:t>)</m:t>
                    </m:r>
                    <m:r>
                      <m:rPr>
                        <m:sty m:val="p"/>
                      </m:rPr>
                      <m:t>.</m:t>
                    </m:r>
                    <m:r>
                      <m:t>t</m:t>
                    </m:r>
                    <m:r>
                      <m:t>i</m:t>
                    </m:r>
                    <m:r>
                      <m:rPr>
                        <m:sty m:val="p"/>
                      </m:rPr>
                      <m:t>,</m:t>
                    </m:r>
                    <m:r>
                      <m:t>a</m:t>
                    </m:r>
                    <m:r>
                      <m:t>b</m:t>
                    </m:r>
                    <m:r>
                      <m:rPr>
                        <m:sty m:val="p"/>
                      </m:rPr>
                      <m:t>,</m:t>
                    </m:r>
                    <m:r>
                      <m:t>k</m:t>
                    </m:r>
                    <m:r>
                      <m:t>f</m:t>
                    </m:r>
                    <m:r>
                      <m:rPr>
                        <m:sty m:val="p"/>
                      </m:rPr>
                      <m:t>,</m:t>
                    </m:r>
                    <m:r>
                      <m:t>k</m:t>
                    </m:r>
                    <m:r>
                      <m:t>w</m:t>
                    </m:r>
                    <m:r>
                      <m:rPr>
                        <m:sty m:val="p"/>
                      </m:rPr>
                      <m:t>.</m:t>
                    </m:r>
                    <m:r>
                      <m:rPr>
                        <m:sty m:val="p"/>
                      </m:rPr>
                      <m:t>|</m:t>
                    </m:r>
                    <m:r>
                      <m:t>16430</m:t>
                    </m:r>
                    <m:r>
                      <m:rPr>
                        <m:sty m:val="p"/>
                      </m:rPr>
                      <m:t>|</m:t>
                    </m:r>
                    <m:r>
                      <m:rPr>
                        <m:sty m:val="p"/>
                      </m:rPr>
                      <m:t>|</m:t>
                    </m:r>
                    <m:r>
                      <m:t>5</m:t>
                    </m:r>
                    <m:r>
                      <m:rPr>
                        <m:sty m:val="p"/>
                      </m:rPr>
                      <m:t>|</m:t>
                    </m:r>
                    <m:r>
                      <m:t>o</m:t>
                    </m:r>
                    <m:r>
                      <m:t>r</m:t>
                    </m:r>
                    <m:r>
                      <m:rPr>
                        <m:sty m:val="p"/>
                      </m:rPr>
                      <m:t>/</m:t>
                    </m:r>
                    <m:r>
                      <m:t>1</m:t>
                    </m:r>
                    <m:r>
                      <m:rPr>
                        <m:sty m:val="p"/>
                      </m:rPr>
                      <m:t>−</m:t>
                    </m:r>
                    <m:r>
                      <m:t>4</m:t>
                    </m:r>
                    <m:r>
                      <m:rPr>
                        <m:sty m:val="p"/>
                      </m:rPr>
                      <m:t>|</m:t>
                    </m:r>
                    <m:r>
                      <m:t>81510</m:t>
                    </m:r>
                    <m:r>
                      <m:rPr>
                        <m:sty m:val="p"/>
                      </m:rPr>
                      <m:t>|</m:t>
                    </m:r>
                    <m:r>
                      <m:rPr>
                        <m:sty m:val="p"/>
                      </m:rPr>
                      <m:t>|</m:t>
                    </m:r>
                    <m:r>
                      <m:t>6</m:t>
                    </m:r>
                    <m:r>
                      <m:rPr>
                        <m:sty m:val="p"/>
                      </m:rPr>
                      <m:t>|</m:t>
                    </m:r>
                    <m:r>
                      <m:t>e</m:t>
                    </m:r>
                    <m:r>
                      <m:t>x</m:t>
                    </m:r>
                    <m:r>
                      <m:t>p</m:t>
                    </m:r>
                    <m:r>
                      <m:t>c</m:t>
                    </m:r>
                    <m:r>
                      <m:t>a</m:t>
                    </m:r>
                    <m:r>
                      <m:t>r</m:t>
                    </m:r>
                    <m:r>
                      <m:t>d</m:t>
                    </m:r>
                    <m:r>
                      <m:t>i</m:t>
                    </m:r>
                    <m:r>
                      <m:t>o</m:t>
                    </m:r>
                    <m:r>
                      <m:t>v</m:t>
                    </m:r>
                    <m:r>
                      <m:t>a</m:t>
                    </m:r>
                    <m:r>
                      <m:t>s</m:t>
                    </m:r>
                    <m:r>
                      <m:t>c</m:t>
                    </m:r>
                    <m:r>
                      <m:t>u</m:t>
                    </m:r>
                    <m:r>
                      <m:t>l</m:t>
                    </m:r>
                    <m:r>
                      <m:t>a</m:t>
                    </m:r>
                    <m:r>
                      <m:t>r</m:t>
                    </m:r>
                    <m:r>
                      <m:t>d</m:t>
                    </m:r>
                    <m:r>
                      <m:t>i</m:t>
                    </m:r>
                    <m:r>
                      <m:t>s</m:t>
                    </m:r>
                    <m:r>
                      <m:t>e</m:t>
                    </m:r>
                    <m:r>
                      <m:t>a</m:t>
                    </m:r>
                    <m:r>
                      <m:t>s</m:t>
                    </m:r>
                    <m:r>
                      <m:t>e</m:t>
                    </m:r>
                    <m:r>
                      <m:rPr>
                        <m:sty m:val="p"/>
                      </m:rPr>
                      <m:t>/</m:t>
                    </m:r>
                    <m:r>
                      <m:rPr>
                        <m:sty m:val="p"/>
                      </m:rPr>
                      <m:t>|</m:t>
                    </m:r>
                    <m:r>
                      <m:t>5122163</m:t>
                    </m:r>
                    <m:r>
                      <m:rPr>
                        <m:sty m:val="p"/>
                      </m:rPr>
                      <m:t>|</m:t>
                    </m:r>
                    <m:r>
                      <m:rPr>
                        <m:sty m:val="p"/>
                      </m:rPr>
                      <m:t>|</m:t>
                    </m:r>
                    <m:r>
                      <m:t>7</m:t>
                    </m:r>
                    <m:r>
                      <m:rPr>
                        <m:sty m:val="p"/>
                      </m:rPr>
                      <m:t>|</m:t>
                    </m:r>
                    <m:r>
                      <m:rPr>
                        <m:sty m:val="p"/>
                      </m:rPr>
                      <m:t>(</m:t>
                    </m:r>
                    <m:r>
                      <m:t>c</m:t>
                    </m:r>
                    <m:r>
                      <m:t>a</m:t>
                    </m:r>
                    <m:r>
                      <m:t>r</m:t>
                    </m:r>
                    <m:r>
                      <m:t>d</m:t>
                    </m:r>
                    <m:r>
                      <m:t>i</m:t>
                    </m:r>
                    <m:r>
                      <m:t>o</m:t>
                    </m:r>
                    <m:r>
                      <m:t>v</m:t>
                    </m:r>
                    <m:r>
                      <m:t>a</m:t>
                    </m:r>
                    <m:r>
                      <m:t>s</m:t>
                    </m:r>
                    <m:r>
                      <m:t>c</m:t>
                    </m:r>
                  </m:oMath>
                  <w:r>
                    <w:t xml:space="preserve"> </w:t>
                  </w:r>
                  <w:r>
                    <w:t xml:space="preserve">or cvd or cardiometabol$ or cardio-metabol$ or heart$ or macrovasc$ or vasc</w:t>
                  </w:r>
                  <m:oMath>
                    <m:r>
                      <m:rPr>
                        <m:sty m:val="p"/>
                      </m:rPr>
                      <m:t>)</m:t>
                    </m:r>
                    <m:r>
                      <m:rPr>
                        <m:sty m:val="p"/>
                      </m:rPr>
                      <m:t>.</m:t>
                    </m:r>
                    <m:r>
                      <m:t>t</m:t>
                    </m:r>
                    <m:r>
                      <m:t>i</m:t>
                    </m:r>
                    <m:r>
                      <m:rPr>
                        <m:sty m:val="p"/>
                      </m:rPr>
                      <m:t>,</m:t>
                    </m:r>
                    <m:r>
                      <m:t>a</m:t>
                    </m:r>
                    <m:r>
                      <m:t>b</m:t>
                    </m:r>
                    <m:r>
                      <m:rPr>
                        <m:sty m:val="p"/>
                      </m:rPr>
                      <m:t>,</m:t>
                    </m:r>
                    <m:r>
                      <m:t>k</m:t>
                    </m:r>
                    <m:r>
                      <m:t>w</m:t>
                    </m:r>
                    <m:r>
                      <m:rPr>
                        <m:sty m:val="p"/>
                      </m:rPr>
                      <m:t>,</m:t>
                    </m:r>
                    <m:r>
                      <m:t>k</m:t>
                    </m:r>
                    <m:r>
                      <m:t>f</m:t>
                    </m:r>
                    <m:r>
                      <m:rPr>
                        <m:sty m:val="p"/>
                      </m:rPr>
                      <m:t>.</m:t>
                    </m:r>
                    <m:r>
                      <m:rPr>
                        <m:sty m:val="p"/>
                      </m:rPr>
                      <m:t>|</m:t>
                    </m:r>
                    <m:r>
                      <m:t>3044925</m:t>
                    </m:r>
                    <m:r>
                      <m:rPr>
                        <m:sty m:val="p"/>
                      </m:rPr>
                      <m:t>|</m:t>
                    </m:r>
                    <m:r>
                      <m:rPr>
                        <m:sty m:val="p"/>
                      </m:rPr>
                      <m:t>|</m:t>
                    </m:r>
                    <m:r>
                      <m:t>8</m:t>
                    </m:r>
                    <m:r>
                      <m:rPr>
                        <m:sty m:val="p"/>
                      </m:rPr>
                      <m:t>|</m:t>
                    </m:r>
                    <m:r>
                      <m:t>o</m:t>
                    </m:r>
                    <m:r>
                      <m:t>r</m:t>
                    </m:r>
                    <m:r>
                      <m:rPr>
                        <m:sty m:val="p"/>
                      </m:rPr>
                      <m:t>/</m:t>
                    </m:r>
                    <m:r>
                      <m:t>6</m:t>
                    </m:r>
                    <m:r>
                      <m:rPr>
                        <m:sty m:val="p"/>
                      </m:rPr>
                      <m:t>−</m:t>
                    </m:r>
                    <m:r>
                      <m:t>7</m:t>
                    </m:r>
                    <m:r>
                      <m:rPr>
                        <m:sty m:val="p"/>
                      </m:rPr>
                      <m:t>|</m:t>
                    </m:r>
                    <m:r>
                      <m:t>6303633</m:t>
                    </m:r>
                    <m:r>
                      <m:rPr>
                        <m:sty m:val="p"/>
                      </m:rPr>
                      <m:t>|</m:t>
                    </m:r>
                    <m:r>
                      <m:rPr>
                        <m:sty m:val="p"/>
                      </m:rPr>
                      <m:t>|</m:t>
                    </m:r>
                    <m:r>
                      <m:t>9</m:t>
                    </m:r>
                    <m:r>
                      <m:rPr>
                        <m:sty m:val="p"/>
                      </m:rPr>
                      <m:t>|</m:t>
                    </m:r>
                    <m:r>
                      <m:t>e</m:t>
                    </m:r>
                    <m:r>
                      <m:t>x</m:t>
                    </m:r>
                    <m:r>
                      <m:t>p</m:t>
                    </m:r>
                    <m:r>
                      <m:t>d</m:t>
                    </m:r>
                    <m:r>
                      <m:t>i</m:t>
                    </m:r>
                    <m:r>
                      <m:t>a</m:t>
                    </m:r>
                    <m:r>
                      <m:t>b</m:t>
                    </m:r>
                    <m:r>
                      <m:t>e</m:t>
                    </m:r>
                    <m:r>
                      <m:t>t</m:t>
                    </m:r>
                    <m:r>
                      <m:t>e</m:t>
                    </m:r>
                    <m:r>
                      <m:t>s</m:t>
                    </m:r>
                    <m:r>
                      <m:t>m</m:t>
                    </m:r>
                    <m:r>
                      <m:t>e</m:t>
                    </m:r>
                    <m:r>
                      <m:t>l</m:t>
                    </m:r>
                    <m:r>
                      <m:t>l</m:t>
                    </m:r>
                    <m:r>
                      <m:t>i</m:t>
                    </m:r>
                    <m:r>
                      <m:t>t</m:t>
                    </m:r>
                    <m:r>
                      <m:t>u</m:t>
                    </m:r>
                    <m:r>
                      <m:t>s</m:t>
                    </m:r>
                    <m:r>
                      <m:rPr>
                        <m:sty m:val="p"/>
                      </m:rPr>
                      <m:t>/</m:t>
                    </m:r>
                    <m:r>
                      <m:rPr>
                        <m:sty m:val="p"/>
                      </m:rPr>
                      <m:t>|</m:t>
                    </m:r>
                    <m:r>
                      <m:t>1239184</m:t>
                    </m:r>
                    <m:r>
                      <m:rPr>
                        <m:sty m:val="p"/>
                      </m:rPr>
                      <m:t>|</m:t>
                    </m:r>
                    <m:r>
                      <m:rPr>
                        <m:sty m:val="p"/>
                      </m:rPr>
                      <m:t>|</m:t>
                    </m:r>
                    <m:r>
                      <m:t>10</m:t>
                    </m:r>
                    <m:r>
                      <m:rPr>
                        <m:sty m:val="p"/>
                      </m:rPr>
                      <m:t>|</m:t>
                    </m:r>
                    <m:r>
                      <m:rPr>
                        <m:sty m:val="p"/>
                      </m:rPr>
                      <m:t>(</m:t>
                    </m:r>
                    <m:r>
                      <m:t>d</m:t>
                    </m:r>
                    <m:r>
                      <m:t>i</m:t>
                    </m:r>
                    <m:r>
                      <m:t>a</m:t>
                    </m:r>
                    <m:r>
                      <m:t>b</m:t>
                    </m:r>
                    <m:r>
                      <m:t>e</m:t>
                    </m:r>
                    <m:r>
                      <m:t>t</m:t>
                    </m:r>
                  </m:oMath>
                  <w:r>
                    <w:t xml:space="preserve"> </w:t>
                  </w:r>
                  <w:r>
                    <w:t xml:space="preserve">or dm1 or dm2 or dmi or dmii or iddm or niddm or t1d or t2d).ti,ab,kw,kf.</w:t>
                  </w:r>
                </w:p>
              </w:tc>
              <w:tc>
                <w:tcPr/>
                <w:p>
                  <w:pPr>
                    <w:pStyle w:val="Compact"/>
                    <w:jc w:val="right"/>
                    <w:jc w:val="center"/>
                  </w:pPr>
                  <w:r>
                    <w:t xml:space="preserve">1237019</w:t>
                  </w:r>
                </w:p>
              </w:tc>
            </w:tr>
            <w:tr>
              <w:tc>
                <w:tcPr/>
                <w:p>
                  <w:pPr>
                    <w:pStyle w:val="Compact"/>
                    <w:jc w:val="left"/>
                    <w:jc w:val="center"/>
                  </w:pPr>
                  <w:r>
                    <w:t xml:space="preserve">11</w:t>
                  </w:r>
                </w:p>
              </w:tc>
              <w:tc>
                <w:tcPr/>
                <w:p>
                  <w:pPr>
                    <w:pStyle w:val="Compact"/>
                    <w:jc w:val="left"/>
                    <w:jc w:val="center"/>
                  </w:pPr>
                  <w:r>
                    <w:t xml:space="preserve">or/9-10</w:t>
                  </w:r>
                </w:p>
              </w:tc>
              <w:tc>
                <w:tcPr/>
                <w:p>
                  <w:pPr>
                    <w:pStyle w:val="Compact"/>
                    <w:jc w:val="right"/>
                    <w:jc w:val="center"/>
                  </w:pPr>
                  <w:r>
                    <w:t xml:space="preserve">1501812</w:t>
                  </w:r>
                </w:p>
              </w:tc>
            </w:tr>
            <w:tr>
              <w:tc>
                <w:tcPr/>
                <w:p>
                  <w:pPr>
                    <w:pStyle w:val="Compact"/>
                    <w:jc w:val="left"/>
                    <w:jc w:val="center"/>
                  </w:pPr>
                  <w:r>
                    <w:t xml:space="preserve">12</w:t>
                  </w:r>
                </w:p>
              </w:tc>
              <w:tc>
                <w:tcPr/>
                <w:p>
                  <w:pPr>
                    <w:pStyle w:val="Compact"/>
                    <w:jc w:val="left"/>
                    <w:jc w:val="center"/>
                  </w:pPr>
                  <w:r>
                    <w:t xml:space="preserve">and/5,8,11</w:t>
                  </w:r>
                </w:p>
              </w:tc>
              <w:tc>
                <w:tcPr/>
                <w:p>
                  <w:pPr>
                    <w:pStyle w:val="Compact"/>
                    <w:jc w:val="right"/>
                    <w:jc w:val="center"/>
                  </w:pPr>
                  <w:r>
                    <w:t xml:space="preserve">11217</w:t>
                  </w:r>
                </w:p>
              </w:tc>
            </w:tr>
            <w:tr>
              <w:tc>
                <w:tcPr/>
                <w:p>
                  <w:pPr>
                    <w:pStyle w:val="Compact"/>
                    <w:jc w:val="left"/>
                    <w:jc w:val="center"/>
                  </w:pPr>
                  <w:r>
                    <w:t xml:space="preserve">13</w:t>
                  </w:r>
                </w:p>
              </w:tc>
              <w:tc>
                <w:tcPr/>
                <w:p>
                  <w:pPr>
                    <w:pStyle w:val="Compact"/>
                    <w:jc w:val="left"/>
                    <w:jc w:val="center"/>
                  </w:pPr>
                  <w:r>
                    <w:t xml:space="preserve">(rat or rats or mouse or mice or swine or porcine or murine or sheep or lambs or pigs or piglets or rabbit or rabbits or cat or cats or dog or dogs or cattle or bovine or monkey or monkeys or trout or marmoset$1).ti. and animal experiment/</w:t>
                  </w:r>
                </w:p>
              </w:tc>
              <w:tc>
                <w:tcPr/>
                <w:p>
                  <w:pPr>
                    <w:pStyle w:val="Compact"/>
                    <w:jc w:val="right"/>
                    <w:jc w:val="center"/>
                  </w:pPr>
                  <w:r>
                    <w:t xml:space="preserve">1237966</w:t>
                  </w:r>
                </w:p>
              </w:tc>
            </w:tr>
            <w:tr>
              <w:tc>
                <w:tcPr/>
                <w:p>
                  <w:pPr>
                    <w:pStyle w:val="Compact"/>
                    <w:jc w:val="left"/>
                    <w:jc w:val="center"/>
                  </w:pPr>
                  <w:r>
                    <w:t xml:space="preserve">14</w:t>
                  </w:r>
                </w:p>
              </w:tc>
              <w:tc>
                <w:tcPr/>
                <w:p>
                  <w:pPr>
                    <w:pStyle w:val="Compact"/>
                    <w:jc w:val="left"/>
                    <w:jc w:val="center"/>
                  </w:pPr>
                  <w:r>
                    <w:t xml:space="preserve">animal experiment/ not (human experiment/ or human/)</w:t>
                  </w:r>
                </w:p>
              </w:tc>
              <w:tc>
                <w:tcPr/>
                <w:p>
                  <w:pPr>
                    <w:pStyle w:val="Compact"/>
                    <w:jc w:val="right"/>
                    <w:jc w:val="center"/>
                  </w:pPr>
                  <w:r>
                    <w:t xml:space="preserve">2601109</w:t>
                  </w:r>
                </w:p>
              </w:tc>
            </w:tr>
            <w:tr>
              <w:tc>
                <w:tcPr/>
                <w:p>
                  <w:pPr>
                    <w:pStyle w:val="Compact"/>
                    <w:jc w:val="left"/>
                    <w:jc w:val="center"/>
                  </w:pPr>
                  <w:r>
                    <w:t xml:space="preserve">15</w:t>
                  </w:r>
                </w:p>
              </w:tc>
              <w:tc>
                <w:tcPr/>
                <w:p>
                  <w:pPr>
                    <w:pStyle w:val="Compact"/>
                    <w:jc w:val="left"/>
                    <w:jc w:val="center"/>
                  </w:pPr>
                  <w:r>
                    <w:t xml:space="preserve">or/13-14</w:t>
                  </w:r>
                </w:p>
              </w:tc>
              <w:tc>
                <w:tcPr/>
                <w:p>
                  <w:pPr>
                    <w:pStyle w:val="Compact"/>
                    <w:jc w:val="right"/>
                    <w:jc w:val="center"/>
                  </w:pPr>
                  <w:r>
                    <w:t xml:space="preserve">2672240</w:t>
                  </w:r>
                </w:p>
              </w:tc>
            </w:tr>
            <w:tr>
              <w:tc>
                <w:tcPr/>
                <w:p>
                  <w:pPr>
                    <w:pStyle w:val="Compact"/>
                    <w:jc w:val="left"/>
                    <w:jc w:val="center"/>
                  </w:pPr>
                  <w:r>
                    <w:t xml:space="preserve">16</w:t>
                  </w:r>
                </w:p>
              </w:tc>
              <w:tc>
                <w:tcPr/>
                <w:p>
                  <w:pPr>
                    <w:pStyle w:val="Compact"/>
                    <w:jc w:val="left"/>
                    <w:jc w:val="center"/>
                  </w:pPr>
                  <w:r>
                    <w:t xml:space="preserve">12 not 15</w:t>
                  </w:r>
                </w:p>
              </w:tc>
              <w:tc>
                <w:tcPr/>
                <w:p>
                  <w:pPr>
                    <w:pStyle w:val="Compact"/>
                    <w:jc w:val="right"/>
                    <w:jc w:val="center"/>
                  </w:pPr>
                  <w:r>
                    <w:t xml:space="preserve">10861</w:t>
                  </w:r>
                </w:p>
              </w:tc>
            </w:tr>
            <w:tr>
              <w:tc>
                <w:tcPr/>
                <w:p>
                  <w:pPr>
                    <w:pStyle w:val="Compact"/>
                    <w:jc w:val="left"/>
                    <w:jc w:val="center"/>
                  </w:pPr>
                  <w:r>
                    <w:t xml:space="preserve">17</w:t>
                  </w:r>
                </w:p>
              </w:tc>
              <w:tc>
                <w:tcPr/>
                <w:p>
                  <w:pPr>
                    <w:pStyle w:val="Compact"/>
                    <w:jc w:val="left"/>
                    <w:jc w:val="center"/>
                  </w:pPr>
                  <w:r>
                    <w:t xml:space="preserve">limit 16 to exclude medline journals</w:t>
                  </w:r>
                </w:p>
              </w:tc>
              <w:tc>
                <w:tcPr/>
                <w:p>
                  <w:pPr>
                    <w:pStyle w:val="Compact"/>
                    <w:jc w:val="right"/>
                    <w:jc w:val="center"/>
                  </w:pPr>
                  <w:r>
                    <w:t xml:space="preserve">2176</w:t>
                  </w:r>
                </w:p>
              </w:tc>
            </w:tr>
            <w:tr>
              <w:tc>
                <w:tcPr/>
                <w:p>
                  <w:pPr>
                    <w:pStyle w:val="Compact"/>
                  </w:pPr>
                </w:p>
              </w:tc>
              <w:tc>
                <w:tcPr/>
                <w:p>
                  <w:pPr>
                    <w:pStyle w:val="Compact"/>
                    <w:jc w:val="left"/>
                    <w:jc w:val="center"/>
                  </w:pPr>
                  <w:r>
                    <w:t xml:space="preserve">Updated search: 11 March 2025</w:t>
                  </w:r>
                </w:p>
              </w:tc>
              <w:tc>
                <w:tcPr/>
                <w:p>
                  <w:pPr>
                    <w:pStyle w:val="Compact"/>
                  </w:pPr>
                </w:p>
              </w:tc>
            </w:tr>
            <w:tr>
              <w:tc>
                <w:tcPr/>
                <w:p>
                  <w:pPr>
                    <w:pStyle w:val="Compact"/>
                    <w:jc w:val="left"/>
                    <w:jc w:val="center"/>
                  </w:pPr>
                  <w:r>
                    <w:t xml:space="preserve">18</w:t>
                  </w:r>
                </w:p>
              </w:tc>
              <w:tc>
                <w:tcPr/>
                <w:p>
                  <w:pPr>
                    <w:pStyle w:val="Compact"/>
                    <w:jc w:val="left"/>
                    <w:jc w:val="center"/>
                  </w:pPr>
                  <w:r>
                    <w:t xml:space="preserve">limit 17 to (dc=</w:t>
                  </w:r>
                  <w:r>
                    <w:t xml:space="preserve">“20231201-20261231”</w:t>
                  </w:r>
                  <w:r>
                    <w:t xml:space="preserve"> </w:t>
                  </w:r>
                  <w:r>
                    <w:t xml:space="preserve">or dd=</w:t>
                  </w:r>
                  <w:r>
                    <w:t xml:space="preserve">“20231201-20261231”</w:t>
                  </w:r>
                  <w:r>
                    <w:t xml:space="preserve"> </w:t>
                  </w:r>
                  <w:r>
                    <w:t xml:space="preserve">or rd=</w:t>
                  </w:r>
                  <w:r>
                    <w:t xml:space="preserve">“20231201-20261231”</w:t>
                  </w:r>
                  <w:r>
                    <w:t xml:space="preserve">)</w:t>
                  </w:r>
                </w:p>
              </w:tc>
              <w:tc>
                <w:tcPr/>
                <w:p>
                  <w:pPr>
                    <w:pStyle w:val="Compact"/>
                    <w:jc w:val="right"/>
                    <w:jc w:val="center"/>
                  </w:pPr>
                  <w:r>
                    <w:t xml:space="preserve">467</w:t>
                  </w:r>
                </w:p>
              </w:tc>
            </w:tr>
            <w:tr>
              <w:tc>
                <w:tcPr/>
                <w:p>
                  <w:pPr>
                    <w:pStyle w:val="Compact"/>
                    <w:jc w:val="left"/>
                    <w:jc w:val="center"/>
                  </w:pPr>
                  <w:r>
                    <w:t xml:space="preserve">19</w:t>
                  </w:r>
                </w:p>
              </w:tc>
              <w:tc>
                <w:tcPr/>
                <w:p>
                  <w:pPr>
                    <w:pStyle w:val="Compact"/>
                    <w:jc w:val="left"/>
                    <w:jc w:val="center"/>
                  </w:pPr>
                  <w:r>
                    <w:t xml:space="preserve">or/17-18</w:t>
                  </w:r>
                </w:p>
              </w:tc>
              <w:tc>
                <w:tcPr/>
                <w:p>
                  <w:pPr>
                    <w:pStyle w:val="Compact"/>
                    <w:jc w:val="right"/>
                    <w:jc w:val="center"/>
                  </w:pPr>
                  <w:r>
                    <w:t xml:space="preserve">2643</w:t>
                  </w:r>
                </w:p>
              </w:tc>
            </w:tr>
          </w:tbl>
          <w:bookmarkEnd w:id="120"/>
          <w:p/>
        </w:tc>
      </w:tr>
    </w:tbl>
    <w:bookmarkEnd w:id="121"/>
    <w:bookmarkStart w:id="122" w:name="sec-suppl-study1-reports"/>
    <w:p>
      <w:pPr>
        <w:pStyle w:val="Heading1"/>
      </w:pPr>
      <w:r>
        <w:t xml:space="preserve">Appendix A — Study I: Included and excluded reports</w:t>
      </w:r>
    </w:p>
    <w:bookmarkEnd w:id="122"/>
    <w:bookmarkStart w:id="123" w:name="sec-suppl-geo-map"/>
    <w:p>
      <w:pPr>
        <w:pStyle w:val="Heading1"/>
      </w:pPr>
      <w:r>
        <w:t xml:space="preserve">Appendix A — Study I: Geographical location</w:t>
      </w:r>
    </w:p>
    <w:p>
      <w:pPr>
        <w:pStyle w:val="FirstParagraph"/>
      </w:pPr>
      <w:r>
        <w:t xml:space="preserve">Asia (n=27)</w:t>
      </w:r>
      <w:r>
        <w:t xml:space="preserve"> </w:t>
      </w:r>
      <w:r>
        <w:t xml:space="preserve">• China (n=19)</w:t>
      </w:r>
      <w:r>
        <w:t xml:space="preserve"> </w:t>
      </w:r>
      <w:r>
        <w:t xml:space="preserve">• Japan (n=8)</w:t>
      </w:r>
      <w:r>
        <w:t xml:space="preserve"> </w:t>
      </w:r>
      <w:r>
        <w:t xml:space="preserve">Europe (n=22)</w:t>
      </w:r>
      <w:r>
        <w:t xml:space="preserve"> </w:t>
      </w:r>
      <w:r>
        <w:t xml:space="preserve">• Italy (n=7)</w:t>
      </w:r>
      <w:r>
        <w:t xml:space="preserve"> </w:t>
      </w:r>
      <w:r>
        <w:t xml:space="preserve">• 3 Belgium (n=3)</w:t>
      </w:r>
      <w:r>
        <w:t xml:space="preserve"> </w:t>
      </w:r>
      <w:r>
        <w:t xml:space="preserve">• 2 Ukraine (n=2)</w:t>
      </w:r>
      <w:r>
        <w:t xml:space="preserve"> </w:t>
      </w:r>
      <w:r>
        <w:t xml:space="preserve">• 2 Finland (n=2)</w:t>
      </w:r>
      <w:r>
        <w:t xml:space="preserve"> </w:t>
      </w:r>
      <w:r>
        <w:t xml:space="preserve">• 2 Spain (n=2)</w:t>
      </w:r>
      <w:r>
        <w:t xml:space="preserve"> </w:t>
      </w:r>
      <w:r>
        <w:t xml:space="preserve">• 1 Greece (n=1)</w:t>
      </w:r>
      <w:r>
        <w:t xml:space="preserve"> </w:t>
      </w:r>
      <w:r>
        <w:t xml:space="preserve">• 1 Malta (n=1)</w:t>
      </w:r>
      <w:r>
        <w:t xml:space="preserve"> </w:t>
      </w:r>
      <w:r>
        <w:t xml:space="preserve">• 1 Sweden (n=1)</w:t>
      </w:r>
      <w:r>
        <w:t xml:space="preserve"> </w:t>
      </w:r>
      <w:r>
        <w:t xml:space="preserve">• 1 The Netherlands (n=1)</w:t>
      </w:r>
      <w:r>
        <w:t xml:space="preserve"> </w:t>
      </w:r>
      <w:r>
        <w:t xml:space="preserve">• 1 Portugal (n=1)</w:t>
      </w:r>
      <w:r>
        <w:t xml:space="preserve"> </w:t>
      </w:r>
      <w:r>
        <w:t xml:space="preserve">• 1 Russia (n=1)</w:t>
      </w:r>
      <w:r>
        <w:t xml:space="preserve"> </w:t>
      </w:r>
      <w:r>
        <w:t xml:space="preserve">North America (n=2)</w:t>
      </w:r>
      <w:r>
        <w:t xml:space="preserve"> </w:t>
      </w:r>
      <w:r>
        <w:t xml:space="preserve">• 2 USA (n=2)</w:t>
      </w:r>
      <w:r>
        <w:t xml:space="preserve"> </w:t>
      </w:r>
      <w:r>
        <w:t xml:space="preserve">Australia / Oceania (n=1)</w:t>
      </w:r>
      <w:r>
        <w:t xml:space="preserve"> </w:t>
      </w:r>
      <w:r>
        <w:t xml:space="preserve">• 1 Australia (n=1)</w:t>
      </w:r>
    </w:p>
    <w:p>
      <w:pPr>
        <w:pStyle w:val="BodyText"/>
      </w:pPr>
      <w:r>
        <w:t xml:space="preserve">Borg 2011(ADAG study) had study centers in:</w:t>
      </w:r>
      <w:r>
        <w:t xml:space="preserve"> </w:t>
      </w:r>
      <w:r>
        <w:t xml:space="preserve">• Europe: Netherlands, Denmark, Italy</w:t>
      </w:r>
      <w:r>
        <w:t xml:space="preserve"> </w:t>
      </w:r>
      <w:r>
        <w:t xml:space="preserve">• Africa: 2011</w:t>
      </w:r>
      <w:r>
        <w:t xml:space="preserve"> </w:t>
      </w:r>
      <w:r>
        <w:t xml:space="preserve">• North America: USA</w:t>
      </w:r>
    </w:p>
    <w:p>
      <w:pPr>
        <w:pStyle w:val="BodyText"/>
      </w:pPr>
      <w:r>
        <w:t xml:space="preserve">Borg R, Kuenen J C, Carstensen B, Zheng H, Nathan D M, Heine R J, et al. HbA1(c) and</w:t>
      </w:r>
      <w:r>
        <w:t xml:space="preserve"> </w:t>
      </w:r>
      <w:r>
        <w:t xml:space="preserve">mean blood glucose show stronger associations with cardiovascular disease risk factors than do postprandial glycaemia or glucose variability in persons with diabetes: the A1C-Derived Average Glucose (ADAG) study. 2011; ADAG Study Group, editor. Diabetologia. 54: 69–72. doi:10.1007/s00125-010-1918-2</w:t>
      </w:r>
    </w:p>
    <w:bookmarkEnd w:id="123"/>
    <w:bookmarkStart w:id="124" w:name="sec-suppl-subclin-results"/>
    <w:p>
      <w:pPr>
        <w:pStyle w:val="Heading1"/>
      </w:pPr>
      <w:r>
        <w:t xml:space="preserve">Appendix A — Study I: Subclinical results</w:t>
      </w:r>
    </w:p>
    <w:p>
      <w:pPr>
        <w:pStyle w:val="Compact"/>
        <w:numPr>
          <w:ilvl w:val="0"/>
          <w:numId w:val="1005"/>
        </w:numPr>
      </w:pPr>
      <w:r>
        <w:t xml:space="preserve">Add table with subclinical study design overviews</w:t>
      </w:r>
    </w:p>
    <w:p>
      <w:pPr>
        <w:pStyle w:val="Compact"/>
        <w:numPr>
          <w:ilvl w:val="0"/>
          <w:numId w:val="1006"/>
        </w:numPr>
      </w:pPr>
      <w:r>
        <w:t xml:space="preserve">Add table overview of subclinical results</w:t>
      </w:r>
    </w:p>
    <w:bookmarkEnd w:id="124"/>
    <w:bookmarkStart w:id="130" w:name="sec-suppl-pred-stability"/>
    <w:p>
      <w:pPr>
        <w:pStyle w:val="Heading1"/>
      </w:pPr>
      <w:r>
        <w:t xml:space="preserve">Appendix A — Study II: Prediction stability</w:t>
      </w:r>
    </w:p>
    <w:p>
      <w:pPr>
        <w:pStyle w:val="FirstParagraph"/>
      </w:pPr>
      <w:r>
        <w:t xml:space="preserve">Prediction stability plots (</w:t>
      </w:r>
      <w:r>
        <w:rPr>
          <w:b/>
          <w:bCs/>
        </w:rPr>
        <w:t xml:space="preserve">?@fig-pred_stability</w:t>
      </w:r>
      <w:r>
        <w:t xml:space="preserve">) revealed more stability the fewer predictors.</w:t>
      </w:r>
    </w:p>
    <w:tbl>
      <w:tblPr>
        <w:tblStyle w:val="Table"/>
        <w:tblW w:type="pct" w:w="5000"/>
        <w:tblLayout w:type="fixed"/>
        <w:tblLook w:firstRow="0" w:lastRow="0" w:firstColumn="0" w:lastColumn="0" w:noHBand="0" w:noVBand="0" w:val="0000"/>
      </w:tblPr>
      <w:tblGrid>
        <w:gridCol w:w="7920"/>
      </w:tblGrid>
      <w:tr>
        <w:tc>
          <w:tcPr/>
          <w:bookmarkStart w:id="129" w:name="fig-pred-stability"/>
          <w:p>
            <w:pPr>
              <w:pStyle w:val="Compact"/>
              <w:jc w:val="center"/>
            </w:pPr>
            <w:hyperlink r:id="rId128">
              <w:r>
                <w:drawing>
                  <wp:inline>
                    <wp:extent cx="5334000" cy="7638288"/>
                    <wp:effectExtent b="0" l="0" r="0" t="0"/>
                    <wp:docPr descr="" title="" id="126" name="Picture"/>
                    <a:graphic>
                      <a:graphicData uri="http://schemas.openxmlformats.org/drawingml/2006/picture">
                        <pic:pic>
                          <pic:nvPicPr>
                            <pic:cNvPr descr="figures/4_results_fig/study_2_prediction_stability.png" id="127" name="Picture"/>
                            <pic:cNvPicPr>
                              <a:picLocks noChangeArrowheads="1" noChangeAspect="1"/>
                            </pic:cNvPicPr>
                          </pic:nvPicPr>
                          <pic:blipFill>
                            <a:blip r:embed="rId125"/>
                            <a:stretch>
                              <a:fillRect/>
                            </a:stretch>
                          </pic:blipFill>
                          <pic:spPr bwMode="auto">
                            <a:xfrm>
                              <a:off x="0" y="0"/>
                              <a:ext cx="5334000" cy="7638288"/>
                            </a:xfrm>
                            <a:prstGeom prst="rect">
                              <a:avLst/>
                            </a:prstGeom>
                            <a:noFill/>
                            <a:ln w="9525">
                              <a:noFill/>
                              <a:headEnd/>
                              <a:tailEnd/>
                            </a:ln>
                          </pic:spPr>
                        </pic:pic>
                      </a:graphicData>
                    </a:graphic>
                  </wp:inline>
                </w:drawing>
              </w:r>
            </w:hyperlink>
          </w:p>
          <w:p>
            <w:pPr>
              <w:jc w:val="center"/>
            </w:pPr>
            <w:pPr>
              <w:jc w:val="left"/>
              <w:spacing w:before="200"/>
              <w:pStyle w:val="ImageCaption"/>
            </w:pPr>
            <w:r>
              <w:t xml:space="preserve">Figure E.1: Prediction stability plots show the predictions (estimated risk) for the full dataset from the development model (equivalent to the apparent model) on the x-axis, and the predictions from all bootstrap models on the y-axis. Tight alignment along the diagonal indicates higher prediction stability.</w:t>
            </w:r>
          </w:p>
          <w:bookmarkEnd w:id="129"/>
        </w:tc>
      </w:tr>
    </w:tbl>
    <w:bookmarkEnd w:id="130"/>
    <w:bookmarkStart w:id="133" w:name="sec-suppl-seg-results"/>
    <w:p>
      <w:pPr>
        <w:pStyle w:val="Heading1"/>
      </w:pPr>
      <w:r>
        <w:t xml:space="preserve">Appendix A — Study III: Surveillance Error Grid Results</w:t>
      </w:r>
    </w:p>
    <w:tbl>
      <w:tblPr>
        <w:tblStyle w:val="Table"/>
        <w:tblW w:type="pct" w:w="5000"/>
        <w:tblLayout w:type="fixed"/>
        <w:tblLook w:firstRow="0" w:lastRow="0" w:firstColumn="0" w:lastColumn="0" w:noHBand="0" w:noVBand="0" w:val="0000"/>
      </w:tblPr>
      <w:tblGrid>
        <w:gridCol w:w="7920"/>
      </w:tblGrid>
      <w:tr>
        <w:tc>
          <w:tcPr/>
          <w:bookmarkStart w:id="131" w:name="tbl-seg-white"/>
          <w:p>
            <w:pPr>
              <w:jc w:val="center"/>
            </w:pPr>
            <w:pPr>
              <w:jc w:val="left"/>
              <w:spacing w:before="200"/>
              <w:pStyle w:val="ImageCaption"/>
            </w:pPr>
            <w:r>
              <w:t xml:space="preserve">Table F.1: Results from the Surveillance Error Grid for White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White</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c>
                <w:tcPr/>
                <w:p>
                  <w:pPr>
                    <w:pStyle w:val="Compact"/>
                    <w:jc w:val="right"/>
                    <w:jc w:val="center"/>
                  </w:pPr>
                  <w:r>
                    <w:t xml:space="preserve">69%</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c>
                <w:tcPr/>
                <w:p>
                  <w:pPr>
                    <w:pStyle w:val="Compact"/>
                    <w:jc w:val="right"/>
                    <w:jc w:val="center"/>
                  </w:pPr>
                  <w:r>
                    <w:t xml:space="preserve">26%</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c>
                <w:tcPr/>
                <w:p>
                  <w:pPr>
                    <w:pStyle w:val="Compact"/>
                    <w:jc w:val="right"/>
                    <w:jc w:val="center"/>
                  </w:pPr>
                  <w:r>
                    <w:t xml:space="preserve">28%</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72%</w:t>
                  </w:r>
                </w:p>
              </w:tc>
              <w:tc>
                <w:tcPr/>
                <w:p>
                  <w:pPr>
                    <w:pStyle w:val="Compact"/>
                    <w:jc w:val="right"/>
                    <w:jc w:val="center"/>
                  </w:pPr>
                  <w:r>
                    <w:t xml:space="preserve">72%</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c>
                <w:tcPr/>
                <w:p>
                  <w:pPr>
                    <w:pStyle w:val="Compact"/>
                    <w:jc w:val="right"/>
                    <w:jc w:val="center"/>
                  </w:pPr>
                  <w:r>
                    <w:t xml:space="preserve">73%</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25%</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31"/>
          <w:p/>
        </w:tc>
      </w:tr>
    </w:tbl>
    <w:p>
      <w:pPr>
        <w:pStyle w:val="Compact"/>
        <w:numPr>
          <w:ilvl w:val="0"/>
          <w:numId w:val="1007"/>
        </w:numPr>
      </w:pPr>
      <w:r>
        <w:t xml:space="preserve">maybe add this one to appendix, since I think they show the same things</w:t>
      </w:r>
    </w:p>
    <w:tbl>
      <w:tblPr>
        <w:tblStyle w:val="Table"/>
        <w:tblW w:type="pct" w:w="5000"/>
        <w:tblLayout w:type="fixed"/>
        <w:tblLook w:firstRow="0" w:lastRow="0" w:firstColumn="0" w:lastColumn="0" w:noHBand="0" w:noVBand="0" w:val="0000"/>
      </w:tblPr>
      <w:tblGrid>
        <w:gridCol w:w="7920"/>
      </w:tblGrid>
      <w:tr>
        <w:tc>
          <w:tcPr/>
          <w:bookmarkStart w:id="132" w:name="tbl-seg-black"/>
          <w:p>
            <w:pPr>
              <w:jc w:val="center"/>
            </w:pPr>
            <w:pPr>
              <w:jc w:val="left"/>
              <w:spacing w:before="200"/>
              <w:pStyle w:val="ImageCaption"/>
            </w:pPr>
            <w:r>
              <w:t xml:space="preserve">Table F.2: Results from the Surveillance Error Grid for Black participants. Values are reported as percentages.</w:t>
            </w:r>
          </w:p>
          <w:tbl>
            <w:tblPr>
              <w:tblStyle w:val="Table"/>
              <w:tblW w:type="pct" w:w="5000"/>
              <w:tblLayout w:type="fixed"/>
              <w:tblLook w:firstRow="1" w:lastRow="0" w:firstColumn="0" w:lastColumn="0" w:noHBand="0" w:noVBand="0" w:val="0020"/>
            </w:tblPr>
            <w:tblGrid>
              <w:gridCol w:w="950"/>
              <w:gridCol w:w="1425"/>
              <w:gridCol w:w="1188"/>
              <w:gridCol w:w="712"/>
              <w:gridCol w:w="712"/>
              <w:gridCol w:w="712"/>
              <w:gridCol w:w="712"/>
              <w:gridCol w:w="712"/>
              <w:gridCol w:w="792"/>
            </w:tblGrid>
            <w:tr>
              <w:trPr>
                <w:tblHeader w:val="on"/>
              </w:trPr>
              <w:tc>
                <w:tcPr/>
                <w:p>
                  <w:pPr>
                    <w:pStyle w:val="Compact"/>
                    <w:jc w:val="left"/>
                    <w:jc w:val="center"/>
                  </w:pPr>
                  <w:r>
                    <w:t xml:space="preserve">Group</w:t>
                  </w:r>
                </w:p>
              </w:tc>
              <w:tc>
                <w:tcPr/>
                <w:p>
                  <w:pPr>
                    <w:pStyle w:val="Compact"/>
                    <w:jc w:val="left"/>
                    <w:jc w:val="center"/>
                  </w:pPr>
                  <w:r>
                    <w:t xml:space="preserve">Model</w:t>
                  </w:r>
                </w:p>
              </w:tc>
              <w:tc>
                <w:tcPr/>
                <w:p>
                  <w:pPr>
                    <w:pStyle w:val="Compact"/>
                    <w:jc w:val="left"/>
                    <w:jc w:val="center"/>
                  </w:pPr>
                  <w:r>
                    <w:t xml:space="preserve">Zone</w:t>
                  </w:r>
                </w:p>
              </w:tc>
              <w:tc>
                <w:tcPr/>
                <w:p>
                  <w:pPr>
                    <w:pStyle w:val="Compact"/>
                    <w:jc w:val="right"/>
                    <w:jc w:val="center"/>
                  </w:pPr>
                  <w:r>
                    <w:t xml:space="preserve">0</w:t>
                  </w:r>
                </w:p>
              </w:tc>
              <w:tc>
                <w:tcPr/>
                <w:p>
                  <w:pPr>
                    <w:pStyle w:val="Compact"/>
                    <w:jc w:val="right"/>
                    <w:jc w:val="center"/>
                  </w:pPr>
                  <w:r>
                    <w:t xml:space="preserve">20</w:t>
                  </w:r>
                </w:p>
              </w:tc>
              <w:tc>
                <w:tcPr/>
                <w:p>
                  <w:pPr>
                    <w:pStyle w:val="Compact"/>
                    <w:jc w:val="right"/>
                    <w:jc w:val="center"/>
                  </w:pPr>
                  <w:r>
                    <w:t xml:space="preserve">40</w:t>
                  </w:r>
                </w:p>
              </w:tc>
              <w:tc>
                <w:tcPr/>
                <w:p>
                  <w:pPr>
                    <w:pStyle w:val="Compact"/>
                    <w:jc w:val="right"/>
                    <w:jc w:val="center"/>
                  </w:pPr>
                  <w:r>
                    <w:t xml:space="preserve">60</w:t>
                  </w:r>
                </w:p>
              </w:tc>
              <w:tc>
                <w:tcPr/>
                <w:p>
                  <w:pPr>
                    <w:pStyle w:val="Compact"/>
                    <w:jc w:val="right"/>
                    <w:jc w:val="center"/>
                  </w:pPr>
                  <w:r>
                    <w:t xml:space="preserve">80</w:t>
                  </w:r>
                </w:p>
              </w:tc>
              <w:tc>
                <w:tcPr/>
                <w:p>
                  <w:pPr>
                    <w:pStyle w:val="Compact"/>
                    <w:jc w:val="right"/>
                    <w:jc w:val="center"/>
                  </w:pPr>
                  <w:r>
                    <w:t xml:space="preserve">100</w:t>
                  </w:r>
                </w:p>
              </w:tc>
            </w:tr>
            <w:tr>
              <w:tc>
                <w:tcPr/>
                <w:p>
                  <w:pPr>
                    <w:pStyle w:val="Compact"/>
                    <w:jc w:val="left"/>
                    <w:jc w:val="center"/>
                  </w:pPr>
                  <w:r>
                    <w:t xml:space="preserve">Black</w:t>
                  </w:r>
                </w:p>
              </w:tc>
              <w:tc>
                <w:tcPr/>
                <w:p>
                  <w:pPr>
                    <w:pStyle w:val="Compact"/>
                    <w:jc w:val="left"/>
                    <w:jc w:val="center"/>
                  </w:pPr>
                  <w:r>
                    <w:t xml:space="preserve">LOCF</w:t>
                  </w:r>
                </w:p>
              </w:tc>
              <w:tc>
                <w:tcPr/>
                <w:p>
                  <w:pPr>
                    <w:pStyle w:val="Compact"/>
                    <w:jc w:val="left"/>
                    <w:jc w:val="center"/>
                  </w:pPr>
                  <w:r>
                    <w:t xml:space="preserve">None</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c>
                <w:tcPr/>
                <w:p>
                  <w:pPr>
                    <w:pStyle w:val="Compact"/>
                    <w:jc w:val="right"/>
                    <w:jc w:val="center"/>
                  </w:pPr>
                  <w:r>
                    <w:t xml:space="preserve">71%</w:t>
                  </w:r>
                </w:p>
              </w:tc>
            </w:tr>
            <w:tr>
              <w:tc>
                <w:tcPr/>
                <w:p>
                  <w:pPr>
                    <w:pStyle w:val="Compact"/>
                  </w:pPr>
                </w:p>
              </w:tc>
              <w:tc>
                <w:tcPr/>
                <w:p>
                  <w:pPr>
                    <w:pStyle w:val="Compact"/>
                  </w:pPr>
                </w:p>
              </w:tc>
              <w:tc>
                <w:tcPr/>
                <w:p>
                  <w:pPr>
                    <w:pStyle w:val="Compact"/>
                    <w:jc w:val="left"/>
                    <w:jc w:val="center"/>
                  </w:pPr>
                  <w:r>
                    <w:t xml:space="preserve">Slight</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c>
                <w:tcPr/>
                <w:p>
                  <w:pPr>
                    <w:pStyle w:val="Compact"/>
                    <w:jc w:val="right"/>
                    <w:jc w:val="center"/>
                  </w:pPr>
                  <w:r>
                    <w:t xml:space="preserve">24%</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c>
                <w:tcPr/>
                <w:p>
                  <w:pPr>
                    <w:pStyle w:val="Compact"/>
                    <w:jc w:val="right"/>
                    <w:jc w:val="center"/>
                  </w:pPr>
                  <w:r>
                    <w:t xml:space="preserve">4%</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c>
                <w:tcPr/>
                <w:p>
                  <w:pPr>
                    <w:pStyle w:val="Compact"/>
                    <w:jc w:val="right"/>
                    <w:jc w:val="center"/>
                  </w:pPr>
                  <w:r>
                    <w:t xml:space="preserve">66%</w:t>
                  </w:r>
                </w:p>
              </w:tc>
            </w:tr>
            <w:tr>
              <w:tc>
                <w:tcPr/>
                <w:p>
                  <w:pPr>
                    <w:pStyle w:val="Compact"/>
                  </w:pPr>
                </w:p>
              </w:tc>
              <w:tc>
                <w:tcPr/>
                <w:p>
                  <w:pPr>
                    <w:pStyle w:val="Compact"/>
                    <w:jc w:val="left"/>
                    <w:jc w:val="center"/>
                  </w:pPr>
                  <w:r>
                    <w:t xml:space="preserve">Individual</w:t>
                  </w:r>
                </w:p>
              </w:tc>
              <w:tc>
                <w:tcPr/>
                <w:p>
                  <w:pPr>
                    <w:pStyle w:val="Compact"/>
                    <w:jc w:val="left"/>
                    <w:jc w:val="center"/>
                  </w:pPr>
                  <w:r>
                    <w:t xml:space="preserve">Slight</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c>
                <w:tcPr/>
                <w:p>
                  <w:pPr>
                    <w:pStyle w:val="Compact"/>
                    <w:jc w:val="right"/>
                    <w:jc w:val="center"/>
                  </w:pPr>
                  <w:r>
                    <w:t xml:space="preserve">27%</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c>
                <w:tcPr/>
                <w:p>
                  <w:pPr>
                    <w:pStyle w:val="Compact"/>
                    <w:jc w:val="right"/>
                    <w:jc w:val="center"/>
                  </w:pPr>
                  <w:r>
                    <w:t xml:space="preserve">6%</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Base</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-Generalized</w:t>
                  </w:r>
                </w:p>
              </w:tc>
              <w:tc>
                <w:tcPr/>
                <w:p>
                  <w:pPr>
                    <w:pStyle w:val="Compact"/>
                    <w:jc w:val="left"/>
                    <w:jc w:val="center"/>
                  </w:pPr>
                  <w:r>
                    <w:t xml:space="preserve">Slight</w:t>
                  </w:r>
                </w:p>
              </w:tc>
              <w:tc>
                <w:tcPr/>
                <w:p>
                  <w:pPr>
                    <w:pStyle w:val="Compact"/>
                    <w:jc w:val="right"/>
                    <w:jc w:val="center"/>
                  </w:pPr>
                  <w:r>
                    <w:t xml:space="preserve">23%</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jc w:val="left"/>
                    <w:jc w:val="center"/>
                  </w:pPr>
                  <w:r>
                    <w:t xml:space="preserve">Transfer</w:t>
                  </w:r>
                </w:p>
              </w:tc>
              <w:tc>
                <w:tcPr/>
                <w:p>
                  <w:pPr>
                    <w:pStyle w:val="Compact"/>
                    <w:jc w:val="left"/>
                    <w:jc w:val="center"/>
                  </w:pPr>
                  <w:r>
                    <w:t xml:space="preserve">None</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74%</w:t>
                  </w:r>
                </w:p>
              </w:tc>
              <w:tc>
                <w:tcPr/>
                <w:p>
                  <w:pPr>
                    <w:pStyle w:val="Compact"/>
                    <w:jc w:val="right"/>
                    <w:jc w:val="center"/>
                  </w:pPr>
                  <w:r>
                    <w:t xml:space="preserve">75%</w:t>
                  </w:r>
                </w:p>
              </w:tc>
            </w:tr>
            <w:tr>
              <w:tc>
                <w:tcPr/>
                <w:p>
                  <w:pPr>
                    <w:pStyle w:val="Compact"/>
                  </w:pPr>
                </w:p>
              </w:tc>
              <w:tc>
                <w:tcPr/>
                <w:p>
                  <w:pPr>
                    <w:pStyle w:val="Compact"/>
                    <w:jc w:val="left"/>
                    <w:jc w:val="center"/>
                  </w:pPr>
                  <w:r>
                    <w:t xml:space="preserve">Learned</w:t>
                  </w:r>
                </w:p>
              </w:tc>
              <w:tc>
                <w:tcPr/>
                <w:p>
                  <w:pPr>
                    <w:pStyle w:val="Compact"/>
                    <w:jc w:val="left"/>
                    <w:jc w:val="center"/>
                  </w:pPr>
                  <w:r>
                    <w:t xml:space="preserve">Slight</w:t>
                  </w:r>
                </w:p>
              </w:tc>
              <w:tc>
                <w:tcPr/>
                <w:p>
                  <w:pPr>
                    <w:pStyle w:val="Compact"/>
                    <w:jc w:val="right"/>
                    <w:jc w:val="center"/>
                  </w:pPr>
                  <w:r>
                    <w:t xml:space="preserve">22%</w:t>
                  </w:r>
                </w:p>
              </w:tc>
              <w:tc>
                <w:tcPr/>
                <w:p>
                  <w:pPr>
                    <w:pStyle w:val="Compact"/>
                    <w:jc w:val="right"/>
                    <w:jc w:val="center"/>
                  </w:pPr>
                  <w:r>
                    <w:t xml:space="preserve">23%</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c>
                <w:tcPr/>
                <w:p>
                  <w:pPr>
                    <w:pStyle w:val="Compact"/>
                    <w:jc w:val="right"/>
                    <w:jc w:val="center"/>
                  </w:pPr>
                  <w:r>
                    <w:t xml:space="preserve">22%</w:t>
                  </w:r>
                </w:p>
              </w:tc>
            </w:tr>
            <w:tr>
              <w:tc>
                <w:tcPr/>
                <w:p>
                  <w:pPr>
                    <w:pStyle w:val="Compact"/>
                  </w:pPr>
                </w:p>
              </w:tc>
              <w:tc>
                <w:tcPr/>
                <w:p>
                  <w:pPr>
                    <w:pStyle w:val="Compact"/>
                  </w:pPr>
                </w:p>
              </w:tc>
              <w:tc>
                <w:tcPr/>
                <w:p>
                  <w:pPr>
                    <w:pStyle w:val="Compact"/>
                    <w:jc w:val="left"/>
                    <w:jc w:val="center"/>
                  </w:pPr>
                  <w:r>
                    <w:t xml:space="preserve">Moderate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pPr>
                </w:p>
              </w:tc>
              <w:tc>
                <w:tcPr/>
                <w:p>
                  <w:pPr>
                    <w:pStyle w:val="Compact"/>
                  </w:pPr>
                </w:p>
              </w:tc>
              <w:tc>
                <w:tcPr/>
                <w:p>
                  <w:pPr>
                    <w:pStyle w:val="Compact"/>
                    <w:jc w:val="left"/>
                    <w:jc w:val="center"/>
                  </w:pPr>
                  <w:r>
                    <w:t xml:space="preserve">High</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pPr>
                </w:p>
              </w:tc>
              <w:tc>
                <w:tcPr/>
                <w:p>
                  <w:pPr>
                    <w:pStyle w:val="Compact"/>
                  </w:pPr>
                </w:p>
              </w:tc>
              <w:tc>
                <w:tcPr/>
                <w:p>
                  <w:pPr>
                    <w:pStyle w:val="Compact"/>
                    <w:jc w:val="left"/>
                    <w:jc w:val="center"/>
                  </w:pPr>
                  <w:r>
                    <w:t xml:space="preserve">Extreme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132"/>
          <w:p/>
        </w:tc>
      </w:tr>
    </w:tbl>
    <w:bookmarkEnd w:id="133"/>
    <w:bookmarkStart w:id="136" w:name="addenda-and-errata"/>
    <w:p>
      <w:pPr>
        <w:pStyle w:val="Heading1"/>
      </w:pPr>
      <w:r>
        <w:t xml:space="preserve">Appendix B — Addenda and errata</w:t>
      </w:r>
    </w:p>
    <w:p>
      <w:pPr>
        <w:pStyle w:val="FirstParagraph"/>
      </w:pPr>
      <w:r>
        <w:t xml:space="preserve">This chapter contains an overview of:</w:t>
      </w:r>
    </w:p>
    <w:p>
      <w:pPr>
        <w:pStyle w:val="Compact"/>
        <w:numPr>
          <w:ilvl w:val="0"/>
          <w:numId w:val="1008"/>
        </w:numPr>
      </w:pPr>
      <w:r>
        <w:t xml:space="preserve">Addenda: contents added since the submitted version of the dissertation.</w:t>
      </w:r>
    </w:p>
    <w:p>
      <w:pPr>
        <w:pStyle w:val="Compact"/>
        <w:numPr>
          <w:ilvl w:val="0"/>
          <w:numId w:val="1008"/>
        </w:numPr>
      </w:pPr>
      <w:r>
        <w:t xml:space="preserve">Errata: corrections to errors discovered since submission of the dissertation.</w:t>
      </w:r>
    </w:p>
    <w:bookmarkStart w:id="134" w:name="addenda"/>
    <w:p>
      <w:pPr>
        <w:pStyle w:val="Heading2"/>
      </w:pPr>
      <w:r>
        <w:t xml:space="preserve">B.1 Addenda</w:t>
      </w:r>
    </w:p>
    <w:bookmarkEnd w:id="134"/>
    <w:bookmarkStart w:id="135" w:name="errata"/>
    <w:p>
      <w:pPr>
        <w:pStyle w:val="Heading2"/>
      </w:pPr>
      <w:r>
        <w:t xml:space="preserve">B.2 Errata</w:t>
      </w:r>
    </w:p>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125" Target="media/rId125.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82" Target="http://ovidsp.ovid.com/ovidweb.cgi?T=JS&amp;PAGE=reference&amp;D=med8&amp;NEWS=N&amp;AN=20653743" TargetMode="External" /><Relationship Type="http://schemas.openxmlformats.org/officeDocument/2006/relationships/hyperlink" Id="rId112" Target="https://doi.org/10.1007/s00125-023-06068-2" TargetMode="External" /><Relationship Type="http://schemas.openxmlformats.org/officeDocument/2006/relationships/hyperlink" Id="rId114" Target="https://doi.org/10.1093/eurheartj/ehab368" TargetMode="External" /><Relationship Type="http://schemas.openxmlformats.org/officeDocument/2006/relationships/hyperlink" Id="rId85" Target="https://doi.org/10.1177/19322968221113341" TargetMode="External" /><Relationship Type="http://schemas.openxmlformats.org/officeDocument/2006/relationships/hyperlink" Id="rId108" Target="https://doi.org/10.2196/89374" TargetMode="External" /><Relationship Type="http://schemas.openxmlformats.org/officeDocument/2006/relationships/hyperlink" Id="rId74" Target="https://doi.org/10.2337/dc12-2715" TargetMode="External" /><Relationship Type="http://schemas.openxmlformats.org/officeDocument/2006/relationships/hyperlink" Id="rId89" Target="https://doi.org/10.2337/dc15-2035" TargetMode="External" /><Relationship Type="http://schemas.openxmlformats.org/officeDocument/2006/relationships/hyperlink" Id="rId101" Target="https://doi.org/10.2337/dc19-0587" TargetMode="External" /><Relationship Type="http://schemas.openxmlformats.org/officeDocument/2006/relationships/hyperlink" Id="rId72" Target="https://doi.org/10.2337/dc24-S006" TargetMode="External" /><Relationship Type="http://schemas.openxmlformats.org/officeDocument/2006/relationships/hyperlink" Id="rId69" Target="https://doi.org/10.2337/dc26-S002" TargetMode="External" /><Relationship Type="http://schemas.openxmlformats.org/officeDocument/2006/relationships/hyperlink" Id="rId78" Target="https://doi.org/10.2337/dc26-S006" TargetMode="External" /><Relationship Type="http://schemas.openxmlformats.org/officeDocument/2006/relationships/hyperlink" Id="rId87" Target="https://doi.org/10.2337/dc26-S007" TargetMode="External" /><Relationship Type="http://schemas.openxmlformats.org/officeDocument/2006/relationships/hyperlink" Id="rId80" Target="https://idf.org/download-global-clinical-practice-recommendations/" TargetMode="External" /><Relationship Type="http://schemas.openxmlformats.org/officeDocument/2006/relationships/hyperlink" Id="rId91" Target="https://onlinelibrary.wiley.com/doi/10.1111/jdi.14112" TargetMode="External" /><Relationship Type="http://schemas.openxmlformats.org/officeDocument/2006/relationships/hyperlink" Id="rId97" Target="https://onlinelibrary.wiley.com/doi/abs/10.1111/j.1541-9215.2007.06350.x" TargetMode="External" /><Relationship Type="http://schemas.openxmlformats.org/officeDocument/2006/relationships/hyperlink" Id="rId99" Target="https://pmc.ncbi.nlm.nih.gov/articles/PMC1925200/" TargetMode="External" /><Relationship Type="http://schemas.openxmlformats.org/officeDocument/2006/relationships/hyperlink" Id="rId76" Target="https://pmc.ncbi.nlm.nih.gov/articles/PMC3557948/" TargetMode="External" /><Relationship Type="http://schemas.openxmlformats.org/officeDocument/2006/relationships/hyperlink" Id="rId54" Target="https://raw.githubusercontent.com/HeleneThomsen/dissertation/main/figures/1_intro_fig/agp.png" TargetMode="External" /><Relationship Type="http://schemas.openxmlformats.org/officeDocument/2006/relationships/hyperlink" Id="rId128" Target="https://raw.githubusercontent.com/HeleneThomsen/dissertation/main/figures/4_results_fig/study_2_prediction_stability.png" TargetMode="External" /><Relationship Type="http://schemas.openxmlformats.org/officeDocument/2006/relationships/hyperlink" Id="rId103" Target="https://www.ahajournals.org/doi/abs/10.1161/CIRCULATIONAHA.109.849166" TargetMode="External" /><Relationship Type="http://schemas.openxmlformats.org/officeDocument/2006/relationships/hyperlink" Id="rId67" Target="https://www.ncbi.nlm.nih.gov/books/NBK581930/" TargetMode="External" /><Relationship Type="http://schemas.openxmlformats.org/officeDocument/2006/relationships/hyperlink" Id="rId93" Target="https://www.nejm.org/doi/full/10.1056/NEJMoa1608664" TargetMode="External" /></Relationships>
</file>

<file path=word/_rels/footnotes.xml.rels><?xml version="1.0" encoding="UTF-8"?><Relationships xmlns="http://schemas.openxmlformats.org/package/2006/relationships"><Relationship Type="http://schemas.openxmlformats.org/officeDocument/2006/relationships/hyperlink" Id="rId82" Target="http://ovidsp.ovid.com/ovidweb.cgi?T=JS&amp;PAGE=reference&amp;D=med8&amp;NEWS=N&amp;AN=20653743" TargetMode="External" /><Relationship Type="http://schemas.openxmlformats.org/officeDocument/2006/relationships/hyperlink" Id="rId112" Target="https://doi.org/10.1007/s00125-023-06068-2" TargetMode="External" /><Relationship Type="http://schemas.openxmlformats.org/officeDocument/2006/relationships/hyperlink" Id="rId114" Target="https://doi.org/10.1093/eurheartj/ehab368" TargetMode="External" /><Relationship Type="http://schemas.openxmlformats.org/officeDocument/2006/relationships/hyperlink" Id="rId85" Target="https://doi.org/10.1177/19322968221113341" TargetMode="External" /><Relationship Type="http://schemas.openxmlformats.org/officeDocument/2006/relationships/hyperlink" Id="rId108" Target="https://doi.org/10.2196/89374" TargetMode="External" /><Relationship Type="http://schemas.openxmlformats.org/officeDocument/2006/relationships/hyperlink" Id="rId74" Target="https://doi.org/10.2337/dc12-2715" TargetMode="External" /><Relationship Type="http://schemas.openxmlformats.org/officeDocument/2006/relationships/hyperlink" Id="rId89" Target="https://doi.org/10.2337/dc15-2035" TargetMode="External" /><Relationship Type="http://schemas.openxmlformats.org/officeDocument/2006/relationships/hyperlink" Id="rId101" Target="https://doi.org/10.2337/dc19-0587" TargetMode="External" /><Relationship Type="http://schemas.openxmlformats.org/officeDocument/2006/relationships/hyperlink" Id="rId72" Target="https://doi.org/10.2337/dc24-S006" TargetMode="External" /><Relationship Type="http://schemas.openxmlformats.org/officeDocument/2006/relationships/hyperlink" Id="rId69" Target="https://doi.org/10.2337/dc26-S002" TargetMode="External" /><Relationship Type="http://schemas.openxmlformats.org/officeDocument/2006/relationships/hyperlink" Id="rId78" Target="https://doi.org/10.2337/dc26-S006" TargetMode="External" /><Relationship Type="http://schemas.openxmlformats.org/officeDocument/2006/relationships/hyperlink" Id="rId87" Target="https://doi.org/10.2337/dc26-S007" TargetMode="External" /><Relationship Type="http://schemas.openxmlformats.org/officeDocument/2006/relationships/hyperlink" Id="rId80" Target="https://idf.org/download-global-clinical-practice-recommendations/" TargetMode="External" /><Relationship Type="http://schemas.openxmlformats.org/officeDocument/2006/relationships/hyperlink" Id="rId91" Target="https://onlinelibrary.wiley.com/doi/10.1111/jdi.14112" TargetMode="External" /><Relationship Type="http://schemas.openxmlformats.org/officeDocument/2006/relationships/hyperlink" Id="rId97" Target="https://onlinelibrary.wiley.com/doi/abs/10.1111/j.1541-9215.2007.06350.x" TargetMode="External" /><Relationship Type="http://schemas.openxmlformats.org/officeDocument/2006/relationships/hyperlink" Id="rId99" Target="https://pmc.ncbi.nlm.nih.gov/articles/PMC1925200/" TargetMode="External" /><Relationship Type="http://schemas.openxmlformats.org/officeDocument/2006/relationships/hyperlink" Id="rId76" Target="https://pmc.ncbi.nlm.nih.gov/articles/PMC3557948/" TargetMode="External" /><Relationship Type="http://schemas.openxmlformats.org/officeDocument/2006/relationships/hyperlink" Id="rId54" Target="https://raw.githubusercontent.com/HeleneThomsen/dissertation/main/figures/1_intro_fig/agp.png" TargetMode="External" /><Relationship Type="http://schemas.openxmlformats.org/officeDocument/2006/relationships/hyperlink" Id="rId128" Target="https://raw.githubusercontent.com/HeleneThomsen/dissertation/main/figures/4_results_fig/study_2_prediction_stability.png" TargetMode="External" /><Relationship Type="http://schemas.openxmlformats.org/officeDocument/2006/relationships/hyperlink" Id="rId103" Target="https://www.ahajournals.org/doi/abs/10.1161/CIRCULATIONAHA.109.849166" TargetMode="External" /><Relationship Type="http://schemas.openxmlformats.org/officeDocument/2006/relationships/hyperlink" Id="rId67" Target="https://www.ncbi.nlm.nih.gov/books/NBK581930/" TargetMode="External" /><Relationship Type="http://schemas.openxmlformats.org/officeDocument/2006/relationships/hyperlink" Id="rId93" Target="https://www.nejm.org/doi/full/10.1056/NEJMoa16086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methods for continuous glucose monitoring data and their potential in cardiovascular risk assessment</dc:title>
  <dc:creator>Helene Bei Thomsen</dc:creator>
  <cp:keywords/>
  <dcterms:created xsi:type="dcterms:W3CDTF">2026-07-14T08:24:46Z</dcterms:created>
  <dcterms:modified xsi:type="dcterms:W3CDTF">2026-07-14T08:24:46Z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citestyle.csl</vt:lpwstr>
  </property>
  <property fmtid="{D5CDD505-2E9C-101B-9397-08002B2CF9AE}" pid="10" name="date">
    <vt:lpwstr>2026</vt:lpwstr>
  </property>
  <property fmtid="{D5CDD505-2E9C-101B-9397-08002B2CF9AE}" pid="11" name="date-format">
    <vt:lpwstr>YYYY</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umber-depth">
    <vt:lpwstr>2</vt:lpwstr>
  </property>
  <property fmtid="{D5CDD505-2E9C-101B-9397-08002B2CF9AE}" pid="18" name="template-partials">
    <vt:lpwstr/>
  </property>
  <property fmtid="{D5CDD505-2E9C-101B-9397-08002B2CF9AE}" pid="19" name="toc-title">
    <vt:lpwstr>Table of contents</vt:lpwstr>
  </property>
</Properties>
</file>