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59.png" ContentType="image/png"/>
  <Override PartName="/word/media/rId1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17" w:name="overview"/>
    <w:p>
      <w:pPr>
        <w:pStyle w:val="Heading1"/>
      </w:pPr>
      <w:r>
        <w:t xml:space="preserve">Overview</w:t>
      </w:r>
    </w:p>
    <w:p>
      <w:pPr>
        <w:pStyle w:val="Compact"/>
        <w:numPr>
          <w:ilvl w:val="0"/>
          <w:numId w:val="1001"/>
        </w:numPr>
      </w:pPr>
      <w:r>
        <w:t xml:space="preserve">A cover</w:t>
      </w:r>
    </w:p>
    <w:p>
      <w:pPr>
        <w:pStyle w:val="Compact"/>
        <w:numPr>
          <w:ilvl w:val="0"/>
          <w:numId w:val="1002"/>
        </w:numPr>
      </w:pPr>
      <w:r>
        <w:t xml:space="preserve">TOC</w:t>
      </w:r>
    </w:p>
    <w:p>
      <w:pPr>
        <w:pStyle w:val="Compact"/>
        <w:numPr>
          <w:ilvl w:val="0"/>
          <w:numId w:val="1003"/>
        </w:numPr>
      </w:pPr>
      <w:r>
        <w:t xml:space="preserve">List of original papers</w:t>
      </w:r>
    </w:p>
    <w:p>
      <w:pPr>
        <w:pStyle w:val="Compact"/>
        <w:numPr>
          <w:ilvl w:val="0"/>
          <w:numId w:val="1004"/>
        </w:numPr>
      </w:pPr>
      <w:r>
        <w:t xml:space="preserve">Introduction</w:t>
      </w:r>
    </w:p>
    <w:p>
      <w:pPr>
        <w:pStyle w:val="Compact"/>
        <w:numPr>
          <w:ilvl w:val="0"/>
          <w:numId w:val="1005"/>
        </w:numPr>
      </w:pPr>
      <w:r>
        <w:t xml:space="preserve">Aims and Assumptions</w:t>
      </w:r>
    </w:p>
    <w:p>
      <w:pPr>
        <w:pStyle w:val="Compact"/>
        <w:numPr>
          <w:ilvl w:val="0"/>
          <w:numId w:val="1006"/>
        </w:numPr>
      </w:pPr>
      <w:r>
        <w:t xml:space="preserve">Methods - Presentation</w:t>
      </w:r>
    </w:p>
    <w:p>
      <w:pPr>
        <w:pStyle w:val="Compact"/>
        <w:numPr>
          <w:ilvl w:val="0"/>
          <w:numId w:val="1007"/>
        </w:numPr>
      </w:pPr>
      <w:r>
        <w:t xml:space="preserve">Methods - Critical evaluation</w:t>
      </w:r>
    </w:p>
    <w:p>
      <w:pPr>
        <w:pStyle w:val="Compact"/>
        <w:numPr>
          <w:ilvl w:val="0"/>
          <w:numId w:val="1008"/>
        </w:numPr>
      </w:pPr>
      <w:r>
        <w:t xml:space="preserve">Results</w:t>
      </w:r>
    </w:p>
    <w:p>
      <w:pPr>
        <w:pStyle w:val="Compact"/>
        <w:numPr>
          <w:ilvl w:val="0"/>
          <w:numId w:val="1009"/>
        </w:numPr>
      </w:pPr>
      <w:r>
        <w:t xml:space="preserve">Summary - Reflective - Impact (knowledge added)</w:t>
      </w:r>
    </w:p>
    <w:p>
      <w:pPr>
        <w:pStyle w:val="Compact"/>
        <w:numPr>
          <w:ilvl w:val="0"/>
          <w:numId w:val="1010"/>
        </w:numPr>
      </w:pPr>
      <w:r>
        <w:t xml:space="preserve">Conclusion</w:t>
      </w:r>
    </w:p>
    <w:p>
      <w:pPr>
        <w:pStyle w:val="Compact"/>
        <w:numPr>
          <w:ilvl w:val="0"/>
          <w:numId w:val="1011"/>
        </w:numPr>
      </w:pPr>
      <w:r>
        <w:t xml:space="preserve">Discussion of future aspects</w:t>
      </w:r>
    </w:p>
    <w:p>
      <w:pPr>
        <w:pStyle w:val="Compact"/>
        <w:numPr>
          <w:ilvl w:val="0"/>
          <w:numId w:val="1012"/>
        </w:numPr>
      </w:pPr>
      <w:r>
        <w:t xml:space="preserve">References</w:t>
      </w:r>
    </w:p>
    <w:p>
      <w:pPr>
        <w:pStyle w:val="Compact"/>
        <w:numPr>
          <w:ilvl w:val="0"/>
          <w:numId w:val="1013"/>
        </w:numPr>
      </w:pPr>
      <w:r>
        <w:t xml:space="preserve">Abstract</w:t>
      </w:r>
    </w:p>
    <w:p>
      <w:pPr>
        <w:pStyle w:val="Compact"/>
        <w:numPr>
          <w:ilvl w:val="1"/>
          <w:numId w:val="1014"/>
        </w:numPr>
      </w:pPr>
      <w:r>
        <w:t xml:space="preserve">Danish</w:t>
      </w:r>
    </w:p>
    <w:p>
      <w:pPr>
        <w:pStyle w:val="Compact"/>
        <w:numPr>
          <w:ilvl w:val="1"/>
          <w:numId w:val="1015"/>
        </w:numPr>
      </w:pPr>
      <w:r>
        <w:t xml:space="preserve">English</w:t>
      </w:r>
    </w:p>
    <w:p>
      <w:pPr>
        <w:pStyle w:val="Compact"/>
        <w:numPr>
          <w:ilvl w:val="0"/>
          <w:numId w:val="1016"/>
        </w:numPr>
      </w:pPr>
      <w:r>
        <w:t xml:space="preserve">Papers</w:t>
      </w:r>
    </w:p>
    <w:p>
      <w:pPr>
        <w:pStyle w:val="Compact"/>
        <w:numPr>
          <w:ilvl w:val="0"/>
          <w:numId w:val="1017"/>
        </w:numPr>
      </w:pPr>
      <w:r>
        <w:t xml:space="preserve">Co-authorship forms</w:t>
      </w:r>
    </w:p>
    <w:p>
      <w:pPr>
        <w:pStyle w:val="Compact"/>
        <w:numPr>
          <w:ilvl w:val="0"/>
          <w:numId w:val="1018"/>
        </w:numPr>
      </w:pPr>
      <w:r>
        <w:t xml:space="preserve">Appendix</w:t>
      </w:r>
    </w:p>
    <w:bookmarkEnd w:id="17"/>
    <w:bookmarkStart w:id="19" w:name="need-to-have"/>
    <w:p>
      <w:pPr>
        <w:pStyle w:val="Heading1"/>
      </w:pPr>
      <w:r>
        <w:t xml:space="preserve">Need to have</w:t>
      </w:r>
    </w:p>
    <w:p>
      <w:pPr>
        <w:pStyle w:val="Compact"/>
        <w:numPr>
          <w:ilvl w:val="0"/>
          <w:numId w:val="1019"/>
        </w:numPr>
      </w:pPr>
      <w:r>
        <w:t xml:space="preserve">Check big tables from Results (</w:t>
      </w:r>
      <w:hyperlink w:anchor="tbl-study1-clinical-overview">
        <w:r>
          <w:rPr>
            <w:rStyle w:val="Hyperlink"/>
          </w:rPr>
          <w:t xml:space="preserve">Table 1.3</w:t>
        </w:r>
      </w:hyperlink>
      <w:r>
        <w:t xml:space="preserve">,</w:t>
      </w:r>
      <w:r>
        <w:t xml:space="preserve"> </w:t>
      </w:r>
      <w:hyperlink w:anchor="tbl-main-clinical-findings">
        <w:r>
          <w:rPr>
            <w:rStyle w:val="Hyperlink"/>
          </w:rPr>
          <w:t xml:space="preserve">Table 1.4</w:t>
        </w:r>
      </w:hyperlink>
      <w:r>
        <w:t xml:space="preserve">) is correct with the published article</w:t>
      </w:r>
    </w:p>
    <w:p>
      <w:pPr>
        <w:pStyle w:val="Compact"/>
        <w:numPr>
          <w:ilvl w:val="0"/>
          <w:numId w:val="1020"/>
        </w:numPr>
      </w:pPr>
      <w:r>
        <w:t xml:space="preserve">Locate nr from previous tables and change</w:t>
      </w:r>
      <w:r>
        <w:t xml:space="preserve"> </w:t>
      </w:r>
      <w:r>
        <w:t xml:space="preserve">“-”</w:t>
      </w:r>
      <w:r>
        <w:t xml:space="preserve"> </w:t>
      </w:r>
      <w:r>
        <w:t xml:space="preserve">to</w:t>
      </w:r>
      <w:r>
        <w:t xml:space="preserve"> </w:t>
      </w:r>
      <w:r>
        <w:t xml:space="preserve">“nr”</w:t>
      </w:r>
      <w:r>
        <w:t xml:space="preserve"> </w:t>
      </w:r>
      <w:r>
        <w:t xml:space="preserve">in</w:t>
      </w:r>
      <w:r>
        <w:t xml:space="preserve"> </w:t>
      </w:r>
      <w:hyperlink w:anchor="tbl-main-clinical-findings">
        <w:r>
          <w:rPr>
            <w:rStyle w:val="Hyperlink"/>
          </w:rPr>
          <w:t xml:space="preserve">Table 1.4</w:t>
        </w:r>
      </w:hyperlink>
      <w:r>
        <w:t xml:space="preserve"> </w:t>
      </w:r>
      <w:r>
        <w:t xml:space="preserve">to match table</w:t>
      </w:r>
      <w:r>
        <w:t xml:space="preserve"> </w:t>
      </w:r>
      <w:hyperlink w:anchor="tbl-study1-clinical-overview">
        <w:r>
          <w:rPr>
            <w:rStyle w:val="Hyperlink"/>
          </w:rPr>
          <w:t xml:space="preserve">Table 1.3</w:t>
        </w:r>
      </w:hyperlink>
    </w:p>
    <w:p>
      <w:pPr>
        <w:pStyle w:val="Compact"/>
        <w:numPr>
          <w:ilvl w:val="0"/>
          <w:numId w:val="1021"/>
        </w:numPr>
      </w:pPr>
      <w:r>
        <w:t xml:space="preserve">Ensret OR i tabellerne (</w:t>
      </w:r>
      <w:hyperlink w:anchor="tbl-main-clinical-findings">
        <w:r>
          <w:rPr>
            <w:rStyle w:val="Hyperlink"/>
          </w:rPr>
          <w:t xml:space="preserve">Table 1.4</w:t>
        </w:r>
      </w:hyperlink>
      <w:r>
        <w:t xml:space="preserve">)</w:t>
      </w:r>
    </w:p>
    <w:p>
      <w:pPr>
        <w:pStyle w:val="Compact"/>
        <w:numPr>
          <w:ilvl w:val="0"/>
          <w:numId w:val="1022"/>
        </w:numPr>
      </w:pPr>
      <w:r>
        <w:t xml:space="preserve">Delete the multimedia part in the footnote of the table after checking what information they link back to and decide if this should be added to supplementary of the dissertation(</w:t>
      </w:r>
      <w:hyperlink w:anchor="tbl-main-clinical-findings">
        <w:r>
          <w:rPr>
            <w:rStyle w:val="Hyperlink"/>
          </w:rPr>
          <w:t xml:space="preserve">Table 1.4</w:t>
        </w:r>
      </w:hyperlink>
      <w:r>
        <w:t xml:space="preserve">).</w:t>
      </w:r>
    </w:p>
    <w:p>
      <w:pPr>
        <w:pStyle w:val="Compact"/>
        <w:numPr>
          <w:ilvl w:val="0"/>
          <w:numId w:val="1023"/>
        </w:numPr>
      </w:pPr>
      <w:r>
        <w:t xml:space="preserve">Add Adjustments to</w:t>
      </w:r>
      <w:r>
        <w:t xml:space="preserve"> </w:t>
      </w:r>
      <w:hyperlink w:anchor="tbl-main-clinical-findings">
        <w:r>
          <w:rPr>
            <w:rStyle w:val="Hyperlink"/>
          </w:rPr>
          <w:t xml:space="preserve">Table 1.4</w:t>
        </w:r>
      </w:hyperlink>
      <w:r>
        <w:t xml:space="preserve"> </w:t>
      </w:r>
      <w:r>
        <w:t xml:space="preserve">or include in supplementary</w:t>
      </w:r>
    </w:p>
    <w:bookmarkStart w:id="18" w:name="formatting"/>
    <w:p>
      <w:pPr>
        <w:pStyle w:val="Heading2"/>
      </w:pPr>
      <w:r>
        <w:t xml:space="preserve">Formatting</w:t>
      </w:r>
    </w:p>
    <w:p>
      <w:pPr>
        <w:pStyle w:val="Compact"/>
        <w:numPr>
          <w:ilvl w:val="0"/>
          <w:numId w:val="1024"/>
        </w:numPr>
      </w:pPr>
      <w:r>
        <w:t xml:space="preserve">Add references to all citations</w:t>
      </w:r>
    </w:p>
    <w:p>
      <w:pPr>
        <w:pStyle w:val="Compact"/>
        <w:numPr>
          <w:ilvl w:val="0"/>
          <w:numId w:val="1025"/>
        </w:numPr>
      </w:pPr>
      <w:r>
        <w:t xml:space="preserve">Check big and small letters in headers (uppercase/lowercase beginnings)</w:t>
      </w:r>
    </w:p>
    <w:p>
      <w:pPr>
        <w:pStyle w:val="Compact"/>
        <w:numPr>
          <w:ilvl w:val="0"/>
          <w:numId w:val="1026"/>
        </w:numPr>
      </w:pPr>
      <w:r>
        <w:t xml:space="preserve">Ensret if I write introducing text below each chapter or not</w:t>
      </w:r>
    </w:p>
    <w:bookmarkEnd w:id="18"/>
    <w:bookmarkEnd w:id="19"/>
    <w:bookmarkStart w:id="21" w:name="nice-to-have"/>
    <w:p>
      <w:pPr>
        <w:pStyle w:val="Heading1"/>
      </w:pPr>
      <w:r>
        <w:t xml:space="preserve">Nice to have</w:t>
      </w:r>
    </w:p>
    <w:bookmarkStart w:id="20" w:name="results-section"/>
    <w:p>
      <w:pPr>
        <w:pStyle w:val="Heading4"/>
      </w:pPr>
      <w:r>
        <w:t xml:space="preserve">Results section</w:t>
      </w:r>
    </w:p>
    <w:p>
      <w:pPr>
        <w:pStyle w:val="Compact"/>
        <w:numPr>
          <w:ilvl w:val="0"/>
          <w:numId w:val="1027"/>
        </w:numPr>
      </w:pPr>
      <w:r>
        <w:t xml:space="preserve">List of CGM derived metrics found in the scoping review</w:t>
      </w:r>
    </w:p>
    <w:p>
      <w:pPr>
        <w:pStyle w:val="Compact"/>
        <w:numPr>
          <w:ilvl w:val="0"/>
          <w:numId w:val="1028"/>
        </w:numPr>
      </w:pPr>
      <w:r>
        <w:t xml:space="preserve">Add a row</w:t>
      </w:r>
      <w:r>
        <w:t xml:space="preserve"> </w:t>
      </w:r>
      <w:r>
        <w:t xml:space="preserve">“Number of CVD outcomes”</w:t>
      </w:r>
      <w:r>
        <w:t xml:space="preserve">- only if time permits and add information to the text as well (</w:t>
      </w:r>
      <w:hyperlink w:anchor="tbl-study1-cgm-count">
        <w:r>
          <w:rPr>
            <w:rStyle w:val="Hyperlink"/>
          </w:rPr>
          <w:t xml:space="preserve">Table 1.1</w:t>
        </w:r>
      </w:hyperlink>
      <w:r>
        <w:t xml:space="preserve">).</w:t>
      </w:r>
    </w:p>
    <w:p>
      <w:pPr>
        <w:pStyle w:val="Compact"/>
        <w:numPr>
          <w:ilvl w:val="0"/>
          <w:numId w:val="1029"/>
        </w:numPr>
      </w:pPr>
      <w:r>
        <w:t xml:space="preserve">Format this table nicer (</w:t>
      </w:r>
      <w:hyperlink w:anchor="tbl-study1-clinical-overview">
        <w:r>
          <w:rPr>
            <w:rStyle w:val="Hyperlink"/>
          </w:rPr>
          <w:t xml:space="preserve">Table 1.3</w:t>
        </w:r>
      </w:hyperlink>
      <w:r>
        <w:t xml:space="preserve">), especially the newline parts.</w:t>
      </w:r>
    </w:p>
    <w:bookmarkEnd w:id="20"/>
    <w:bookmarkEnd w:id="21"/>
    <w:bookmarkStart w:id="45" w:name="results"/>
    <w:p>
      <w:pPr>
        <w:pStyle w:val="Heading1"/>
      </w:pPr>
      <w:r>
        <w:t xml:space="preserve">1. Results</w:t>
      </w:r>
    </w:p>
    <w:bookmarkStart w:id="44" w:name="study-i-results-from-a-scoping-review"/>
    <w:p>
      <w:pPr>
        <w:pStyle w:val="Heading2"/>
      </w:pPr>
      <w:r>
        <w:t xml:space="preserve">1.1 Study I: Results from a Scoping Review</w:t>
      </w:r>
    </w:p>
    <w:bookmarkStart w:id="27" w:name="study-selection"/>
    <w:p>
      <w:pPr>
        <w:pStyle w:val="Heading3"/>
      </w:pPr>
      <w:r>
        <w:t xml:space="preserve">Study Selection</w:t>
      </w:r>
    </w:p>
    <w:p>
      <w:pPr>
        <w:pStyle w:val="FirstParagraph"/>
      </w:pPr>
      <w:r>
        <w:t xml:space="preserve">The study selection process is summarized in</w:t>
      </w:r>
      <w:r>
        <w:t xml:space="preserve"> </w:t>
      </w:r>
      <w:hyperlink w:anchor="fig-prisma">
        <w:r>
          <w:rPr>
            <w:rStyle w:val="Hyperlink"/>
          </w:rPr>
          <w:t xml:space="preserve">Figure 1.1</w:t>
        </w:r>
      </w:hyperlink>
      <w:r>
        <w:t xml:space="preserve">. The Medline and Embase search resulted in 4884 records screened on title and abstract, and 81 reports were assessed for eligibility based on full-text review by two independent reviewers. The citation search on the included 51 reports resulted in 2 additional reports, which finally resulted in 53 included reports in the review. All included and excluded reports are reported in</w:t>
      </w:r>
      <w:r>
        <w:t xml:space="preserve"> </w:t>
      </w:r>
      <w:hyperlink w:anchor="sec-suppl-study1-reports">
        <w:r>
          <w:rPr>
            <w:rStyle w:val="Hyperlink"/>
          </w:rPr>
          <w:t xml:space="preserve">Appendix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prisma"/>
          <w:p>
            <w:pPr>
              <w:pStyle w:val="Compact"/>
              <w:jc w:val="center"/>
            </w:pPr>
            <w:hyperlink r:id="rId25">
              <w:r>
                <w:drawing>
                  <wp:inline>
                    <wp:extent cx="5334000" cy="4601367"/>
                    <wp:effectExtent b="0" l="0" r="0" t="0"/>
                    <wp:docPr descr="" title="" id="23" name="Picture"/>
                    <a:graphic>
                      <a:graphicData uri="http://schemas.openxmlformats.org/drawingml/2006/picture">
                        <pic:pic>
                          <pic:nvPicPr>
                            <pic:cNvPr descr="figures/4_results_fig/study_1_prisma.png" id="24" name="Picture"/>
                            <pic:cNvPicPr>
                              <a:picLocks noChangeArrowheads="1" noChangeAspect="1"/>
                            </pic:cNvPicPr>
                          </pic:nvPicPr>
                          <pic:blipFill>
                            <a:blip r:embed="rId22"/>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Flow diagram of study selection</w:t>
            </w:r>
          </w:p>
          <w:bookmarkEnd w:id="26"/>
        </w:tc>
      </w:tr>
    </w:tbl>
    <w:bookmarkEnd w:id="27"/>
    <w:bookmarkStart w:id="34" w:name="study-populations"/>
    <w:p>
      <w:pPr>
        <w:pStyle w:val="Heading3"/>
      </w:pPr>
      <w:r>
        <w:t xml:space="preserve">Study Populations</w:t>
      </w:r>
    </w:p>
    <w:p>
      <w:pPr>
        <w:pStyle w:val="FirstParagraph"/>
      </w:pPr>
      <w:r>
        <w:t xml:space="preserve">The study population most common was people with T2D (34 of studies), then people with T1D (20 of 53) and lastly prediabetes (4 of 53). Most studies included adult participants, whereas seven focused on children younger than 18 years. Two studies included only male participants, whereas the remaining studies included both male and female participants.</w:t>
      </w:r>
    </w:p>
    <w:p>
      <w:pPr>
        <w:pStyle w:val="BodyText"/>
      </w:pPr>
      <w:r>
        <w:t xml:space="preserve">The geographic distribution was found based on the hospitals and centers where data was collected or by the first author’s affiliation when the other option was not available. The distribution was uneven as shown in</w:t>
      </w:r>
      <w:r>
        <w:t xml:space="preserve"> </w:t>
      </w:r>
      <w:hyperlink w:anchor="fig-geographical">
        <w:r>
          <w:rPr>
            <w:rStyle w:val="Hyperlink"/>
          </w:rPr>
          <w:t xml:space="preserve">Figure 1.2</w:t>
        </w:r>
      </w:hyperlink>
      <w:r>
        <w:t xml:space="preserve">.</w:t>
      </w:r>
      <w:r>
        <w:t xml:space="preserve"> </w:t>
      </w:r>
      <w:r>
        <w:t xml:space="preserve">Most studies were conducted in Asia (27 of 53) or Europe (22 of 53). Three studies included data from North America, one was conducted in Australia, and only one included data from an African country, although its study population was predominantly White.</w:t>
      </w:r>
      <w:r>
        <w:rPr>
          <w:b/>
          <w:bCs/>
          <w:vertAlign w:val="superscript"/>
        </w:rPr>
        <w:t xml:space="preserve">Borg2011?</w:t>
      </w:r>
      <w:r>
        <w:t xml:space="preserve"> </w:t>
      </w:r>
      <w:r>
        <w:t xml:space="preserve">No data was included from South America (</w:t>
      </w:r>
      <w:hyperlink w:anchor="sec-suppl-geo-map">
        <w:r>
          <w:rPr>
            <w:rStyle w:val="Hyperlink"/>
          </w:rPr>
          <w:t xml:space="preserve">Appendix C</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geographical"/>
          <w:p>
            <w:pPr>
              <w:pStyle w:val="Compact"/>
              <w:jc w:val="center"/>
            </w:pPr>
            <w:hyperlink r:id="rId31">
              <w:r>
                <w:drawing>
                  <wp:inline>
                    <wp:extent cx="5334000" cy="2685165"/>
                    <wp:effectExtent b="0" l="0" r="0" t="0"/>
                    <wp:docPr descr="" title="" id="29" name="Picture"/>
                    <a:graphic>
                      <a:graphicData uri="http://schemas.openxmlformats.org/drawingml/2006/picture">
                        <pic:pic>
                          <pic:nvPicPr>
                            <pic:cNvPr descr="figures/4_results_fig/study_1_world_map.png" id="30" name="Picture"/>
                            <pic:cNvPicPr>
                              <a:picLocks noChangeArrowheads="1" noChangeAspect="1"/>
                            </pic:cNvPicPr>
                          </pic:nvPicPr>
                          <pic:blipFill>
                            <a:blip r:embed="rId28"/>
                            <a:stretch>
                              <a:fillRect/>
                            </a:stretch>
                          </pic:blipFill>
                          <pic:spPr bwMode="auto">
                            <a:xfrm>
                              <a:off x="0" y="0"/>
                              <a:ext cx="5334000" cy="268516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1.2: Geographical location of the studies. Countries colored in red indicate the geographical locations where the studies were conducted. Map was created using MapChart</w:t>
            </w:r>
            <w:r>
              <w:t xml:space="preserve"> </w:t>
            </w:r>
            <w:hyperlink r:id="rId32">
              <w:r>
                <w:rPr>
                  <w:rStyle w:val="Hyperlink"/>
                </w:rPr>
                <w:t xml:space="preserve">https://www.mapchart.net/</w:t>
              </w:r>
            </w:hyperlink>
            <w:r>
              <w:t xml:space="preserve">.</w:t>
            </w:r>
          </w:p>
          <w:bookmarkEnd w:id="33"/>
        </w:tc>
      </w:tr>
    </w:tbl>
    <w:bookmarkEnd w:id="34"/>
    <w:bookmarkStart w:id="35" w:name="study-designs-and-demographics"/>
    <w:p>
      <w:pPr>
        <w:pStyle w:val="Heading3"/>
      </w:pPr>
      <w:r>
        <w:t xml:space="preserve">Study Designs and Demographics</w:t>
      </w:r>
    </w:p>
    <w:p>
      <w:pPr>
        <w:pStyle w:val="FirstParagraph"/>
      </w:pPr>
      <w:r>
        <w:t xml:space="preserve">Only one study was a randomized controlled trial,</w:t>
      </w:r>
      <w:r>
        <w:rPr>
          <w:b/>
          <w:bCs/>
          <w:vertAlign w:val="superscript"/>
        </w:rPr>
        <w:t xml:space="preserve">33?</w:t>
      </w:r>
      <w:r>
        <w:t xml:space="preserve"> </w:t>
      </w:r>
      <w:r>
        <w:t xml:space="preserve">and the remaining studies were observational.</w:t>
      </w:r>
      <w:r>
        <w:t xml:space="preserve"> </w:t>
      </w:r>
      <w:r>
        <w:t xml:space="preserve">Most studies used a cross-sectional design, with the cardiovascular outcome assessed at the same time as the CGM sensor was given.</w:t>
      </w:r>
      <w:r>
        <w:t xml:space="preserve"> </w:t>
      </w:r>
      <w:r>
        <w:t xml:space="preserve">Only six studies performed longitudinal analyses. Study sample sizes varied considerably, ranging from 17</w:t>
      </w:r>
      <w:r>
        <w:rPr>
          <w:b/>
          <w:bCs/>
          <w:vertAlign w:val="superscript"/>
        </w:rPr>
        <w:t xml:space="preserve">34?</w:t>
      </w:r>
      <w:r>
        <w:t xml:space="preserve"> </w:t>
      </w:r>
      <w:r>
        <w:t xml:space="preserve">to 6,225</w:t>
      </w:r>
      <w:r>
        <w:rPr>
          <w:b/>
          <w:bCs/>
          <w:vertAlign w:val="superscript"/>
        </w:rPr>
        <w:t xml:space="preserve">18?</w:t>
      </w:r>
      <w:r>
        <w:t xml:space="preserve"> </w:t>
      </w:r>
      <w:r>
        <w:t xml:space="preserve">participants, with a median of 152.</w:t>
      </w:r>
      <w:r>
        <w:t xml:space="preserve"> </w:t>
      </w:r>
      <w:r>
        <w:t xml:space="preserve">CGM data were obtained either from participants’ own devices (11 studies) or from CGM devices provided as part of the study (42 studies).</w:t>
      </w:r>
      <w:r>
        <w:t xml:space="preserve"> </w:t>
      </w:r>
      <w:r>
        <w:t xml:space="preserve">Statistical analyses most commonly included linear regression (22 studies) and logistic regression (22 studies), followed by Spearman or Pearson correlation analyses (11 studies) and Cox proportional hazards regression (3 studies). ´</w:t>
      </w:r>
      <w:r>
        <w:t xml:space="preserve"> </w:t>
      </w:r>
      <w:r>
        <w:t xml:space="preserve">Several studies also performed additional exploratory analyses, such as correlation analyses, to identify relevant covariates for inclusion in regression models.</w:t>
      </w:r>
    </w:p>
    <w:p>
      <w:pPr>
        <w:pStyle w:val="BodyText"/>
      </w:pPr>
      <w:r>
        <w:t xml:space="preserve">All included studies primarily investigated associations between CGM-derived measures and cardiovascular outcomes. Only three studies reported predictive performance measures as part of secondary analyses,</w:t>
      </w:r>
      <w:r>
        <w:rPr>
          <w:b/>
          <w:bCs/>
          <w:vertAlign w:val="superscript"/>
        </w:rPr>
        <w:t xml:space="preserve">Koroleva?</w:t>
      </w:r>
      <w:r>
        <w:t xml:space="preserve"> </w:t>
      </w:r>
      <w:r>
        <w:t xml:space="preserve">and none applied machine learning methods. Furthermore, none of the included studies provided openly available data or source code. Instead, availability was either not addressed or limited to access upon reasonable request from the corresponding author.</w:t>
      </w:r>
    </w:p>
    <w:bookmarkEnd w:id="35"/>
    <w:bookmarkStart w:id="37" w:name="continuous-glucose-monitoring"/>
    <w:p>
      <w:pPr>
        <w:pStyle w:val="Heading3"/>
      </w:pPr>
      <w:r>
        <w:t xml:space="preserve">Continuous Glucose Monitoring</w:t>
      </w:r>
    </w:p>
    <w:p>
      <w:pPr>
        <w:pStyle w:val="FirstParagraph"/>
      </w:pPr>
      <w:r>
        <w:t xml:space="preserve">Medtronic CGM devices were the most frequently used (28 of 53 studies), followed by Abbott (9 of 53) and Dexcom (5 of 53). Other manufacturers included Menarini, Meiqi Company, and SIBIONICS. Sampling intervals ranged from 3 to 15 minutes but were reported in only a minority of studies (21 of 53).</w:t>
      </w:r>
      <w:r>
        <w:t xml:space="preserve"> </w:t>
      </w:r>
      <w:r>
        <w:t xml:space="preserve">TIR (22 studies) and MAGE (23 studies) were the most frequently investigated CGM-derived metrics (</w:t>
      </w:r>
      <w:hyperlink w:anchor="tbl-study1-cgm-count">
        <w:r>
          <w:rPr>
            <w:rStyle w:val="Hyperlink"/>
          </w:rPr>
          <w:t xml:space="preserve">Table 1.1</w:t>
        </w:r>
      </w:hyperlink>
      <w:r>
        <w:t xml:space="preserve">)</w:t>
      </w:r>
      <w:r>
        <w:t xml:space="preserve"> </w:t>
      </w:r>
      <w:r>
        <w:t xml:space="preserve">When stratified by T1D and T2D then TIR was the most frequently investigated metric in T1D populations (10 of 23 studies), whereas MAGE was less commonly investigated (5 of 22 studies). In T2D populations, TIR and MAGE were investigated in 11 of 23 and 14 of 22 studies, respectively. Studies conducted in T2D populations also tended to include larger sample sizes than those in T1D populations (median [IQR]: TIR, 510 [405–600] vs. 214 [119–547]; MAGE, 251 [89–411] vs. 57 [30–215]).</w:t>
      </w:r>
    </w:p>
    <w:tbl>
      <w:tblPr>
        <w:tblStyle w:val="Table"/>
        <w:tblW w:type="pct" w:w="5000"/>
        <w:tblLayout w:type="fixed"/>
        <w:tblLook w:firstRow="0" w:lastRow="0" w:firstColumn="0" w:lastColumn="0" w:noHBand="0" w:noVBand="0" w:val="0000"/>
      </w:tblPr>
      <w:tblGrid>
        <w:gridCol w:w="7920"/>
      </w:tblGrid>
      <w:tr>
        <w:tc>
          <w:tcPr/>
          <w:bookmarkStart w:id="36" w:name="tbl-study1-cgm-count"/>
          <w:p>
            <w:pPr>
              <w:jc w:val="center"/>
            </w:pPr>
            <w:pPr>
              <w:jc w:val="left"/>
              <w:spacing w:before="200"/>
              <w:pStyle w:val="ImageCaption"/>
            </w:pPr>
            <w:r>
              <w:t xml:space="preserve">Table 1.1: Summary of the popularity of the seven most used CGM-derived metrics</w:t>
            </w:r>
          </w:p>
          <w:tbl>
            <w:tblPr>
              <w:tblStyle w:val="Table"/>
              <w:tblW w:type="pct" w:w="5000"/>
              <w:tblLayout w:type="fixed"/>
              <w:tblLook w:firstRow="1" w:lastRow="0" w:firstColumn="0" w:lastColumn="0" w:noHBand="0" w:noVBand="0" w:val="0020"/>
            </w:tblPr>
            <w:tblGrid>
              <w:gridCol w:w="1584"/>
              <w:gridCol w:w="1188"/>
              <w:gridCol w:w="792"/>
              <w:gridCol w:w="792"/>
              <w:gridCol w:w="792"/>
              <w:gridCol w:w="950"/>
              <w:gridCol w:w="1029"/>
              <w:gridCol w:w="792"/>
            </w:tblGrid>
            <w:tr>
              <w:trPr>
                <w:tblHeader w:val="on"/>
              </w:trPr>
              <w:tc>
                <w:tcPr/>
                <w:p>
                  <w:pPr>
                    <w:pStyle w:val="Compact"/>
                    <w:jc w:val="left"/>
                    <w:jc w:val="center"/>
                  </w:pPr>
                  <w:r>
                    <w:t xml:space="preserve">CGM-derived Metrics:</w:t>
                  </w:r>
                </w:p>
              </w:tc>
              <w:tc>
                <w:tcPr/>
                <w:p>
                  <w:pPr>
                    <w:pStyle w:val="Compact"/>
                    <w:jc w:val="center"/>
                    <w:jc w:val="center"/>
                  </w:pPr>
                  <w:r>
                    <w:t xml:space="preserve">TIR</w:t>
                  </w:r>
                </w:p>
              </w:tc>
              <w:tc>
                <w:tcPr/>
                <w:p>
                  <w:pPr>
                    <w:pStyle w:val="Compact"/>
                    <w:jc w:val="center"/>
                    <w:jc w:val="center"/>
                  </w:pPr>
                  <w:r>
                    <w:t xml:space="preserve">MAGE</w:t>
                  </w:r>
                </w:p>
              </w:tc>
              <w:tc>
                <w:tcPr/>
                <w:p>
                  <w:pPr>
                    <w:pStyle w:val="Compact"/>
                    <w:jc w:val="center"/>
                    <w:jc w:val="center"/>
                  </w:pPr>
                  <w:r>
                    <w:t xml:space="preserve">MBG</w:t>
                  </w:r>
                </w:p>
              </w:tc>
              <w:tc>
                <w:tcPr/>
                <w:p>
                  <w:pPr>
                    <w:pStyle w:val="Compact"/>
                    <w:jc w:val="center"/>
                    <w:jc w:val="center"/>
                  </w:pPr>
                  <w:r>
                    <w:t xml:space="preserve">SD</w:t>
                  </w:r>
                </w:p>
              </w:tc>
              <w:tc>
                <w:tcPr/>
                <w:p>
                  <w:pPr>
                    <w:pStyle w:val="Compact"/>
                    <w:jc w:val="center"/>
                    <w:jc w:val="center"/>
                  </w:pPr>
                  <w:r>
                    <w:t xml:space="preserve">CV</w:t>
                  </w:r>
                </w:p>
              </w:tc>
              <w:tc>
                <w:tcPr/>
                <w:p>
                  <w:pPr>
                    <w:pStyle w:val="Compact"/>
                    <w:jc w:val="center"/>
                    <w:jc w:val="center"/>
                  </w:pPr>
                  <w:r>
                    <w:t xml:space="preserve">TBR</w:t>
                  </w:r>
                </w:p>
              </w:tc>
              <w:tc>
                <w:tcPr/>
                <w:p>
                  <w:pPr>
                    <w:pStyle w:val="Compact"/>
                    <w:jc w:val="center"/>
                    <w:jc w:val="center"/>
                  </w:pPr>
                  <w:r>
                    <w:t xml:space="preserve">TAR</w:t>
                  </w:r>
                </w:p>
              </w:tc>
            </w:tr>
            <w:tr>
              <w:tc>
                <w:tcPr/>
                <w:p>
                  <w:pPr>
                    <w:pStyle w:val="Compact"/>
                    <w:jc w:val="left"/>
                    <w:jc w:val="center"/>
                  </w:pPr>
                  <w:r>
                    <w:rPr>
                      <w:b/>
                      <w:bCs/>
                    </w:rPr>
                    <w:t xml:space="preserve">Number of Studies, n</w:t>
                  </w:r>
                </w:p>
              </w:tc>
              <w:tc>
                <w:tcPr/>
                <w:p>
                  <w:pPr>
                    <w:pStyle w:val="Compact"/>
                    <w:jc w:val="center"/>
                    <w:jc w:val="center"/>
                  </w:pPr>
                  <w:r>
                    <w:t xml:space="preserve">23</w:t>
                  </w:r>
                </w:p>
              </w:tc>
              <w:tc>
                <w:tcPr/>
                <w:p>
                  <w:pPr>
                    <w:pStyle w:val="Compact"/>
                    <w:jc w:val="center"/>
                    <w:jc w:val="center"/>
                  </w:pPr>
                  <w:r>
                    <w:t xml:space="preserve">22</w:t>
                  </w:r>
                </w:p>
              </w:tc>
              <w:tc>
                <w:tcPr/>
                <w:p>
                  <w:pPr>
                    <w:pStyle w:val="Compact"/>
                    <w:jc w:val="center"/>
                    <w:jc w:val="center"/>
                  </w:pPr>
                  <w:r>
                    <w:t xml:space="preserve">21</w:t>
                  </w:r>
                </w:p>
              </w:tc>
              <w:tc>
                <w:tcPr/>
                <w:p>
                  <w:pPr>
                    <w:pStyle w:val="Compact"/>
                    <w:jc w:val="center"/>
                    <w:jc w:val="center"/>
                  </w:pPr>
                  <w:r>
                    <w:t xml:space="preserve">19</w:t>
                  </w:r>
                </w:p>
              </w:tc>
              <w:tc>
                <w:tcPr/>
                <w:p>
                  <w:pPr>
                    <w:pStyle w:val="Compact"/>
                    <w:jc w:val="center"/>
                    <w:jc w:val="center"/>
                  </w:pPr>
                  <w:r>
                    <w:t xml:space="preserve">19</w:t>
                  </w:r>
                </w:p>
              </w:tc>
              <w:tc>
                <w:tcPr/>
                <w:p>
                  <w:pPr>
                    <w:pStyle w:val="Compact"/>
                    <w:jc w:val="center"/>
                    <w:jc w:val="center"/>
                  </w:pPr>
                  <w:r>
                    <w:t xml:space="preserve">16</w:t>
                  </w:r>
                </w:p>
              </w:tc>
              <w:tc>
                <w:tcPr/>
                <w:p>
                  <w:pPr>
                    <w:pStyle w:val="Compact"/>
                    <w:jc w:val="center"/>
                    <w:jc w:val="center"/>
                  </w:pPr>
                  <w:r>
                    <w:t xml:space="preserve">15</w:t>
                  </w:r>
                </w:p>
              </w:tc>
            </w:tr>
            <w:tr>
              <w:tc>
                <w:tcPr/>
                <w:p>
                  <w:pPr>
                    <w:pStyle w:val="Compact"/>
                    <w:jc w:val="left"/>
                    <w:jc w:val="center"/>
                  </w:pPr>
                  <w:r>
                    <w:t xml:space="preserve">    T1D, n</w:t>
                  </w:r>
                </w:p>
              </w:tc>
              <w:tc>
                <w:tcPr/>
                <w:p>
                  <w:pPr>
                    <w:pStyle w:val="Compact"/>
                    <w:jc w:val="center"/>
                    <w:jc w:val="center"/>
                  </w:pPr>
                  <w:r>
                    <w:t xml:space="preserve">10</w:t>
                  </w:r>
                </w:p>
              </w:tc>
              <w:tc>
                <w:tcPr/>
                <w:p>
                  <w:pPr>
                    <w:pStyle w:val="Compact"/>
                    <w:jc w:val="center"/>
                    <w:jc w:val="center"/>
                  </w:pPr>
                  <w:r>
                    <w:t xml:space="preserve">5</w:t>
                  </w:r>
                </w:p>
              </w:tc>
              <w:tc>
                <w:tcPr/>
                <w:p>
                  <w:pPr>
                    <w:pStyle w:val="Compact"/>
                    <w:jc w:val="center"/>
                    <w:jc w:val="center"/>
                  </w:pPr>
                  <w:r>
                    <w:t xml:space="preserve">9</w:t>
                  </w:r>
                </w:p>
              </w:tc>
              <w:tc>
                <w:tcPr/>
                <w:p>
                  <w:pPr>
                    <w:pStyle w:val="Compact"/>
                    <w:jc w:val="center"/>
                    <w:jc w:val="center"/>
                  </w:pPr>
                  <w:r>
                    <w:t xml:space="preserve">7</w:t>
                  </w:r>
                </w:p>
              </w:tc>
              <w:tc>
                <w:tcPr/>
                <w:p>
                  <w:pPr>
                    <w:pStyle w:val="Compact"/>
                    <w:jc w:val="center"/>
                    <w:jc w:val="center"/>
                  </w:pPr>
                  <w:r>
                    <w:t xml:space="preserve">8</w:t>
                  </w:r>
                </w:p>
              </w:tc>
              <w:tc>
                <w:tcPr/>
                <w:p>
                  <w:pPr>
                    <w:pStyle w:val="Compact"/>
                    <w:jc w:val="center"/>
                    <w:jc w:val="center"/>
                  </w:pPr>
                  <w:r>
                    <w:t xml:space="preserve">9</w:t>
                  </w:r>
                </w:p>
              </w:tc>
              <w:tc>
                <w:tcPr/>
                <w:p>
                  <w:pPr>
                    <w:pStyle w:val="Compact"/>
                    <w:jc w:val="center"/>
                    <w:jc w:val="center"/>
                  </w:pPr>
                  <w:r>
                    <w:t xml:space="preserve">8</w:t>
                  </w:r>
                </w:p>
              </w:tc>
            </w:tr>
            <w:tr>
              <w:tc>
                <w:tcPr/>
                <w:p>
                  <w:pPr>
                    <w:pStyle w:val="Compact"/>
                    <w:jc w:val="left"/>
                    <w:jc w:val="center"/>
                  </w:pPr>
                  <w:r>
                    <w:t xml:space="preserve">    T2D, n</w:t>
                  </w:r>
                </w:p>
              </w:tc>
              <w:tc>
                <w:tcPr/>
                <w:p>
                  <w:pPr>
                    <w:pStyle w:val="Compact"/>
                    <w:jc w:val="center"/>
                    <w:jc w:val="center"/>
                  </w:pPr>
                  <w:r>
                    <w:t xml:space="preserve">11</w:t>
                  </w:r>
                </w:p>
              </w:tc>
              <w:tc>
                <w:tcPr/>
                <w:p>
                  <w:pPr>
                    <w:pStyle w:val="Compact"/>
                    <w:jc w:val="center"/>
                    <w:jc w:val="center"/>
                  </w:pPr>
                  <w:r>
                    <w:t xml:space="preserve">14</w:t>
                  </w:r>
                </w:p>
              </w:tc>
              <w:tc>
                <w:tcPr/>
                <w:p>
                  <w:pPr>
                    <w:pStyle w:val="Compact"/>
                    <w:jc w:val="center"/>
                    <w:jc w:val="center"/>
                  </w:pPr>
                  <w:r>
                    <w:t xml:space="preserve">8</w:t>
                  </w:r>
                </w:p>
              </w:tc>
              <w:tc>
                <w:tcPr/>
                <w:p>
                  <w:pPr>
                    <w:pStyle w:val="Compact"/>
                    <w:jc w:val="center"/>
                    <w:jc w:val="center"/>
                  </w:pPr>
                  <w:r>
                    <w:t xml:space="preserve">10</w:t>
                  </w:r>
                </w:p>
              </w:tc>
              <w:tc>
                <w:tcPr/>
                <w:p>
                  <w:pPr>
                    <w:pStyle w:val="Compact"/>
                    <w:jc w:val="center"/>
                    <w:jc w:val="center"/>
                  </w:pPr>
                  <w:r>
                    <w:t xml:space="preserve">8</w:t>
                  </w:r>
                </w:p>
              </w:tc>
              <w:tc>
                <w:tcPr/>
                <w:p>
                  <w:pPr>
                    <w:pStyle w:val="Compact"/>
                    <w:jc w:val="center"/>
                    <w:jc w:val="center"/>
                  </w:pPr>
                  <w:r>
                    <w:t xml:space="preserve">7</w:t>
                  </w:r>
                </w:p>
              </w:tc>
              <w:tc>
                <w:tcPr/>
                <w:p>
                  <w:pPr>
                    <w:pStyle w:val="Compact"/>
                    <w:jc w:val="center"/>
                    <w:jc w:val="center"/>
                  </w:pPr>
                  <w:r>
                    <w:t xml:space="preserve">7</w:t>
                  </w:r>
                </w:p>
              </w:tc>
            </w:tr>
            <w:tr>
              <w:tc>
                <w:tcPr/>
                <w:p>
                  <w:pPr>
                    <w:pStyle w:val="Compact"/>
                    <w:jc w:val="left"/>
                    <w:jc w:val="center"/>
                  </w:pPr>
                  <w:r>
                    <w:t xml:space="preserve">    Mixed</w:t>
                  </w:r>
                  <m:oMath>
                    <m:sSup>
                      <m:e>
                        <m:r>
                          <m:t>​</m:t>
                        </m:r>
                      </m:e>
                      <m:sup>
                        <m:r>
                          <m:rPr>
                            <m:sty m:val="p"/>
                          </m:rPr>
                          <m:t>*</m:t>
                        </m:r>
                      </m:sup>
                    </m:sSup>
                  </m:oMath>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4</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r>
            <w:tr>
              <w:tc>
                <w:tcPr/>
                <w:p>
                  <w:pPr>
                    <w:pStyle w:val="Compact"/>
                    <w:jc w:val="left"/>
                    <w:jc w:val="center"/>
                  </w:pPr>
                  <w:r>
                    <w:rPr>
                      <w:b/>
                      <w:bCs/>
                    </w:rPr>
                    <w:t xml:space="preserve">Total study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size for the CGM-derived metrics</w:t>
                  </w:r>
                  <m:oMath>
                    <m:sSup>
                      <m:e>
                        <m:r>
                          <m:t>​</m:t>
                        </m:r>
                      </m:e>
                      <m:sup>
                        <m:r>
                          <m:rPr>
                            <m:sty m:val="p"/>
                          </m:rPr>
                          <m:t>*</m:t>
                        </m:r>
                        <m:r>
                          <m:rPr>
                            <m:sty m:val="p"/>
                          </m:rPr>
                          <m:t>*</m:t>
                        </m:r>
                      </m:sup>
                    </m:sSup>
                  </m:oMath>
                </w:p>
              </w:tc>
              <w:tc>
                <w:tcPr/>
                <w:p>
                  <w:pPr>
                    <w:pStyle w:val="Compact"/>
                    <w:jc w:val="center"/>
                    <w:jc w:val="center"/>
                  </w:pPr>
                  <w:r>
                    <w:t xml:space="preserve">445 [157-577]</w:t>
                  </w:r>
                </w:p>
              </w:tc>
              <w:tc>
                <w:tcPr/>
                <w:p>
                  <w:pPr>
                    <w:pStyle w:val="Compact"/>
                    <w:jc w:val="center"/>
                    <w:jc w:val="center"/>
                  </w:pPr>
                  <w:r>
                    <w:t xml:space="preserve">156 [63-344]</w:t>
                  </w:r>
                </w:p>
              </w:tc>
              <w:tc>
                <w:tcPr/>
                <w:p>
                  <w:pPr>
                    <w:pStyle w:val="Compact"/>
                    <w:jc w:val="center"/>
                    <w:jc w:val="center"/>
                  </w:pPr>
                  <w:r>
                    <w:t xml:space="preserve">105 [71-427]</w:t>
                  </w:r>
                </w:p>
              </w:tc>
              <w:tc>
                <w:tcPr/>
                <w:p>
                  <w:pPr>
                    <w:pStyle w:val="Compact"/>
                    <w:jc w:val="center"/>
                    <w:jc w:val="center"/>
                  </w:pPr>
                  <w:r>
                    <w:t xml:space="preserve">267 [77-480]</w:t>
                  </w:r>
                </w:p>
              </w:tc>
              <w:tc>
                <w:tcPr/>
                <w:p>
                  <w:pPr>
                    <w:pStyle w:val="Compact"/>
                    <w:jc w:val="center"/>
                    <w:jc w:val="center"/>
                  </w:pPr>
                  <w:r>
                    <w:t xml:space="preserve">342 [98-577]</w:t>
                  </w:r>
                </w:p>
              </w:tc>
              <w:tc>
                <w:tcPr/>
                <w:p>
                  <w:pPr>
                    <w:pStyle w:val="Compact"/>
                    <w:jc w:val="center"/>
                    <w:jc w:val="center"/>
                  </w:pPr>
                  <w:r>
                    <w:t xml:space="preserve">123 [77-312]</w:t>
                  </w:r>
                </w:p>
              </w:tc>
              <w:tc>
                <w:tcPr/>
                <w:p>
                  <w:pPr>
                    <w:pStyle w:val="Compact"/>
                    <w:jc w:val="center"/>
                    <w:jc w:val="center"/>
                  </w:pPr>
                  <w:r>
                    <w:t xml:space="preserve">152 [77-425]</w:t>
                  </w:r>
                </w:p>
              </w:tc>
            </w:tr>
            <w:tr>
              <w:tc>
                <w:tcPr/>
                <w:p>
                  <w:pPr>
                    <w:pStyle w:val="Compact"/>
                    <w:jc w:val="left"/>
                    <w:jc w:val="center"/>
                  </w:pPr>
                  <w:r>
                    <w:t xml:space="preserve">    T1D</w:t>
                  </w:r>
                  <m:oMath>
                    <m:sSup>
                      <m:e>
                        <m:r>
                          <m:t>​</m:t>
                        </m:r>
                      </m:e>
                      <m:sup>
                        <m:r>
                          <m:rPr>
                            <m:sty m:val="p"/>
                          </m:rPr>
                          <m:t>*</m:t>
                        </m:r>
                        <m:r>
                          <m:rPr>
                            <m:sty m:val="p"/>
                          </m:rPr>
                          <m:t>*</m:t>
                        </m:r>
                      </m:sup>
                    </m:sSup>
                  </m:oMath>
                </w:p>
              </w:tc>
              <w:tc>
                <w:tcPr/>
                <w:p>
                  <w:pPr>
                    <w:pStyle w:val="Compact"/>
                    <w:jc w:val="center"/>
                    <w:jc w:val="center"/>
                  </w:pPr>
                  <w:r>
                    <w:t xml:space="preserve">214 [119-547]</w:t>
                  </w:r>
                </w:p>
              </w:tc>
              <w:tc>
                <w:tcPr/>
                <w:p>
                  <w:pPr>
                    <w:pStyle w:val="Compact"/>
                    <w:jc w:val="center"/>
                    <w:jc w:val="center"/>
                  </w:pPr>
                  <w:r>
                    <w:t xml:space="preserve">57 [30-215]</w:t>
                  </w:r>
                </w:p>
              </w:tc>
              <w:tc>
                <w:tcPr/>
                <w:p>
                  <w:pPr>
                    <w:pStyle w:val="Compact"/>
                    <w:jc w:val="center"/>
                    <w:jc w:val="center"/>
                  </w:pPr>
                  <w:r>
                    <w:t xml:space="preserve">105 [31-347]</w:t>
                  </w:r>
                </w:p>
              </w:tc>
              <w:tc>
                <w:tcPr/>
                <w:p>
                  <w:pPr>
                    <w:pStyle w:val="Compact"/>
                    <w:jc w:val="center"/>
                    <w:jc w:val="center"/>
                  </w:pPr>
                  <w:r>
                    <w:t xml:space="preserve">267 [54-515]</w:t>
                  </w:r>
                </w:p>
              </w:tc>
              <w:tc>
                <w:tcPr/>
                <w:p>
                  <w:pPr>
                    <w:pStyle w:val="Compact"/>
                    <w:jc w:val="center"/>
                    <w:jc w:val="center"/>
                  </w:pPr>
                  <w:r>
                    <w:t xml:space="preserve">152 [91-515]</w:t>
                  </w:r>
                </w:p>
              </w:tc>
              <w:tc>
                <w:tcPr/>
                <w:p>
                  <w:pPr>
                    <w:pStyle w:val="Compact"/>
                    <w:jc w:val="center"/>
                    <w:jc w:val="center"/>
                  </w:pPr>
                  <w:r>
                    <w:t xml:space="preserve">124 [102-161]</w:t>
                  </w:r>
                </w:p>
              </w:tc>
              <w:tc>
                <w:tcPr/>
                <w:p>
                  <w:pPr>
                    <w:pStyle w:val="Compact"/>
                    <w:jc w:val="center"/>
                    <w:jc w:val="center"/>
                  </w:pPr>
                  <w:r>
                    <w:t xml:space="preserve">138 [98-188]</w:t>
                  </w:r>
                </w:p>
              </w:tc>
            </w:tr>
            <w:tr>
              <w:tc>
                <w:tcPr/>
                <w:p>
                  <w:pPr>
                    <w:pStyle w:val="Compact"/>
                    <w:jc w:val="left"/>
                    <w:jc w:val="center"/>
                  </w:pPr>
                  <w:r>
                    <w:t xml:space="preserve">    T2D</w:t>
                  </w:r>
                  <m:oMath>
                    <m:sSup>
                      <m:e>
                        <m:r>
                          <m:t>​</m:t>
                        </m:r>
                      </m:e>
                      <m:sup>
                        <m:r>
                          <m:rPr>
                            <m:sty m:val="p"/>
                          </m:rPr>
                          <m:t>*</m:t>
                        </m:r>
                        <m:r>
                          <m:rPr>
                            <m:sty m:val="p"/>
                          </m:rPr>
                          <m:t>*</m:t>
                        </m:r>
                      </m:sup>
                    </m:sSup>
                  </m:oMath>
                </w:p>
              </w:tc>
              <w:tc>
                <w:tcPr/>
                <w:p>
                  <w:pPr>
                    <w:pStyle w:val="Compact"/>
                    <w:jc w:val="center"/>
                    <w:jc w:val="center"/>
                  </w:pPr>
                  <w:r>
                    <w:t xml:space="preserve">510 [405-600]</w:t>
                  </w:r>
                </w:p>
              </w:tc>
              <w:tc>
                <w:tcPr/>
                <w:p>
                  <w:pPr>
                    <w:pStyle w:val="Compact"/>
                    <w:jc w:val="center"/>
                    <w:jc w:val="center"/>
                  </w:pPr>
                  <w:r>
                    <w:t xml:space="preserve">251 [89-411]</w:t>
                  </w:r>
                </w:p>
              </w:tc>
              <w:tc>
                <w:tcPr/>
                <w:p>
                  <w:pPr>
                    <w:pStyle w:val="Compact"/>
                    <w:jc w:val="center"/>
                    <w:jc w:val="center"/>
                  </w:pPr>
                  <w:r>
                    <w:t xml:space="preserve">405 [77-499]</w:t>
                  </w:r>
                </w:p>
              </w:tc>
              <w:tc>
                <w:tcPr/>
                <w:p>
                  <w:pPr>
                    <w:pStyle w:val="Compact"/>
                    <w:jc w:val="center"/>
                    <w:jc w:val="center"/>
                  </w:pPr>
                  <w:r>
                    <w:t xml:space="preserve">371 [95-484]</w:t>
                  </w:r>
                </w:p>
              </w:tc>
              <w:tc>
                <w:tcPr/>
                <w:p>
                  <w:pPr>
                    <w:pStyle w:val="Compact"/>
                    <w:jc w:val="center"/>
                    <w:jc w:val="center"/>
                  </w:pPr>
                  <w:r>
                    <w:t xml:space="preserve">499 [358-632]</w:t>
                  </w:r>
                </w:p>
              </w:tc>
              <w:tc>
                <w:tcPr/>
                <w:p>
                  <w:pPr>
                    <w:pStyle w:val="Compact"/>
                    <w:jc w:val="center"/>
                    <w:jc w:val="center"/>
                  </w:pPr>
                  <w:r>
                    <w:t xml:space="preserve">121 [75-499]</w:t>
                  </w:r>
                </w:p>
              </w:tc>
              <w:tc>
                <w:tcPr/>
                <w:p>
                  <w:pPr>
                    <w:pStyle w:val="Compact"/>
                    <w:jc w:val="center"/>
                    <w:jc w:val="center"/>
                  </w:pPr>
                  <w:r>
                    <w:t xml:space="preserve">405 [75-499]</w:t>
                  </w:r>
                </w:p>
              </w:tc>
            </w:tr>
          </w:tbl>
          <w:bookmarkEnd w:id="36"/>
          <w:p/>
        </w:tc>
      </w:tr>
    </w:tbl>
    <w:bookmarkEnd w:id="37"/>
    <w:bookmarkStart w:id="38" w:name="prediction-studies"/>
    <w:p>
      <w:pPr>
        <w:pStyle w:val="Heading3"/>
      </w:pPr>
      <w:r>
        <w:t xml:space="preserve">Prediction studies</w:t>
      </w:r>
    </w:p>
    <w:p>
      <w:pPr>
        <w:pStyle w:val="FirstParagraph"/>
      </w:pPr>
      <w:r>
        <w:t xml:space="preserve">Only three studies evaluated the predictive performance of CGM-derived metrics for cardiovascular outcomes, all using logistic regression models with MAGE as the predictor. Two studies reported receiver operating characteristic area under the curve (ROC-AUC) values of 0.61 and 0.62, respectively,</w:t>
      </w:r>
      <w:r>
        <w:rPr>
          <w:b/>
          <w:bCs/>
          <w:vertAlign w:val="superscript"/>
        </w:rPr>
        <w:t xml:space="preserve">43?</w:t>
      </w:r>
      <w:r>
        <w:t xml:space="preserve"> </w:t>
      </w:r>
      <w:r>
        <w:t xml:space="preserve">and both found MAGE to outperform HbA1c (ROC-AUC: 0.55 and 0.58, respectively). The third study used receiver operating characteristic analysis to determine the optimal threshold for dichotomizing MAGE during variable selection but did not report the ROC-AUC.</w:t>
      </w:r>
      <w:r>
        <w:rPr>
          <w:b/>
          <w:bCs/>
          <w:vertAlign w:val="superscript"/>
        </w:rPr>
        <w:t xml:space="preserve">44?</w:t>
      </w:r>
      <w:r>
        <w:t xml:space="preserve"> </w:t>
      </w:r>
      <w:r>
        <w:t xml:space="preserve">Instead, a threshold of MAGE ≥ 3.4 mmol/L was identified as a risk factor for stenosis and/or occlusion, with a sensitivity of 0.60 and a specificity of 0.61.</w:t>
      </w:r>
    </w:p>
    <w:bookmarkEnd w:id="38"/>
    <w:bookmarkStart w:id="40" w:name="association-studies"/>
    <w:p>
      <w:pPr>
        <w:pStyle w:val="Heading3"/>
      </w:pPr>
      <w:r>
        <w:t xml:space="preserve">Association studies</w:t>
      </w:r>
    </w:p>
    <w:p>
      <w:pPr>
        <w:pStyle w:val="FirstParagraph"/>
      </w:pPr>
      <w:r>
        <w:t xml:space="preserve">An overview of the different outcomes found in the literature both clinical and subclinical are shown in</w:t>
      </w:r>
      <w:r>
        <w:t xml:space="preserve"> </w:t>
      </w:r>
      <w:hyperlink w:anchor="tbl-study3-clin-subclin-cvd">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study3-clin-subclin-cvd"/>
          <w:p>
            <w:pPr>
              <w:jc w:val="center"/>
            </w:pPr>
            <w:pPr>
              <w:jc w:val="left"/>
              <w:spacing w:before="200"/>
              <w:pStyle w:val="ImageCaption"/>
            </w:pPr>
            <w:r>
              <w:t xml:space="preserve">Table 1.2: Summary of established clinical and subclinical outcomes and corresponding abbreviations identified in the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Clinical</w:t>
                  </w:r>
                </w:p>
              </w:tc>
              <w:tc>
                <w:tcPr/>
                <w:p>
                  <w:pPr>
                    <w:pStyle w:val="Compact"/>
                    <w:jc w:val="left"/>
                    <w:jc w:val="center"/>
                  </w:pPr>
                  <w:r>
                    <w:t xml:space="preserve">Subclinical</w:t>
                  </w:r>
                </w:p>
              </w:tc>
            </w:tr>
            <w:tr>
              <w:tc>
                <w:tcPr/>
                <w:p>
                  <w:pPr>
                    <w:pStyle w:val="Compact"/>
                    <w:jc w:val="left"/>
                    <w:jc w:val="center"/>
                  </w:pPr>
                  <w:r>
                    <w:t xml:space="preserve">CVD = Cardiovascular disease</w:t>
                  </w:r>
                </w:p>
              </w:tc>
              <w:tc>
                <w:tcPr/>
                <w:p>
                  <w:pPr>
                    <w:pStyle w:val="Compact"/>
                    <w:jc w:val="left"/>
                    <w:jc w:val="center"/>
                  </w:pPr>
                  <w:r>
                    <w:t xml:space="preserve">ABI = Ankle–brachial index</w:t>
                  </w:r>
                </w:p>
              </w:tc>
            </w:tr>
            <w:tr>
              <w:tc>
                <w:tcPr/>
                <w:p>
                  <w:pPr>
                    <w:pStyle w:val="Compact"/>
                    <w:jc w:val="left"/>
                    <w:jc w:val="center"/>
                  </w:pPr>
                  <w:r>
                    <w:t xml:space="preserve">   - Macrovascular complications</w:t>
                  </w:r>
                </w:p>
              </w:tc>
              <w:tc>
                <w:tcPr/>
                <w:p>
                  <w:pPr>
                    <w:pStyle w:val="Compact"/>
                    <w:jc w:val="left"/>
                    <w:jc w:val="center"/>
                  </w:pPr>
                  <w:r>
                    <w:t xml:space="preserve">BP = Blood pressure</w:t>
                  </w:r>
                </w:p>
              </w:tc>
            </w:tr>
            <w:tr>
              <w:tc>
                <w:tcPr/>
                <w:p>
                  <w:pPr>
                    <w:pStyle w:val="Compact"/>
                    <w:jc w:val="left"/>
                    <w:jc w:val="center"/>
                  </w:pPr>
                  <w:r>
                    <w:t xml:space="preserve">   - Diabetic macroangiopathy</w:t>
                  </w:r>
                </w:p>
              </w:tc>
              <w:tc>
                <w:tcPr/>
                <w:p>
                  <w:pPr>
                    <w:pStyle w:val="Compact"/>
                    <w:jc w:val="left"/>
                    <w:jc w:val="center"/>
                  </w:pPr>
                  <w:r>
                    <w:t xml:space="preserve">Carotid artery distensibility = Carotid artery distensibility or carotid distensibility coefficient</w:t>
                  </w:r>
                </w:p>
              </w:tc>
            </w:tr>
            <w:tr>
              <w:tc>
                <w:tcPr/>
                <w:p>
                  <w:pPr>
                    <w:pStyle w:val="Compact"/>
                    <w:jc w:val="left"/>
                    <w:jc w:val="center"/>
                  </w:pPr>
                  <w:r>
                    <w:t xml:space="preserve">CAD = Coronary artery disease</w:t>
                  </w:r>
                </w:p>
              </w:tc>
              <w:tc>
                <w:tcPr/>
                <w:p>
                  <w:pPr>
                    <w:pStyle w:val="Compact"/>
                    <w:jc w:val="left"/>
                    <w:jc w:val="center"/>
                  </w:pPr>
                  <w:r>
                    <w:t xml:space="preserve">CCA = Common carotid artery</w:t>
                  </w:r>
                </w:p>
              </w:tc>
            </w:tr>
            <w:tr>
              <w:tc>
                <w:tcPr/>
                <w:p>
                  <w:pPr>
                    <w:pStyle w:val="Compact"/>
                    <w:jc w:val="left"/>
                    <w:jc w:val="center"/>
                  </w:pPr>
                  <w:r>
                    <w:t xml:space="preserve">   - CHD = Coronary heart disease</w:t>
                  </w:r>
                </w:p>
              </w:tc>
              <w:tc>
                <w:tcPr/>
                <w:p>
                  <w:pPr>
                    <w:pStyle w:val="Compact"/>
                    <w:jc w:val="left"/>
                    <w:jc w:val="center"/>
                  </w:pPr>
                  <w:r>
                    <w:t xml:space="preserve">CIMT = Carotid artery intima-media thickness</w:t>
                  </w:r>
                </w:p>
              </w:tc>
            </w:tr>
            <w:tr>
              <w:tc>
                <w:tcPr/>
                <w:p>
                  <w:pPr>
                    <w:pStyle w:val="Compact"/>
                    <w:jc w:val="left"/>
                    <w:jc w:val="center"/>
                  </w:pPr>
                  <w:r>
                    <w:t xml:space="preserve">   - MI = Myocardial infarction</w:t>
                  </w:r>
                </w:p>
              </w:tc>
              <w:tc>
                <w:tcPr/>
                <w:p>
                  <w:pPr>
                    <w:pStyle w:val="Compact"/>
                    <w:jc w:val="left"/>
                    <w:jc w:val="center"/>
                  </w:pPr>
                  <w:r>
                    <w:t xml:space="preserve">DBP = Diastolic blood pressure</w:t>
                  </w:r>
                </w:p>
              </w:tc>
            </w:tr>
            <w:tr>
              <w:tc>
                <w:tcPr/>
                <w:p>
                  <w:pPr>
                    <w:pStyle w:val="Compact"/>
                    <w:jc w:val="left"/>
                    <w:jc w:val="center"/>
                  </w:pPr>
                  <w:r>
                    <w:t xml:space="preserve">   - Heart attack</w:t>
                  </w:r>
                </w:p>
              </w:tc>
              <w:tc>
                <w:tcPr/>
                <w:p>
                  <w:pPr>
                    <w:pStyle w:val="Compact"/>
                    <w:jc w:val="left"/>
                    <w:jc w:val="center"/>
                  </w:pPr>
                  <w:r>
                    <w:t xml:space="preserve">FMD = Flow-mediated dilation of the brachial artery</w:t>
                  </w:r>
                </w:p>
              </w:tc>
            </w:tr>
            <w:tr>
              <w:tc>
                <w:tcPr/>
                <w:p>
                  <w:pPr>
                    <w:pStyle w:val="Compact"/>
                    <w:jc w:val="left"/>
                    <w:jc w:val="center"/>
                  </w:pPr>
                  <w:r>
                    <w:t xml:space="preserve">   - Heart failure</w:t>
                  </w:r>
                </w:p>
              </w:tc>
              <w:tc>
                <w:tcPr/>
                <w:p>
                  <w:pPr>
                    <w:pStyle w:val="Compact"/>
                    <w:jc w:val="left"/>
                    <w:jc w:val="center"/>
                  </w:pPr>
                  <w:r>
                    <w:t xml:space="preserve">GSM = Gray-scale median of the carotid arteries</w:t>
                  </w:r>
                </w:p>
              </w:tc>
            </w:tr>
            <w:tr>
              <w:tc>
                <w:tcPr/>
                <w:p>
                  <w:pPr>
                    <w:pStyle w:val="Compact"/>
                    <w:jc w:val="left"/>
                    <w:jc w:val="center"/>
                  </w:pPr>
                  <w:r>
                    <w:t xml:space="preserve">   - (Unstable) angina pectoris</w:t>
                  </w:r>
                </w:p>
              </w:tc>
              <w:tc>
                <w:tcPr/>
                <w:p>
                  <w:pPr>
                    <w:pStyle w:val="Compact"/>
                    <w:jc w:val="left"/>
                    <w:jc w:val="center"/>
                  </w:pPr>
                  <w:r>
                    <w:t xml:space="preserve">HRV = Heart rate variability</w:t>
                  </w:r>
                </w:p>
              </w:tc>
            </w:tr>
            <w:tr>
              <w:tc>
                <w:tcPr/>
                <w:p>
                  <w:pPr>
                    <w:pStyle w:val="Compact"/>
                    <w:jc w:val="left"/>
                    <w:jc w:val="center"/>
                  </w:pPr>
                  <w:r>
                    <w:t xml:space="preserve">Cardiovascular events</w:t>
                  </w:r>
                </w:p>
              </w:tc>
              <w:tc>
                <w:tcPr/>
                <w:p>
                  <w:pPr>
                    <w:pStyle w:val="Compact"/>
                    <w:jc w:val="left"/>
                    <w:jc w:val="center"/>
                  </w:pPr>
                  <w:r>
                    <w:t xml:space="preserve">IMT = Intima-media thickness</w:t>
                  </w:r>
                </w:p>
              </w:tc>
            </w:tr>
            <w:tr>
              <w:tc>
                <w:tcPr/>
                <w:p>
                  <w:pPr>
                    <w:pStyle w:val="Compact"/>
                    <w:jc w:val="left"/>
                    <w:jc w:val="center"/>
                  </w:pPr>
                  <w:r>
                    <w:t xml:space="preserve">   - Ishemic heart disease (IHD)</w:t>
                  </w:r>
                </w:p>
              </w:tc>
              <w:tc>
                <w:tcPr/>
                <w:p>
                  <w:pPr>
                    <w:pStyle w:val="Compact"/>
                    <w:jc w:val="left"/>
                    <w:jc w:val="center"/>
                  </w:pPr>
                  <w:r>
                    <w:t xml:space="preserve">PWV = Pulse wave velocity</w:t>
                  </w:r>
                </w:p>
              </w:tc>
            </w:tr>
            <w:tr>
              <w:tc>
                <w:tcPr/>
                <w:p>
                  <w:pPr>
                    <w:pStyle w:val="Compact"/>
                    <w:jc w:val="left"/>
                    <w:jc w:val="center"/>
                  </w:pPr>
                  <w:r>
                    <w:t xml:space="preserve">LEAD = Lower extremity artery disease</w:t>
                  </w:r>
                </w:p>
              </w:tc>
              <w:tc>
                <w:tcPr/>
                <w:p>
                  <w:pPr>
                    <w:pStyle w:val="Compact"/>
                    <w:jc w:val="left"/>
                    <w:jc w:val="center"/>
                  </w:pPr>
                  <w:r>
                    <w:t xml:space="preserve">   - ba-PWV = Brachial-ankle pulse wave velocity</w:t>
                  </w:r>
                </w:p>
              </w:tc>
            </w:tr>
            <w:tr>
              <w:tc>
                <w:tcPr/>
                <w:p>
                  <w:pPr>
                    <w:pStyle w:val="Compact"/>
                    <w:jc w:val="left"/>
                    <w:jc w:val="center"/>
                  </w:pPr>
                  <w:r>
                    <w:t xml:space="preserve">MACE = Major adverse cardiovascular events</w:t>
                  </w:r>
                </w:p>
              </w:tc>
              <w:tc>
                <w:tcPr/>
                <w:p>
                  <w:pPr>
                    <w:pStyle w:val="Compact"/>
                    <w:jc w:val="left"/>
                    <w:jc w:val="center"/>
                  </w:pPr>
                  <w:r>
                    <w:t xml:space="preserve">   - cr-PWV = Carotid-radial pulse wave velocity</w:t>
                  </w:r>
                </w:p>
              </w:tc>
            </w:tr>
            <w:tr>
              <w:tc>
                <w:tcPr/>
                <w:p>
                  <w:pPr>
                    <w:pStyle w:val="Compact"/>
                    <w:jc w:val="left"/>
                    <w:jc w:val="center"/>
                  </w:pPr>
                  <w:r>
                    <w:t xml:space="preserve">PAD = Peripheral artery disease</w:t>
                  </w:r>
                </w:p>
              </w:tc>
              <w:tc>
                <w:tcPr/>
                <w:p>
                  <w:pPr>
                    <w:pStyle w:val="Compact"/>
                    <w:jc w:val="left"/>
                    <w:jc w:val="center"/>
                  </w:pPr>
                  <w:r>
                    <w:t xml:space="preserve">   - cf-PWV = Carotid-femoral pulse wave velocity</w:t>
                  </w:r>
                </w:p>
              </w:tc>
            </w:tr>
            <w:tr>
              <w:tc>
                <w:tcPr/>
                <w:p>
                  <w:pPr>
                    <w:pStyle w:val="Compact"/>
                    <w:jc w:val="left"/>
                    <w:jc w:val="center"/>
                  </w:pPr>
                  <w:r>
                    <w:t xml:space="preserve">Stroke = Stroke, Cerebrovascular disease, or Cerebrovascular accident</w:t>
                  </w:r>
                </w:p>
              </w:tc>
              <w:tc>
                <w:tcPr/>
                <w:p>
                  <w:pPr>
                    <w:pStyle w:val="Compact"/>
                    <w:jc w:val="left"/>
                    <w:jc w:val="center"/>
                  </w:pPr>
                  <w:r>
                    <w:t xml:space="preserve">   - Aortic PWV = Aortic pulse wave velocity</w:t>
                  </w:r>
                </w:p>
              </w:tc>
            </w:tr>
            <w:tr>
              <w:tc>
                <w:tcPr/>
                <w:p>
                  <w:pPr>
                    <w:pStyle w:val="Compact"/>
                  </w:pPr>
                </w:p>
              </w:tc>
              <w:tc>
                <w:tcPr/>
                <w:p>
                  <w:pPr>
                    <w:pStyle w:val="Compact"/>
                    <w:jc w:val="left"/>
                    <w:jc w:val="center"/>
                  </w:pPr>
                  <w:r>
                    <w:t xml:space="preserve">SBP = Systolic blood pressure</w:t>
                  </w:r>
                </w:p>
              </w:tc>
            </w:tr>
          </w:tbl>
          <w:bookmarkEnd w:id="39"/>
          <w:p/>
        </w:tc>
      </w:tr>
    </w:tbl>
    <w:bookmarkEnd w:id="40"/>
    <w:bookmarkStart w:id="43" w:name="clinical-association-studies"/>
    <w:p>
      <w:pPr>
        <w:pStyle w:val="Heading3"/>
      </w:pPr>
      <w:r>
        <w:t xml:space="preserve">Clinical Association Studies</w:t>
      </w:r>
    </w:p>
    <w:p>
      <w:pPr>
        <w:pStyle w:val="FirstParagraph"/>
      </w:pPr>
      <w:r>
        <w:t xml:space="preserve">Most studies focused exclusively on subclinical cardiovascular outcomes (37 of 53 studies, 70%), whereas 13 studies (25%) investigated only clinical cardiovascular outcomes and three studies (6%) included both clinical and subclinical outcomes. Because the subsequent chapters of this dissertation focus on clinical cardiovascular outcomes, only these findings are discussed in detail below (</w:t>
      </w:r>
      <w:hyperlink w:anchor="tbl-study1-clinical-overview">
        <w:r>
          <w:rPr>
            <w:rStyle w:val="Hyperlink"/>
          </w:rPr>
          <w:t xml:space="preserve">Table 1.3</w:t>
        </w:r>
      </w:hyperlink>
      <w:r>
        <w:t xml:space="preserve"> </w:t>
      </w:r>
      <w:r>
        <w:t xml:space="preserve">and</w:t>
      </w:r>
      <w:r>
        <w:t xml:space="preserve"> </w:t>
      </w:r>
      <w:hyperlink w:anchor="tbl-main-clinical-findings">
        <w:r>
          <w:rPr>
            <w:rStyle w:val="Hyperlink"/>
          </w:rPr>
          <w:t xml:space="preserve">Table 1.4</w:t>
        </w:r>
      </w:hyperlink>
      <w:r>
        <w:t xml:space="preserve">). A summary of studies investigating subclinical cardiovascular outcomes is provided in</w:t>
      </w:r>
      <w:r>
        <w:t xml:space="preserve"> </w:t>
      </w:r>
      <w:hyperlink w:anchor="sec-suppl-subclin-results">
        <w:r>
          <w:rPr>
            <w:rStyle w:val="Hyperlink"/>
          </w:rPr>
          <w:t xml:space="preserve">Appendix D</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41" w:name="tbl-study1-clinical-overview"/>
          <w:p>
            <w:pPr>
              <w:jc w:val="center"/>
            </w:pPr>
            <w:pPr>
              <w:jc w:val="left"/>
              <w:spacing w:before="200"/>
              <w:pStyle w:val="ImageCaption"/>
            </w:pPr>
            <w:r>
              <w:t xml:space="preserve">Table 1.3: Study design and demographics of the included clinical cardiovascular outcome studies</w:t>
            </w:r>
          </w:p>
          <w:tbl>
            <w:tblPr>
              <w:tblStyle w:val="Table"/>
              <w:tblW w:type="pct" w:w="5000"/>
              <w:tblLayout w:type="fixed"/>
              <w:tblLook w:firstRow="1" w:lastRow="0" w:firstColumn="0" w:lastColumn="0" w:noHBand="0" w:noVBand="0" w:val="0020"/>
            </w:tblPr>
            <w:tblGrid>
              <w:gridCol w:w="712"/>
              <w:gridCol w:w="1108"/>
              <w:gridCol w:w="1584"/>
              <w:gridCol w:w="396"/>
              <w:gridCol w:w="1108"/>
              <w:gridCol w:w="1108"/>
              <w:gridCol w:w="1108"/>
              <w:gridCol w:w="792"/>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center"/>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righ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 </w:t>
                  </w:r>
                  <w:r>
                    <w:t xml:space="preserve">BG control, n = 90</w:t>
                  </w:r>
                  <w:r>
                    <w:t xml:space="preserve"> </w:t>
                  </w:r>
                  <w:r>
                    <w:t xml:space="preserve">BG fluctuation, n = 120</w:t>
                  </w:r>
                </w:p>
              </w:tc>
              <w:tc>
                <w:tcPr/>
                <w:p>
                  <w:pPr>
                    <w:pStyle w:val="Compact"/>
                    <w:jc w:val="center"/>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 </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 </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right"/>
                    <w:jc w:val="center"/>
                  </w:pPr>
                  <w:r>
                    <w:t xml:space="preserve">2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2023</w:t>
                  </w:r>
                </w:p>
              </w:tc>
              <w:tc>
                <w:tcPr/>
                <w:p>
                  <w:pPr>
                    <w:pStyle w:val="Compact"/>
                    <w:jc w:val="left"/>
                    <w:jc w:val="center"/>
                  </w:pPr>
                  <w:r>
                    <w:t xml:space="preserve">Longitudinal (prospective)</w:t>
                  </w:r>
                  <w:r>
                    <w:t xml:space="preserve"> </w:t>
                  </w:r>
                  <w:r>
                    <w:t xml:space="preserve">FU: 1 year</w:t>
                  </w:r>
                </w:p>
              </w:tc>
              <w:tc>
                <w:tcPr/>
                <w:p>
                  <w:pPr>
                    <w:pStyle w:val="Compact"/>
                    <w:jc w:val="left"/>
                    <w:jc w:val="center"/>
                  </w:pPr>
                  <w:r>
                    <w:t xml:space="preserve">T2D with kidney disease on hemodialysis</w:t>
                  </w:r>
                  <w:r>
                    <w:t xml:space="preserve"> </w:t>
                  </w:r>
                  <w:r>
                    <w:t xml:space="preserve">High TIR, n = 12</w:t>
                  </w:r>
                  <w:r>
                    <w:t xml:space="preserve"> </w:t>
                  </w:r>
                  <w:r>
                    <w:t xml:space="preserve">Low TIR, n = 15</w:t>
                  </w:r>
                </w:p>
              </w:tc>
              <w:tc>
                <w:tcPr/>
                <w:p>
                  <w:pPr>
                    <w:pStyle w:val="Compact"/>
                    <w:jc w:val="center"/>
                    <w:jc w:val="center"/>
                  </w:pPr>
                  <w:r>
                    <w:t xml:space="preserve">27</w:t>
                  </w:r>
                </w:p>
              </w:tc>
              <w:tc>
                <w:tcPr/>
                <w:p>
                  <w:pPr>
                    <w:pStyle w:val="Compact"/>
                    <w:jc w:val="left"/>
                    <w:jc w:val="center"/>
                  </w:pPr>
                  <w:r>
                    <w:t xml:space="preserve">High TIR: 66 [63, 73]</w:t>
                  </w:r>
                  <w:r>
                    <w:t xml:space="preserve"> </w:t>
                  </w:r>
                  <w:r>
                    <w:t xml:space="preserve">Low TIR: 70 [64, 75]</w:t>
                  </w:r>
                </w:p>
              </w:tc>
              <w:tc>
                <w:tcPr/>
                <w:p>
                  <w:pPr>
                    <w:pStyle w:val="Compact"/>
                    <w:jc w:val="left"/>
                    <w:jc w:val="center"/>
                  </w:pPr>
                  <w:r>
                    <w:t xml:space="preserve">High TIR: 2 [1.7, 10]</w:t>
                  </w:r>
                  <w:r>
                    <w:t xml:space="preserve"> </w:t>
                  </w:r>
                  <w:r>
                    <w:t xml:space="preserve">Low TIR: 5 [0.75, 20]</w:t>
                  </w:r>
                </w:p>
              </w:tc>
              <w:tc>
                <w:tcPr/>
                <w:p>
                  <w:pPr>
                    <w:pStyle w:val="Compact"/>
                    <w:jc w:val="left"/>
                    <w:jc w:val="center"/>
                  </w:pPr>
                  <w:r>
                    <w:t xml:space="preserve">High TIR: 43 [37, 51] mmol/mol (6.1 [5.5, 6.8]%)</w:t>
                  </w:r>
                  <w:r>
                    <w:t xml:space="preserve"> </w:t>
                  </w:r>
                  <w:r>
                    <w:t xml:space="preserve">Low TIR: 66 [46, 70] mmol/mol (8.2 [6.4, 8.6]%)</w:t>
                  </w:r>
                </w:p>
              </w:tc>
              <w:tc>
                <w:tcPr/>
                <w:p>
                  <w:pPr>
                    <w:pStyle w:val="Compact"/>
                    <w:jc w:val="righ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2021</w:t>
                  </w:r>
                </w:p>
              </w:tc>
              <w:tc>
                <w:tcPr/>
                <w:p>
                  <w:pPr>
                    <w:pStyle w:val="Compact"/>
                    <w:jc w:val="left"/>
                    <w:jc w:val="center"/>
                  </w:pPr>
                  <w:r>
                    <w:t xml:space="preserve">Longitudinal (prospective)</w:t>
                  </w:r>
                  <w:r>
                    <w:t xml:space="preserve"> </w:t>
                  </w:r>
                  <w:r>
                    <w:t xml:space="preserve">FU: until death occurred or 3–13 years</w:t>
                  </w:r>
                  <w:r>
                    <w:t xml:space="preserve"> </w:t>
                  </w:r>
                  <w:r>
                    <w:t xml:space="preserve">Median: 6.9 years</w:t>
                  </w:r>
                </w:p>
              </w:tc>
              <w:tc>
                <w:tcPr/>
                <w:p>
                  <w:pPr>
                    <w:pStyle w:val="Compact"/>
                    <w:jc w:val="left"/>
                    <w:jc w:val="center"/>
                  </w:pPr>
                  <w:r>
                    <w:t xml:space="preserve">T2D, hospitalized</w:t>
                  </w:r>
                </w:p>
              </w:tc>
              <w:tc>
                <w:tcPr/>
                <w:p>
                  <w:pPr>
                    <w:pStyle w:val="Compact"/>
                    <w:jc w:val="center"/>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2019</w:t>
                  </w:r>
                </w:p>
              </w:tc>
              <w:tc>
                <w:tcPr/>
                <w:p>
                  <w:pPr>
                    <w:pStyle w:val="Compact"/>
                    <w:jc w:val="left"/>
                    <w:jc w:val="center"/>
                  </w:pPr>
                  <w:r>
                    <w:t xml:space="preserve">Longitudinal (prospective)</w:t>
                  </w:r>
                  <w:r>
                    <w:t xml:space="preserve"> </w:t>
                  </w:r>
                  <w:r>
                    <w:t xml:space="preserve">Median FU [IQR]: 31 months (22, 56)</w:t>
                  </w:r>
                </w:p>
              </w:tc>
              <w:tc>
                <w:tcPr/>
                <w:p>
                  <w:pPr>
                    <w:pStyle w:val="Compact"/>
                    <w:jc w:val="left"/>
                    <w:jc w:val="center"/>
                  </w:pPr>
                  <w:r>
                    <w:t xml:space="preserve">T2D Divided into three groups:</w:t>
                  </w:r>
                  <w:r>
                    <w:t xml:space="preserve"> </w:t>
                  </w:r>
                  <w:r>
                    <w:t xml:space="preserve">1) No hypo, n = 1173</w:t>
                  </w:r>
                  <w:r>
                    <w:t xml:space="preserve"> </w:t>
                  </w:r>
                  <w:r>
                    <w:t xml:space="preserve">2) Mild hypo (lvl1), n = 323</w:t>
                  </w:r>
                  <w:r>
                    <w:t xml:space="preserve"> </w:t>
                  </w:r>
                  <w:r>
                    <w:t xml:space="preserve">3) Severe hypo (lvl3), n = 24</w:t>
                  </w:r>
                </w:p>
              </w:tc>
              <w:tc>
                <w:tcPr/>
                <w:p>
                  <w:pPr>
                    <w:pStyle w:val="Compact"/>
                    <w:jc w:val="center"/>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 </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 </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 </w:t>
                  </w:r>
                  <w:r>
                    <w:t xml:space="preserve">Hypoglycemia: (7.73</w:t>
                  </w:r>
                  <w:r>
                    <w:t xml:space="preserve"> </w:t>
                  </w:r>
                  <m:oMath>
                    <m:r>
                      <m:rPr>
                        <m:sty m:val="p"/>
                      </m:rPr>
                      <m:t>±</m:t>
                    </m:r>
                  </m:oMath>
                  <w:r>
                    <w:t xml:space="preserve"> </w:t>
                  </w:r>
                  <w:r>
                    <w:t xml:space="preserve">1.96%)</w:t>
                  </w:r>
                </w:p>
              </w:tc>
              <w:tc>
                <w:tcPr/>
                <w:p>
                  <w:pPr>
                    <w:pStyle w:val="Compact"/>
                    <w:jc w:val="righ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righ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righ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 </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 </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 </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righ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center"/>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righ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 </w:t>
                  </w:r>
                  <w:r>
                    <w:t xml:space="preserve">With Stroke, n = 48</w:t>
                  </w:r>
                  <w:r>
                    <w:t xml:space="preserve"> </w:t>
                  </w:r>
                  <w:r>
                    <w:t xml:space="preserve">Without Stroke, n = 462</w:t>
                  </w:r>
                </w:p>
              </w:tc>
              <w:tc>
                <w:tcPr/>
                <w:p>
                  <w:pPr>
                    <w:pStyle w:val="Compact"/>
                    <w:jc w:val="center"/>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 </w:t>
                  </w:r>
                  <w:r>
                    <w:t xml:space="preserve">Stroke: 8.2</w:t>
                  </w:r>
                  <w:r>
                    <w:t xml:space="preserve"> </w:t>
                  </w:r>
                  <m:oMath>
                    <m:r>
                      <m:rPr>
                        <m:sty m:val="p"/>
                      </m:rPr>
                      <m:t>±</m:t>
                    </m:r>
                  </m:oMath>
                  <w:r>
                    <w:t xml:space="preserve"> </w:t>
                  </w:r>
                  <w:r>
                    <w:t xml:space="preserve">1.7</w:t>
                  </w:r>
                </w:p>
              </w:tc>
              <w:tc>
                <w:tcPr/>
                <w:p>
                  <w:pPr>
                    <w:pStyle w:val="Compact"/>
                    <w:jc w:val="right"/>
                    <w:jc w:val="center"/>
                  </w:pPr>
                  <w:r>
                    <w:t xml:space="preserve">72 hour</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 </w:t>
                  </w:r>
                  <w:r>
                    <w:t xml:space="preserve">T2D without LEAD, n = 157</w:t>
                  </w:r>
                </w:p>
              </w:tc>
              <w:tc>
                <w:tcPr/>
                <w:p>
                  <w:pPr>
                    <w:pStyle w:val="Compact"/>
                    <w:jc w:val="center"/>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 </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 </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 </w:t>
                  </w:r>
                  <w:r>
                    <w:t xml:space="preserve">With LEAD: 8.97</w:t>
                  </w:r>
                  <w:r>
                    <w:t xml:space="preserve"> </w:t>
                  </w:r>
                  <m:oMath>
                    <m:r>
                      <m:rPr>
                        <m:sty m:val="p"/>
                      </m:rPr>
                      <m:t>±</m:t>
                    </m:r>
                  </m:oMath>
                  <w:r>
                    <w:t xml:space="preserve"> </w:t>
                  </w:r>
                  <w:r>
                    <w:t xml:space="preserve">1.63%</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 </w:t>
                  </w:r>
                  <w:r>
                    <w:t xml:space="preserve">Without CAD, n = 202</w:t>
                  </w:r>
                  <w:r>
                    <w:t xml:space="preserve"> </w:t>
                  </w:r>
                  <w:r>
                    <w:t xml:space="preserve">With CAD, n = 84</w:t>
                  </w:r>
                </w:p>
              </w:tc>
              <w:tc>
                <w:tcPr/>
                <w:p>
                  <w:pPr>
                    <w:pStyle w:val="Compact"/>
                    <w:jc w:val="center"/>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 </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 </w:t>
                  </w:r>
                  <w:r>
                    <w:t xml:space="preserve">CAD: 7.75</w:t>
                  </w:r>
                  <w:r>
                    <w:t xml:space="preserve"> </w:t>
                  </w:r>
                  <m:oMath>
                    <m:r>
                      <m:rPr>
                        <m:sty m:val="p"/>
                      </m:rPr>
                      <m:t>±</m:t>
                    </m:r>
                  </m:oMath>
                  <w:r>
                    <w:t xml:space="preserve"> </w:t>
                  </w:r>
                  <w:r>
                    <w:t xml:space="preserve">0.92%</w:t>
                  </w:r>
                </w:p>
              </w:tc>
              <w:tc>
                <w:tcPr/>
                <w:p>
                  <w:pPr>
                    <w:pStyle w:val="Compact"/>
                    <w:jc w:val="right"/>
                    <w:jc w:val="center"/>
                  </w:pPr>
                  <w:r>
                    <w:t xml:space="preserve">72 hours (Only intermediate 48 hours were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center"/>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right"/>
                    <w:jc w:val="center"/>
                  </w:pPr>
                  <w:r>
                    <w:t xml:space="preserve">7-14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 </w:t>
                  </w:r>
                  <w:r>
                    <w:t xml:space="preserve">Without CAD, n = 92</w:t>
                  </w:r>
                  <w:r>
                    <w:t xml:space="preserve"> </w:t>
                  </w:r>
                  <w:r>
                    <w:t xml:space="preserve">With CAD, n = 252</w:t>
                  </w:r>
                </w:p>
              </w:tc>
              <w:tc>
                <w:tcPr/>
                <w:p>
                  <w:pPr>
                    <w:pStyle w:val="Compact"/>
                    <w:jc w:val="center"/>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 </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 </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 </w:t>
                  </w:r>
                  <w:r>
                    <w:t xml:space="preserve">CAD: 7.6</w:t>
                  </w:r>
                  <w:r>
                    <w:t xml:space="preserve"> </w:t>
                  </w:r>
                  <m:oMath>
                    <m:r>
                      <m:rPr>
                        <m:sty m:val="p"/>
                      </m:rPr>
                      <m:t>±</m:t>
                    </m:r>
                  </m:oMath>
                  <w:r>
                    <w:t xml:space="preserve"> </w:t>
                  </w:r>
                  <w:r>
                    <w:t xml:space="preserve">1.5%</w:t>
                  </w:r>
                </w:p>
              </w:tc>
              <w:tc>
                <w:tcPr/>
                <w:p>
                  <w:pPr>
                    <w:pStyle w:val="Compact"/>
                    <w:jc w:val="right"/>
                    <w:jc w:val="center"/>
                  </w:pPr>
                  <w:r>
                    <w:t xml:space="preserve">72 hours (only 48 hours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center"/>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right"/>
                    <w:jc w:val="center"/>
                  </w:pPr>
                  <w:r>
                    <w:t xml:space="preserve">72 hours (Only used the middle 48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 </w:t>
                  </w:r>
                  <w:r>
                    <w:t xml:space="preserve">Group A: healthy individuals</w:t>
                  </w:r>
                  <w:r>
                    <w:t xml:space="preserve"> </w:t>
                  </w:r>
                  <w:r>
                    <w:t xml:space="preserve">Group B: T2D without cardiovascular complications</w:t>
                  </w:r>
                  <w:r>
                    <w:t xml:space="preserve"> </w:t>
                  </w:r>
                  <w:r>
                    <w:t xml:space="preserve">Group C: T2D with cardiovascular complications</w:t>
                  </w:r>
                </w:p>
              </w:tc>
              <w:tc>
                <w:tcPr/>
                <w:p>
                  <w:pPr>
                    <w:pStyle w:val="Compact"/>
                    <w:jc w:val="center"/>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 </w:t>
                  </w:r>
                  <w:r>
                    <w:t xml:space="preserve">Group B: 56.1</w:t>
                  </w:r>
                  <w:r>
                    <w:t xml:space="preserve"> </w:t>
                  </w:r>
                  <m:oMath>
                    <m:r>
                      <m:rPr>
                        <m:sty m:val="p"/>
                      </m:rPr>
                      <m:t>±</m:t>
                    </m:r>
                  </m:oMath>
                  <w:r>
                    <w:t xml:space="preserve"> </w:t>
                  </w:r>
                  <w:r>
                    <w:t xml:space="preserve">6.6</w:t>
                  </w:r>
                  <w:r>
                    <w:t xml:space="preserve"> </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 </w:t>
                  </w:r>
                  <w:r>
                    <w:t xml:space="preserve">Group B: 6.6</w:t>
                  </w:r>
                  <w:r>
                    <w:t xml:space="preserve"> </w:t>
                  </w:r>
                  <m:oMath>
                    <m:r>
                      <m:rPr>
                        <m:sty m:val="p"/>
                      </m:rPr>
                      <m:t>±</m:t>
                    </m:r>
                  </m:oMath>
                  <w:r>
                    <w:t xml:space="preserve"> </w:t>
                  </w:r>
                  <w:r>
                    <w:t xml:space="preserve">1.2%</w:t>
                  </w:r>
                  <w:r>
                    <w:t xml:space="preserve"> </w:t>
                  </w:r>
                  <w:r>
                    <w:t xml:space="preserve">Group C: 7.5</w:t>
                  </w:r>
                  <w:r>
                    <w:t xml:space="preserve"> </w:t>
                  </w:r>
                  <m:oMath>
                    <m:r>
                      <m:rPr>
                        <m:sty m:val="p"/>
                      </m:rPr>
                      <m:t>±</m:t>
                    </m:r>
                  </m:oMath>
                  <w:r>
                    <w:t xml:space="preserve"> </w:t>
                  </w:r>
                  <w:r>
                    <w:t xml:space="preserve">1.4%</w:t>
                  </w:r>
                </w:p>
              </w:tc>
              <w:tc>
                <w:tcPr/>
                <w:p>
                  <w:pPr>
                    <w:pStyle w:val="Compact"/>
                    <w:jc w:val="right"/>
                    <w:jc w:val="center"/>
                  </w:pPr>
                  <w:r>
                    <w:t xml:space="preserve">72 hours</w:t>
                  </w:r>
                </w:p>
              </w:tc>
            </w:tr>
          </w:tbl>
          <w:bookmarkEnd w:id="41"/>
          <w:p/>
        </w:tc>
      </w:tr>
    </w:tbl>
    <w:p>
      <w:pPr>
        <w:sectPr>
          <w:pgSz w:h="11906" w:w="16838" w:orient="landscape"/>
        </w:sectPr>
      </w:pPr>
    </w:p>
    <w:p>
      <w:pPr>
        <w:pStyle w:val="BodyText"/>
      </w:pPr>
      <w:r>
        <w:t xml:space="preserve">Clinical cardiovascular outcomes comprised cardiovascular mortality, major adverse cardiovascular events, macrovascular complications, coronary artery disease, stroke, and peripheral artery disease. Most studies were observational and differed substantially in study populations, CGM-derived metrics, outcome definitions, and adjustment strategies. Consequently, direct comparison across studies was challenging. The reported effect estimates from the least and most adjusted analyses are summarized in</w:t>
      </w:r>
      <w:r>
        <w:t xml:space="preserve"> </w:t>
      </w:r>
      <w:hyperlink w:anchor="tbl-main-clinical-findings">
        <w:r>
          <w:rPr>
            <w:rStyle w:val="Hyperlink"/>
          </w:rPr>
          <w:t xml:space="preserve">Table 1.4</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42" w:name="tbl-main-clinical-findings"/>
          <w:p>
            <w:pPr>
              <w:jc w:val="center"/>
            </w:pPr>
            <w:pPr>
              <w:jc w:val="left"/>
              <w:spacing w:before="200"/>
              <w:pStyle w:val="ImageCaption"/>
            </w:pPr>
            <w:r>
              <w:t xml:space="preserve">Table 1.4: : Main findings of the included studies on clinical cardiovascular outcomes. WIP: Still need to add suppl. files, and adjustment column</w:t>
            </w:r>
          </w:p>
          <w:tbl>
            <w:tblPr>
              <w:tblStyle w:val="Table"/>
              <w:tblW w:type="pct" w:w="5000"/>
              <w:tblLayout w:type="fixed"/>
              <w:tblLook w:firstRow="1" w:lastRow="0" w:firstColumn="0" w:lastColumn="0" w:noHBand="0" w:noVBand="0" w:val="0020"/>
            </w:tblPr>
            <w:tblGrid>
              <w:gridCol w:w="2376"/>
              <w:gridCol w:w="1188"/>
              <w:gridCol w:w="1188"/>
              <w:gridCol w:w="1188"/>
              <w:gridCol w:w="792"/>
              <w:gridCol w:w="1188"/>
            </w:tblGrid>
            <w:tr>
              <w:trPr>
                <w:tblHeader w:val="on"/>
              </w:trPr>
              <w:tc>
                <w:tcPr/>
                <w:p>
                  <w:pPr>
                    <w:pStyle w:val="Compact"/>
                    <w:jc w:val="left"/>
                    <w:jc w:val="center"/>
                  </w:pPr>
                  <w:r>
                    <w:t xml:space="preserve">Outcome, reference, and continuous glucose monitoring metrics</w:t>
                  </w:r>
                </w:p>
              </w:tc>
              <w:tc>
                <w:tcPr/>
                <w:p>
                  <w:pPr>
                    <w:pStyle w:val="Compact"/>
                    <w:jc w:val="left"/>
                    <w:jc w:val="center"/>
                  </w:pPr>
                  <w:r>
                    <w:t xml:space="preserve">Unadjusted or least adjusted findings</w:t>
                  </w:r>
                </w:p>
              </w:tc>
              <w:tc>
                <w:tcPr/>
                <w:p>
                  <w:pPr>
                    <w:pStyle w:val="Compact"/>
                    <w:jc w:val="center"/>
                    <w:jc w:val="center"/>
                  </w:pPr>
                  <m:oMath>
                    <m:r>
                      <m:t>P</m:t>
                    </m:r>
                  </m:oMath>
                  <w:r>
                    <w:t xml:space="preserve"> </w:t>
                  </w:r>
                  <w:r>
                    <w:t xml:space="preserve">value for the least adjusted findings</w:t>
                  </w:r>
                </w:p>
              </w:tc>
              <w:tc>
                <w:tcPr/>
                <w:p>
                  <w:pPr>
                    <w:pStyle w:val="Compact"/>
                    <w:jc w:val="left"/>
                    <w:jc w:val="center"/>
                  </w:pPr>
                  <w:r>
                    <w:t xml:space="preserve">Most adjusted findings</w:t>
                  </w:r>
                </w:p>
              </w:tc>
              <w:tc>
                <w:tcPr/>
                <w:p>
                  <w:pPr>
                    <w:pStyle w:val="Compact"/>
                    <w:jc w:val="center"/>
                    <w:jc w:val="center"/>
                  </w:pPr>
                  <m:oMath>
                    <m:r>
                      <m:t>P</m:t>
                    </m:r>
                  </m:oMath>
                  <w:r>
                    <w:t xml:space="preserve"> </w:t>
                  </w:r>
                  <w:r>
                    <w:t xml:space="preserve">value for the most adjusted findings</w:t>
                  </w:r>
                </w:p>
              </w:tc>
              <w:tc>
                <w:tcPr/>
                <w:p>
                  <w:pPr>
                    <w:pStyle w:val="Compact"/>
                    <w:jc w:val="left"/>
                    <w:jc w:val="center"/>
                  </w:pPr>
                  <w:r>
                    <w:t xml:space="preserve">Adjustments</w:t>
                  </w:r>
                </w:p>
              </w:tc>
            </w:tr>
            <w:tr>
              <w:tc>
                <w:tcPr/>
                <w:p>
                  <w:pPr>
                    <w:pStyle w:val="Compact"/>
                    <w:jc w:val="lef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Model 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Demographic</w:t>
                  </w:r>
                </w:p>
              </w:tc>
            </w:tr>
            <w:tr>
              <w:tc>
                <w:tcPr/>
                <w:p>
                  <w:pPr>
                    <w:pStyle w:val="Compact"/>
                    <w:jc w:val="left"/>
                    <w:jc w:val="center"/>
                  </w:pPr>
                  <w:r>
                    <w:t xml:space="preserve">Lu et al</w:t>
                  </w:r>
                  <w:r>
                    <w:rPr>
                      <w:vertAlign w:val="superscript"/>
                    </w:rPr>
                    <w:t xml:space="preserve">2</w:t>
                  </w:r>
                  <w:r>
                    <w:t xml:space="preserve">, 2021</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Model 2:</w:t>
                  </w:r>
                </w:p>
              </w:tc>
            </w:tr>
            <w:tr>
              <w:tc>
                <w:tcPr/>
                <w:p>
                  <w:pPr>
                    <w:pStyle w:val="Compact"/>
                    <w:jc w:val="left"/>
                    <w:jc w:val="center"/>
                  </w:pPr>
                  <w:r>
                    <w:t xml:space="preserve">    TIR</w:t>
                  </w:r>
                  <w:r>
                    <w:t xml:space="preserve"> </w:t>
                  </w:r>
                  <m:oMath>
                    <m:r>
                      <m:rPr>
                        <m:sty m:val="p"/>
                      </m:rPr>
                      <m:t>&gt;</m:t>
                    </m:r>
                    <m:r>
                      <m:t>85</m:t>
                    </m:r>
                    <m:r>
                      <m:rPr>
                        <m:sty m:val="p"/>
                      </m:rPr>
                      <m:t>%</m:t>
                    </m:r>
                  </m:oMath>
                </w:p>
              </w:tc>
              <w:tc>
                <w:tcPr/>
                <w:p>
                  <w:pPr>
                    <w:pStyle w:val="Compact"/>
                    <w:jc w:val="left"/>
                    <w:jc w:val="center"/>
                  </w:pPr>
                  <w:r>
                    <w:t xml:space="preserve">HR 1.00</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1.00</w:t>
                  </w:r>
                </w:p>
              </w:tc>
              <w:tc>
                <w:tcPr/>
                <w:p>
                  <w:pPr>
                    <w:pStyle w:val="Compact"/>
                    <w:jc w:val="center"/>
                    <w:jc w:val="center"/>
                  </w:pPr>
                  <m:oMath>
                    <m:r>
                      <m:t>0.02</m:t>
                    </m:r>
                  </m:oMath>
                  <w:r>
                    <w:t xml:space="preserve"> </w:t>
                  </w:r>
                  <w:r>
                    <w:t xml:space="preserve">(trend)</w:t>
                  </w:r>
                </w:p>
              </w:tc>
              <w:tc>
                <w:tcPr/>
                <w:p>
                  <w:pPr>
                    <w:pStyle w:val="Compact"/>
                    <w:jc w:val="left"/>
                    <w:jc w:val="center"/>
                  </w:pPr>
                  <w:r>
                    <w:t xml:space="preserve">Demographic</w:t>
                  </w:r>
                </w:p>
              </w:tc>
            </w:tr>
            <w:tr>
              <w:tc>
                <w:tcPr/>
                <w:p>
                  <w:pPr>
                    <w:pStyle w:val="Compact"/>
                    <w:jc w:val="left"/>
                    <w:jc w:val="center"/>
                  </w:pPr>
                  <w:r>
                    <w:t xml:space="preserve">    TIR</w:t>
                  </w:r>
                  <w:r>
                    <w:t xml:space="preserve"> </w:t>
                  </w:r>
                  <m:oMath>
                    <m:r>
                      <m:t>71</m:t>
                    </m:r>
                    <m:r>
                      <m:rPr>
                        <m:sty m:val="p"/>
                      </m:rPr>
                      <m:t>%</m:t>
                    </m:r>
                    <m:r>
                      <m:rPr>
                        <m:sty m:val="p"/>
                      </m:rPr>
                      <m:t>−</m:t>
                    </m:r>
                    <m:r>
                      <m:t>85</m:t>
                    </m:r>
                    <m:r>
                      <m:rPr>
                        <m:sty m:val="p"/>
                      </m:rPr>
                      <m:t>%</m:t>
                    </m:r>
                  </m:oMath>
                </w:p>
              </w:tc>
              <w:tc>
                <w:tcPr/>
                <w:p>
                  <w:pPr>
                    <w:pStyle w:val="Compact"/>
                    <w:jc w:val="left"/>
                    <w:jc w:val="center"/>
                  </w:pPr>
                  <w:r>
                    <w:t xml:space="preserve">HR: 1.43</w:t>
                  </w:r>
                  <w:r>
                    <w:t xml:space="preserve"> </w:t>
                  </w:r>
                  <w:r>
                    <w:t xml:space="preserve">(0.95–2.14)</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1.35</w:t>
                  </w:r>
                  <w:r>
                    <w:t xml:space="preserve"> </w:t>
                  </w:r>
                  <w:r>
                    <w:t xml:space="preserve">(0.90–2.04)</w:t>
                  </w:r>
                </w:p>
              </w:tc>
              <w:tc>
                <w:tcPr/>
                <w:p>
                  <w:pPr>
                    <w:pStyle w:val="Compact"/>
                    <w:jc w:val="center"/>
                    <w:jc w:val="center"/>
                  </w:pPr>
                  <m:oMath>
                    <m:r>
                      <m:t>0.02</m:t>
                    </m:r>
                  </m:oMath>
                  <w:r>
                    <w:t xml:space="preserve"> </w:t>
                  </w:r>
                  <w:r>
                    <w:t xml:space="preserve">(trend)</w:t>
                  </w:r>
                </w:p>
              </w:tc>
              <w:tc>
                <w:tcPr/>
                <w:p>
                  <w:pPr>
                    <w:pStyle w:val="Compact"/>
                    <w:jc w:val="left"/>
                    <w:jc w:val="center"/>
                  </w:pPr>
                  <w:r>
                    <w:t xml:space="preserve">   Anthropometric</w:t>
                  </w:r>
                </w:p>
              </w:tc>
            </w:tr>
            <w:tr>
              <w:tc>
                <w:tcPr/>
                <w:p>
                  <w:pPr>
                    <w:pStyle w:val="Compact"/>
                    <w:jc w:val="left"/>
                    <w:jc w:val="center"/>
                  </w:pPr>
                  <w:r>
                    <w:t xml:space="preserve">    TIR</w:t>
                  </w:r>
                  <w:r>
                    <w:t xml:space="preserve"> </w:t>
                  </w:r>
                  <m:oMath>
                    <m:r>
                      <m:t>51</m:t>
                    </m:r>
                    <m:r>
                      <m:rPr>
                        <m:sty m:val="p"/>
                      </m:rPr>
                      <m:t>%</m:t>
                    </m:r>
                    <m:r>
                      <m:rPr>
                        <m:sty m:val="p"/>
                      </m:rPr>
                      <m:t>−</m:t>
                    </m:r>
                    <m:r>
                      <m:t>70</m:t>
                    </m:r>
                    <m:r>
                      <m:rPr>
                        <m:sty m:val="p"/>
                      </m:rPr>
                      <m:t>%</m:t>
                    </m:r>
                  </m:oMath>
                </w:p>
              </w:tc>
              <w:tc>
                <w:tcPr/>
                <w:p>
                  <w:pPr>
                    <w:pStyle w:val="Compact"/>
                    <w:jc w:val="left"/>
                    <w:jc w:val="center"/>
                  </w:pPr>
                  <w:r>
                    <w:t xml:space="preserve">HR: 1.66</w:t>
                  </w:r>
                  <w:r>
                    <w:t xml:space="preserve"> </w:t>
                  </w:r>
                  <w:r>
                    <w:t xml:space="preserve">(1.12–2.45)</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1.47</w:t>
                  </w:r>
                  <w:r>
                    <w:t xml:space="preserve"> </w:t>
                  </w:r>
                  <w:r>
                    <w:t xml:space="preserve">(0.99–2.19)</w:t>
                  </w:r>
                </w:p>
              </w:tc>
              <w:tc>
                <w:tcPr/>
                <w:p>
                  <w:pPr>
                    <w:pStyle w:val="Compact"/>
                    <w:jc w:val="center"/>
                    <w:jc w:val="center"/>
                  </w:pPr>
                  <m:oMath>
                    <m:r>
                      <m:t>0.02</m:t>
                    </m:r>
                  </m:oMath>
                  <w:r>
                    <w:t xml:space="preserve"> </w:t>
                  </w:r>
                  <w:r>
                    <w:t xml:space="preserve">(trend)</w:t>
                  </w:r>
                </w:p>
              </w:tc>
              <w:tc>
                <w:tcPr/>
                <w:p>
                  <w:pPr>
                    <w:pStyle w:val="Compact"/>
                    <w:jc w:val="left"/>
                    <w:jc w:val="center"/>
                  </w:pPr>
                  <w:r>
                    <w:t xml:space="preserve">   Lifestyle</w:t>
                  </w:r>
                </w:p>
              </w:tc>
            </w:tr>
            <w:tr>
              <w:tc>
                <w:tcPr/>
                <w:p>
                  <w:pPr>
                    <w:pStyle w:val="Compact"/>
                    <w:jc w:val="left"/>
                    <w:jc w:val="center"/>
                  </w:pPr>
                  <w:r>
                    <w:t xml:space="preserve">    TIR</w:t>
                  </w:r>
                  <w:r>
                    <w:t xml:space="preserve"> </w:t>
                  </w:r>
                  <m:oMath>
                    <m:r>
                      <m:rPr>
                        <m:sty m:val="p"/>
                      </m:rPr>
                      <m:t>≥</m:t>
                    </m:r>
                    <m:r>
                      <m:t>50</m:t>
                    </m:r>
                    <m:r>
                      <m:rPr>
                        <m:sty m:val="p"/>
                      </m:rPr>
                      <m:t>%</m:t>
                    </m:r>
                  </m:oMath>
                </w:p>
              </w:tc>
              <w:tc>
                <w:tcPr/>
                <w:p>
                  <w:pPr>
                    <w:pStyle w:val="Compact"/>
                    <w:jc w:val="left"/>
                    <w:jc w:val="center"/>
                  </w:pPr>
                  <w:r>
                    <w:t xml:space="preserve">HR: 2.15</w:t>
                  </w:r>
                  <w:r>
                    <w:t xml:space="preserve"> </w:t>
                  </w:r>
                  <w:r>
                    <w:t xml:space="preserve">(1.47–3.13)</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1.85</w:t>
                  </w:r>
                  <w:r>
                    <w:t xml:space="preserve"> </w:t>
                  </w:r>
                  <w:r>
                    <w:t xml:space="preserve">(1.25–2.72)</w:t>
                  </w:r>
                </w:p>
              </w:tc>
              <w:tc>
                <w:tcPr/>
                <w:p>
                  <w:pPr>
                    <w:pStyle w:val="Compact"/>
                    <w:jc w:val="center"/>
                    <w:jc w:val="center"/>
                  </w:pPr>
                  <m:oMath>
                    <m:r>
                      <m:t>0.02</m:t>
                    </m:r>
                  </m:oMath>
                  <w:r>
                    <w:t xml:space="preserve"> </w:t>
                  </w:r>
                  <w:r>
                    <w:t xml:space="preserve">(trend)</w:t>
                  </w:r>
                </w:p>
              </w:tc>
              <w:tc>
                <w:tcPr/>
                <w:p>
                  <w:pPr>
                    <w:pStyle w:val="Compact"/>
                    <w:jc w:val="left"/>
                    <w:jc w:val="center"/>
                  </w:pPr>
                  <w:r>
                    <w:t xml:space="preserve">   Medical History</w:t>
                  </w:r>
                </w:p>
              </w:tc>
            </w:tr>
            <w:tr>
              <w:tc>
                <w:tcPr/>
                <w:p>
                  <w:pPr>
                    <w:pStyle w:val="Compact"/>
                    <w:jc w:val="left"/>
                    <w:jc w:val="center"/>
                  </w:pPr>
                  <w:r>
                    <w:t xml:space="preserve">    TIR as a</w:t>
                  </w:r>
                  <w:r>
                    <w:t xml:space="preserve"> </w:t>
                  </w:r>
                  <w:r>
                    <w:t xml:space="preserve">continuous variable</w:t>
                  </w:r>
                </w:p>
              </w:tc>
              <w:tc>
                <w:tcPr/>
                <w:p>
                  <w:pPr>
                    <w:pStyle w:val="Compact"/>
                    <w:jc w:val="left"/>
                    <w:jc w:val="center"/>
                  </w:pPr>
                  <w:r>
                    <w:t xml:space="preserve">HR 1.08</w:t>
                  </w:r>
                  <w:r>
                    <w:t xml:space="preserve"> </w:t>
                  </w:r>
                  <w:r>
                    <w:t xml:space="preserve">(1.03–1.13)</w:t>
                  </w:r>
                </w:p>
              </w:tc>
              <w:tc>
                <w:tcPr/>
                <w:p>
                  <w:pPr>
                    <w:pStyle w:val="Compact"/>
                    <w:jc w:val="center"/>
                    <w:jc w:val="center"/>
                  </w:pPr>
                  <w:r>
                    <w:t xml:space="preserve">—</w:t>
                  </w:r>
                </w:p>
              </w:tc>
              <w:tc>
                <w:tcPr/>
                <w:p>
                  <w:pPr>
                    <w:pStyle w:val="Compact"/>
                    <w:jc w:val="left"/>
                    <w:jc w:val="center"/>
                  </w:pPr>
                  <w:r>
                    <w:t xml:space="preserve">HR 1.05</w:t>
                  </w:r>
                  <w:r>
                    <w:t xml:space="preserve"> </w:t>
                  </w:r>
                  <w:r>
                    <w:t xml:space="preserve">(1.00–1.11)</w:t>
                  </w:r>
                </w:p>
              </w:tc>
              <w:tc>
                <w:tcPr/>
                <w:p>
                  <w:pPr>
                    <w:pStyle w:val="Compact"/>
                    <w:jc w:val="center"/>
                    <w:jc w:val="center"/>
                  </w:pPr>
                  <w:r>
                    <w:t xml:space="preserve">—</w:t>
                  </w:r>
                </w:p>
              </w:tc>
              <w:tc>
                <w:tcPr/>
                <w:p>
                  <w:pPr>
                    <w:pStyle w:val="Compact"/>
                    <w:jc w:val="left"/>
                    <w:jc w:val="center"/>
                  </w:pPr>
                  <w:r>
                    <w:t xml:space="preserve">   Physiological</w:t>
                  </w:r>
                </w:p>
              </w:tc>
            </w:tr>
            <w:tr>
              <w:tc>
                <w:tcPr/>
                <w:p>
                  <w:pPr>
                    <w:pStyle w:val="Compact"/>
                    <w:jc w:val="left"/>
                    <w:jc w:val="center"/>
                  </w:pPr>
                  <w:r>
                    <w:t xml:space="preserve">    (each</w:t>
                  </w:r>
                  <w:r>
                    <w:t xml:space="preserve"> </w:t>
                  </w:r>
                  <m:oMath>
                    <m:r>
                      <m:t>10</m:t>
                    </m:r>
                    <m:r>
                      <m:rPr>
                        <m:sty m:val="p"/>
                      </m:rPr>
                      <m:t>%</m:t>
                    </m:r>
                  </m:oMath>
                  <w:r>
                    <w:t xml:space="preserve"> </w:t>
                  </w:r>
                  <w:r>
                    <w:t xml:space="preserve">decrease)</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Least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Most adjusted:</w:t>
                  </w: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Demographic</w:t>
                  </w:r>
                </w:p>
              </w:tc>
            </w:tr>
            <w:tr>
              <w:tc>
                <w:tcPr/>
                <w:p>
                  <w:pPr>
                    <w:pStyle w:val="Compact"/>
                    <w:jc w:val="left"/>
                    <w:jc w:val="center"/>
                  </w:pPr>
                  <w:r>
                    <w:t xml:space="preserve">    Hypoglycemic events</w:t>
                  </w:r>
                </w:p>
              </w:tc>
              <w:tc>
                <w:tcPr/>
                <w:p>
                  <w:pPr>
                    <w:pStyle w:val="Compact"/>
                    <w:jc w:val="left"/>
                    <w:jc w:val="center"/>
                  </w:pPr>
                  <w:r>
                    <w:t xml:space="preserve">HR: 2.03</w:t>
                  </w:r>
                  <w:r>
                    <w:t xml:space="preserve"> </w:t>
                  </w:r>
                  <w:r>
                    <w:t xml:space="preserve">(1.21–3.41)</w:t>
                  </w:r>
                </w:p>
              </w:tc>
              <w:tc>
                <w:tcPr/>
                <w:p>
                  <w:pPr>
                    <w:pStyle w:val="Compact"/>
                    <w:jc w:val="center"/>
                    <w:jc w:val="center"/>
                  </w:pPr>
                  <w:r>
                    <w:t xml:space="preserve">—</w:t>
                  </w:r>
                </w:p>
              </w:tc>
              <w:tc>
                <w:tcPr/>
                <w:p>
                  <w:pPr>
                    <w:pStyle w:val="Compact"/>
                    <w:jc w:val="left"/>
                    <w:jc w:val="center"/>
                  </w:pPr>
                  <w:r>
                    <w:t xml:space="preserve">HR: 2.64</w:t>
                  </w:r>
                  <w:r>
                    <w:t xml:space="preserve"> </w:t>
                  </w:r>
                  <w:r>
                    <w:t xml:space="preserve">(1.40–4.99)</w:t>
                  </w:r>
                </w:p>
              </w:tc>
              <w:tc>
                <w:tcPr/>
                <w:p>
                  <w:pPr>
                    <w:pStyle w:val="Compact"/>
                    <w:jc w:val="center"/>
                    <w:jc w:val="center"/>
                  </w:pPr>
                  <w:r>
                    <w:t xml:space="preserve">—</w:t>
                  </w:r>
                </w:p>
              </w:tc>
              <w:tc>
                <w:tcPr/>
                <w:p>
                  <w:pPr>
                    <w:pStyle w:val="Compact"/>
                    <w:jc w:val="lef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et al</w:t>
                  </w:r>
                  <w:r>
                    <w:rPr>
                      <w:b/>
                      <w:bCs/>
                      <w:vertAlign w:val="superscript"/>
                    </w:rPr>
                    <w:t xml:space="preserve">He2023?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Blood glucose</w:t>
                  </w:r>
                  <w:r>
                    <w:t xml:space="preserve"> </w:t>
                  </w:r>
                  <w:r>
                    <w:t xml:space="preserve">risk index</w:t>
                  </w:r>
                </w:p>
              </w:tc>
              <w:tc>
                <w:tcPr/>
                <w:p>
                  <w:pPr>
                    <w:pStyle w:val="Compact"/>
                    <w:jc w:val="left"/>
                    <w:jc w:val="center"/>
                  </w:pPr>
                  <w:r>
                    <w:t xml:space="preserve">HR: 0.97</w:t>
                  </w:r>
                  <w:r>
                    <w:t xml:space="preserve"> </w:t>
                  </w:r>
                  <w:r>
                    <w:t xml:space="preserve">(0.85–1.10)</w:t>
                  </w:r>
                </w:p>
              </w:tc>
              <w:tc>
                <w:tcPr/>
                <w:p>
                  <w:pPr>
                    <w:pStyle w:val="Compact"/>
                    <w:jc w:val="center"/>
                    <w:jc w:val="center"/>
                  </w:pPr>
                  <m:oMath>
                    <m:r>
                      <m:t>0.61</m:t>
                    </m:r>
                  </m:oMath>
                </w:p>
              </w:tc>
              <w:tc>
                <w:tcPr/>
                <w:p>
                  <w:pPr>
                    <w:pStyle w:val="Compact"/>
                    <w:jc w:val="left"/>
                    <w:jc w:val="center"/>
                  </w:pPr>
                  <w:r>
                    <w:t xml:space="preserve">HR: 0.98</w:t>
                  </w:r>
                  <w:r>
                    <w:t xml:space="preserve"> </w:t>
                  </w:r>
                  <w:r>
                    <w:t xml:space="preserve">(0.85–1.13)</w:t>
                  </w:r>
                </w:p>
              </w:tc>
              <w:tc>
                <w:tcPr/>
                <w:p>
                  <w:pPr>
                    <w:pStyle w:val="Compact"/>
                    <w:jc w:val="center"/>
                    <w:jc w:val="center"/>
                  </w:pPr>
                  <m:oMath>
                    <m:r>
                      <m:t>0.75</m:t>
                    </m:r>
                  </m:oMath>
                </w:p>
              </w:tc>
              <w:tc>
                <w:tcPr/>
                <w:p>
                  <w:pPr>
                    <w:pStyle w:val="Compact"/>
                  </w:pPr>
                </w:p>
              </w:tc>
            </w:tr>
            <w:tr>
              <w:tc>
                <w:tcPr/>
                <w:p>
                  <w:pPr>
                    <w:pStyle w:val="Compact"/>
                    <w:jc w:val="left"/>
                    <w:jc w:val="center"/>
                  </w:pPr>
                  <w:r>
                    <w:t xml:space="preserve">    Low blood glucose</w:t>
                  </w:r>
                  <w:r>
                    <w:t xml:space="preserve"> </w:t>
                  </w:r>
                  <w:r>
                    <w:t xml:space="preserve">index</w:t>
                  </w:r>
                </w:p>
              </w:tc>
              <w:tc>
                <w:tcPr/>
                <w:p>
                  <w:pPr>
                    <w:pStyle w:val="Compact"/>
                    <w:jc w:val="left"/>
                    <w:jc w:val="center"/>
                  </w:pPr>
                  <w:r>
                    <w:t xml:space="preserve">HR: 2.37</w:t>
                  </w:r>
                  <w:r>
                    <w:t xml:space="preserve"> </w:t>
                  </w:r>
                  <w:r>
                    <w:t xml:space="preserve">(1.16–4.83)</w:t>
                  </w:r>
                </w:p>
              </w:tc>
              <w:tc>
                <w:tcPr/>
                <w:p>
                  <w:pPr>
                    <w:pStyle w:val="Compact"/>
                    <w:jc w:val="center"/>
                    <w:jc w:val="center"/>
                  </w:pPr>
                  <m:oMath>
                    <m:r>
                      <m:t>0.02</m:t>
                    </m:r>
                  </m:oMath>
                </w:p>
              </w:tc>
              <w:tc>
                <w:tcPr/>
                <w:p>
                  <w:pPr>
                    <w:pStyle w:val="Compact"/>
                    <w:jc w:val="left"/>
                    <w:jc w:val="center"/>
                  </w:pPr>
                  <w:r>
                    <w:t xml:space="preserve">HR: 2.73</w:t>
                  </w:r>
                  <w:r>
                    <w:t xml:space="preserve">( 1.21–6.16)</w:t>
                  </w:r>
                </w:p>
              </w:tc>
              <w:tc>
                <w:tcPr/>
                <w:p>
                  <w:pPr>
                    <w:pStyle w:val="Compact"/>
                    <w:jc w:val="center"/>
                    <w:jc w:val="center"/>
                  </w:pPr>
                  <m:oMath>
                    <m:r>
                      <m:t>0.02</m:t>
                    </m:r>
                  </m:oMath>
                </w:p>
              </w:tc>
              <w:tc>
                <w:tcPr/>
                <w:p>
                  <w:pPr>
                    <w:pStyle w:val="Compact"/>
                  </w:pPr>
                </w:p>
              </w:tc>
            </w:tr>
            <w:tr>
              <w:tc>
                <w:tcPr/>
                <w:p>
                  <w:pPr>
                    <w:pStyle w:val="Compact"/>
                    <w:jc w:val="left"/>
                    <w:jc w:val="center"/>
                  </w:pPr>
                  <w:r>
                    <w:t xml:space="preserve">    High blood glucose</w:t>
                  </w:r>
                  <w:r>
                    <w:t xml:space="preserve"> </w:t>
                  </w:r>
                  <w:r>
                    <w:t xml:space="preserve"> </w:t>
                  </w:r>
                  <w:r>
                    <w:t xml:space="preserve">index</w:t>
                  </w:r>
                </w:p>
              </w:tc>
              <w:tc>
                <w:tcPr/>
                <w:p>
                  <w:pPr>
                    <w:pStyle w:val="Compact"/>
                    <w:jc w:val="left"/>
                    <w:jc w:val="center"/>
                  </w:pPr>
                  <w:r>
                    <w:t xml:space="preserve">HR: 0.94</w:t>
                  </w:r>
                  <w:r>
                    <w:t xml:space="preserve"> </w:t>
                  </w:r>
                  <w:r>
                    <w:t xml:space="preserve">(0.81–1.08)</w:t>
                  </w:r>
                </w:p>
              </w:tc>
              <w:tc>
                <w:tcPr/>
                <w:p>
                  <w:pPr>
                    <w:pStyle w:val="Compact"/>
                    <w:jc w:val="center"/>
                    <w:jc w:val="center"/>
                  </w:pPr>
                  <m:oMath>
                    <m:r>
                      <m:t>0.38</m:t>
                    </m:r>
                  </m:oMath>
                </w:p>
              </w:tc>
              <w:tc>
                <w:tcPr/>
                <w:p>
                  <w:pPr>
                    <w:pStyle w:val="Compact"/>
                    <w:jc w:val="left"/>
                    <w:jc w:val="center"/>
                  </w:pPr>
                  <w:r>
                    <w:t xml:space="preserve">HR: 0.94</w:t>
                  </w:r>
                  <w:r>
                    <w:t xml:space="preserve"> </w:t>
                  </w:r>
                  <w:r>
                    <w:t xml:space="preserve">(0.81–1.09)</w:t>
                  </w:r>
                </w:p>
              </w:tc>
              <w:tc>
                <w:tcPr/>
                <w:p>
                  <w:pPr>
                    <w:pStyle w:val="Compact"/>
                    <w:jc w:val="center"/>
                    <w:jc w:val="center"/>
                  </w:pPr>
                  <m:oMath>
                    <m:r>
                      <m:t>0.44</m:t>
                    </m:r>
                  </m:oMath>
                </w:p>
              </w:tc>
              <w:tc>
                <w:tcPr/>
                <w:p>
                  <w:pPr>
                    <w:pStyle w:val="Compact"/>
                  </w:pPr>
                </w:p>
              </w:tc>
            </w:tr>
            <w:tr>
              <w:tc>
                <w:tcPr/>
                <w:p>
                  <w:pPr>
                    <w:pStyle w:val="Compact"/>
                    <w:jc w:val="left"/>
                    <w:jc w:val="center"/>
                  </w:pPr>
                  <w:r>
                    <w:t xml:space="preserve">    Average of</w:t>
                  </w:r>
                  <w:r>
                    <w:t xml:space="preserve"> </w:t>
                  </w:r>
                  <w:r>
                    <w:t xml:space="preserve">daily risk range</w:t>
                  </w:r>
                </w:p>
              </w:tc>
              <w:tc>
                <w:tcPr/>
                <w:p>
                  <w:pPr>
                    <w:pStyle w:val="Compact"/>
                    <w:jc w:val="left"/>
                    <w:jc w:val="center"/>
                  </w:pPr>
                  <w:r>
                    <w:t xml:space="preserve">HR: 1.00</w:t>
                  </w:r>
                  <w:r>
                    <w:t xml:space="preserve"> </w:t>
                  </w:r>
                  <w:r>
                    <w:t xml:space="preserve">(0.93–1.07)</w:t>
                  </w:r>
                </w:p>
              </w:tc>
              <w:tc>
                <w:tcPr/>
                <w:p>
                  <w:pPr>
                    <w:pStyle w:val="Compact"/>
                    <w:jc w:val="center"/>
                    <w:jc w:val="center"/>
                  </w:pPr>
                  <m:oMath>
                    <m:r>
                      <m:rPr>
                        <m:sty m:val="p"/>
                      </m:rPr>
                      <m:t>&gt;</m:t>
                    </m:r>
                    <m:r>
                      <m:t>0.99</m:t>
                    </m:r>
                  </m:oMath>
                </w:p>
              </w:tc>
              <w:tc>
                <w:tcPr/>
                <w:p>
                  <w:pPr>
                    <w:pStyle w:val="Compact"/>
                    <w:jc w:val="left"/>
                    <w:jc w:val="center"/>
                  </w:pPr>
                  <w:r>
                    <w:t xml:space="preserve">HR: 1.01</w:t>
                  </w:r>
                  <w:r>
                    <w:t xml:space="preserve"> </w:t>
                  </w:r>
                  <w:r>
                    <w:t xml:space="preserve">(0.93–1.09)</w:t>
                  </w:r>
                </w:p>
              </w:tc>
              <w:tc>
                <w:tcPr/>
                <w:p>
                  <w:pPr>
                    <w:pStyle w:val="Compact"/>
                    <w:jc w:val="center"/>
                    <w:jc w:val="center"/>
                  </w:pPr>
                  <m:oMath>
                    <m:r>
                      <m:t>0.80</m:t>
                    </m:r>
                  </m:oMath>
                </w:p>
              </w:tc>
              <w:tc>
                <w:tcPr/>
                <w:p>
                  <w:pPr>
                    <w:pStyle w:val="Compact"/>
                  </w:pPr>
                </w:p>
              </w:tc>
            </w:tr>
            <w:tr>
              <w:tc>
                <w:tcPr/>
                <w:p>
                  <w:pPr>
                    <w:pStyle w:val="Compact"/>
                    <w:jc w:val="left"/>
                    <w:jc w:val="center"/>
                  </w:pPr>
                  <w:r>
                    <w:t xml:space="preserve">    GMI</w:t>
                  </w:r>
                </w:p>
              </w:tc>
              <w:tc>
                <w:tcPr/>
                <w:p>
                  <w:pPr>
                    <w:pStyle w:val="Compact"/>
                    <w:jc w:val="left"/>
                    <w:jc w:val="center"/>
                  </w:pPr>
                  <w:r>
                    <w:t xml:space="preserve">HR: 0.98</w:t>
                  </w:r>
                  <w:r>
                    <w:t xml:space="preserve"> </w:t>
                  </w:r>
                  <w:r>
                    <w:t xml:space="preserve">(0.91–1.06)</w:t>
                  </w:r>
                </w:p>
              </w:tc>
              <w:tc>
                <w:tcPr/>
                <w:p>
                  <w:pPr>
                    <w:pStyle w:val="Compact"/>
                    <w:jc w:val="center"/>
                    <w:jc w:val="center"/>
                  </w:pPr>
                  <m:oMath>
                    <m:r>
                      <m:t>0.65</m:t>
                    </m:r>
                  </m:oMath>
                </w:p>
              </w:tc>
              <w:tc>
                <w:tcPr/>
                <w:p>
                  <w:pPr>
                    <w:pStyle w:val="Compact"/>
                    <w:jc w:val="left"/>
                    <w:jc w:val="center"/>
                  </w:pPr>
                  <w:r>
                    <w:t xml:space="preserve">HR: 0.99</w:t>
                  </w:r>
                  <w:r>
                    <w:t xml:space="preserve">(0.91–1.07)</w:t>
                  </w:r>
                </w:p>
              </w:tc>
              <w:tc>
                <w:tcPr/>
                <w:p>
                  <w:pPr>
                    <w:pStyle w:val="Compact"/>
                    <w:jc w:val="center"/>
                    <w:jc w:val="center"/>
                  </w:pPr>
                  <m:oMath>
                    <m:r>
                      <m:t>0.78</m:t>
                    </m:r>
                  </m:oMath>
                </w:p>
              </w:tc>
              <w:tc>
                <w:tcPr/>
                <w:p>
                  <w:pPr>
                    <w:pStyle w:val="Compact"/>
                  </w:pPr>
                </w:p>
              </w:tc>
            </w:tr>
            <w:tr>
              <w:tc>
                <w:tcPr/>
                <w:p>
                  <w:pPr>
                    <w:pStyle w:val="Compact"/>
                    <w:jc w:val="left"/>
                    <w:jc w:val="center"/>
                  </w:pPr>
                  <w:r>
                    <w:t xml:space="preserve">    M-value</w:t>
                  </w:r>
                </w:p>
              </w:tc>
              <w:tc>
                <w:tcPr/>
                <w:p>
                  <w:pPr>
                    <w:pStyle w:val="Compact"/>
                    <w:jc w:val="left"/>
                    <w:jc w:val="center"/>
                  </w:pPr>
                  <w:r>
                    <w:t xml:space="preserve">HR: 0.98</w:t>
                  </w:r>
                  <w:r>
                    <w:t xml:space="preserve"> </w:t>
                  </w:r>
                  <w:r>
                    <w:t xml:space="preserve">(0.91–1.05)</w:t>
                  </w:r>
                </w:p>
              </w:tc>
              <w:tc>
                <w:tcPr/>
                <w:p>
                  <w:pPr>
                    <w:pStyle w:val="Compact"/>
                    <w:jc w:val="center"/>
                    <w:jc w:val="center"/>
                  </w:pPr>
                  <m:oMath>
                    <m:r>
                      <m:t>0.54</m:t>
                    </m:r>
                  </m:oMath>
                </w:p>
              </w:tc>
              <w:tc>
                <w:tcPr/>
                <w:p>
                  <w:pPr>
                    <w:pStyle w:val="Compact"/>
                    <w:jc w:val="left"/>
                    <w:jc w:val="center"/>
                  </w:pPr>
                  <w:r>
                    <w:t xml:space="preserve">HR: 0.98</w:t>
                  </w:r>
                  <w:r>
                    <w:t xml:space="preserve">(0.91–1.06)</w:t>
                  </w:r>
                </w:p>
              </w:tc>
              <w:tc>
                <w:tcPr/>
                <w:p>
                  <w:pPr>
                    <w:pStyle w:val="Compact"/>
                    <w:jc w:val="center"/>
                    <w:jc w:val="center"/>
                  </w:pPr>
                  <m:oMath>
                    <m:r>
                      <m:t>0.64</m:t>
                    </m:r>
                  </m:oMath>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1.501</w:t>
                  </w:r>
                  <w:r>
                    <w:t xml:space="preserve"> </w:t>
                  </w:r>
                  <w:r>
                    <w:t xml:space="preserve">(1.207–1.866)</w:t>
                  </w:r>
                </w:p>
              </w:tc>
              <w:tc>
                <w:tcPr/>
                <w:p>
                  <w:pPr>
                    <w:pStyle w:val="Compact"/>
                    <w:jc w:val="center"/>
                    <w:jc w:val="center"/>
                  </w:pPr>
                  <w:r>
                    <w:t xml:space="preserve">—</w:t>
                  </w:r>
                </w:p>
              </w:tc>
              <w:tc>
                <w:tcPr/>
                <w:p>
                  <w:pPr>
                    <w:pStyle w:val="Compact"/>
                    <w:jc w:val="left"/>
                    <w:jc w:val="center"/>
                  </w:pPr>
                  <w:r>
                    <w:t xml:space="preserve">HR: 1.615</w:t>
                  </w:r>
                  <w:r>
                    <w:t xml:space="preserve"> </w:t>
                  </w:r>
                  <w:r>
                    <w:t xml:space="preserve">(1.239–2.106)</w:t>
                  </w:r>
                </w:p>
              </w:tc>
              <w:tc>
                <w:tcPr/>
                <w:p>
                  <w:pPr>
                    <w:pStyle w:val="Compact"/>
                    <w:jc w:val="center"/>
                    <w:jc w:val="center"/>
                  </w:pPr>
                  <m:oMath>
                    <m:r>
                      <m:rPr>
                        <m:sty m:val="p"/>
                      </m:rPr>
                      <m:t>&lt;</m:t>
                    </m:r>
                    <m:r>
                      <m:t>0.001</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0.939</w:t>
                  </w:r>
                  <w:r>
                    <w:t xml:space="preserve"> </w:t>
                  </w:r>
                  <w:r>
                    <w:t xml:space="preserve">(0.829–1.063)</w:t>
                  </w:r>
                </w:p>
              </w:tc>
              <w:tc>
                <w:tcPr/>
                <w:p>
                  <w:pPr>
                    <w:pStyle w:val="Compact"/>
                    <w:jc w:val="center"/>
                    <w:jc w:val="center"/>
                  </w:pPr>
                  <m:oMath>
                    <m:r>
                      <m:rPr>
                        <m:sty m:val="p"/>
                      </m:rPr>
                      <m:t>&gt;</m:t>
                    </m:r>
                    <m:r>
                      <m:t>0.05</m:t>
                    </m:r>
                  </m:oMath>
                </w:p>
              </w:tc>
              <w:tc>
                <w:tcPr/>
                <w:p>
                  <w:pPr>
                    <w:pStyle w:val="Compact"/>
                    <w:jc w:val="left"/>
                    <w:jc w:val="center"/>
                  </w:pPr>
                  <w:r>
                    <w:t xml:space="preserve">OR: 0.896</w:t>
                  </w:r>
                  <w:r>
                    <w:t xml:space="preserve"> </w:t>
                  </w:r>
                  <w:r>
                    <w:t xml:space="preserve">(0.738–1.087)</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TITR</w:t>
                  </w:r>
                </w:p>
              </w:tc>
              <w:tc>
                <w:tcPr/>
                <w:p>
                  <w:pPr>
                    <w:pStyle w:val="Compact"/>
                    <w:jc w:val="left"/>
                    <w:jc w:val="center"/>
                  </w:pPr>
                  <w:r>
                    <w:t xml:space="preserve">OR: 0.901</w:t>
                  </w:r>
                  <w:r>
                    <w:t xml:space="preserve"> </w:t>
                  </w:r>
                  <w:r>
                    <w:t xml:space="preserve">(0.775–1.047)</w:t>
                  </w:r>
                </w:p>
              </w:tc>
              <w:tc>
                <w:tcPr/>
                <w:p>
                  <w:pPr>
                    <w:pStyle w:val="Compact"/>
                    <w:jc w:val="center"/>
                    <w:jc w:val="center"/>
                  </w:pPr>
                  <m:oMath>
                    <m:r>
                      <m:rPr>
                        <m:sty m:val="p"/>
                      </m:rPr>
                      <m:t>&gt;</m:t>
                    </m:r>
                    <m:r>
                      <m:t>0.05</m:t>
                    </m:r>
                  </m:oMath>
                </w:p>
              </w:tc>
              <w:tc>
                <w:tcPr/>
                <w:p>
                  <w:pPr>
                    <w:pStyle w:val="Compact"/>
                    <w:jc w:val="left"/>
                    <w:jc w:val="center"/>
                  </w:pPr>
                  <w:r>
                    <w:t xml:space="preserve">OR: 0.933</w:t>
                  </w:r>
                  <w:r>
                    <w:t xml:space="preserve"> </w:t>
                  </w:r>
                  <w:r>
                    <w:t xml:space="preserve">(0.745–1.169)</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Bezerra et al</w:t>
                  </w:r>
                  <w:r>
                    <w:rPr>
                      <w:b/>
                      <w:bCs/>
                      <w:vertAlign w:val="superscript"/>
                    </w:rPr>
                    <w:t xml:space="preserve">Bezerra2023?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0.66</w:t>
                  </w:r>
                  <w:r>
                    <w:t xml:space="preserve"> </w:t>
                  </w:r>
                  <w:r>
                    <w:t xml:space="preserve">(0.46–0.93)</w:t>
                  </w:r>
                </w:p>
              </w:tc>
              <w:tc>
                <w:tcPr/>
                <w:p>
                  <w:pPr>
                    <w:pStyle w:val="Compact"/>
                    <w:jc w:val="center"/>
                    <w:jc w:val="center"/>
                  </w:pPr>
                  <m:oMath>
                    <m:r>
                      <m:t>0.02</m:t>
                    </m:r>
                  </m:oMath>
                </w:p>
              </w:tc>
              <w:tc>
                <w:tcPr/>
                <w:p>
                  <w:pPr>
                    <w:pStyle w:val="Compact"/>
                    <w:jc w:val="left"/>
                    <w:jc w:val="center"/>
                  </w:pPr>
                  <w:r>
                    <w:t xml:space="preserve">OR: 0.68</w:t>
                  </w:r>
                  <w:r>
                    <w:t xml:space="preserve"> </w:t>
                  </w:r>
                  <w:r>
                    <w:t xml:space="preserve">(0.39–1.16)</w:t>
                  </w:r>
                </w:p>
              </w:tc>
              <w:tc>
                <w:tcPr/>
                <w:p>
                  <w:pPr>
                    <w:pStyle w:val="Compact"/>
                    <w:jc w:val="center"/>
                    <w:jc w:val="center"/>
                  </w:pPr>
                  <m:oMath>
                    <m:r>
                      <m:t>0.15</m:t>
                    </m:r>
                  </m:oMath>
                </w:p>
              </w:tc>
              <w:tc>
                <w:tcPr/>
                <w:p>
                  <w:pPr>
                    <w:pStyle w:val="Compact"/>
                  </w:pPr>
                </w:p>
              </w:tc>
            </w:tr>
            <w:tr>
              <w:tc>
                <w:tcPr/>
                <w:p>
                  <w:pPr>
                    <w:pStyle w:val="Compact"/>
                    <w:jc w:val="left"/>
                    <w:jc w:val="center"/>
                  </w:pPr>
                  <w:r>
                    <w:t xml:space="preserve">    Time below 54 mg/dL</w:t>
                  </w:r>
                </w:p>
              </w:tc>
              <w:tc>
                <w:tcPr/>
                <w:p>
                  <w:pPr>
                    <w:pStyle w:val="Compact"/>
                    <w:jc w:val="left"/>
                    <w:jc w:val="center"/>
                  </w:pPr>
                  <w:r>
                    <w:t xml:space="preserve">OR: 1.10</w:t>
                  </w:r>
                  <w:r>
                    <w:t xml:space="preserve"> </w:t>
                  </w:r>
                  <w:r>
                    <w:t xml:space="preserve">(0.88–1.38)</w:t>
                  </w:r>
                </w:p>
              </w:tc>
              <w:tc>
                <w:tcPr/>
                <w:p>
                  <w:pPr>
                    <w:pStyle w:val="Compact"/>
                    <w:jc w:val="center"/>
                    <w:jc w:val="center"/>
                  </w:pPr>
                  <m:oMath>
                    <m:r>
                      <m:t>0.39</m:t>
                    </m:r>
                  </m:oMath>
                </w:p>
              </w:tc>
              <w:tc>
                <w:tcPr/>
                <w:p>
                  <w:pPr>
                    <w:pStyle w:val="Compact"/>
                    <w:jc w:val="left"/>
                    <w:jc w:val="center"/>
                  </w:pPr>
                  <w:r>
                    <w:t xml:space="preserve">OR: 0.92</w:t>
                  </w:r>
                  <w:r>
                    <w:t xml:space="preserve"> </w:t>
                  </w:r>
                  <w:r>
                    <w:t xml:space="preserve">(0.62–1.34)</w:t>
                  </w:r>
                </w:p>
              </w:tc>
              <w:tc>
                <w:tcPr/>
                <w:p>
                  <w:pPr>
                    <w:pStyle w:val="Compact"/>
                    <w:jc w:val="center"/>
                    <w:jc w:val="center"/>
                  </w:pPr>
                  <m:oMath>
                    <m:r>
                      <m:t>0.65</m:t>
                    </m:r>
                  </m:oMath>
                </w:p>
              </w:tc>
              <w:tc>
                <w:tcPr/>
                <w:p>
                  <w:pPr>
                    <w:pStyle w:val="Compact"/>
                  </w:pPr>
                </w:p>
              </w:tc>
            </w:tr>
            <w:tr>
              <w:tc>
                <w:tcPr/>
                <w:p>
                  <w:pPr>
                    <w:pStyle w:val="Compact"/>
                    <w:jc w:val="left"/>
                    <w:jc w:val="center"/>
                  </w:pPr>
                  <w:r>
                    <w:t xml:space="preserve">    TBR</w:t>
                  </w:r>
                </w:p>
              </w:tc>
              <w:tc>
                <w:tcPr/>
                <w:p>
                  <w:pPr>
                    <w:pStyle w:val="Compact"/>
                    <w:jc w:val="left"/>
                    <w:jc w:val="center"/>
                  </w:pPr>
                  <w:r>
                    <w:t xml:space="preserve">OR: 0.93</w:t>
                  </w:r>
                  <w:r>
                    <w:t xml:space="preserve"> </w:t>
                  </w:r>
                  <w:r>
                    <w:t xml:space="preserve">(0.80–1.09)</w:t>
                  </w:r>
                </w:p>
              </w:tc>
              <w:tc>
                <w:tcPr/>
                <w:p>
                  <w:pPr>
                    <w:pStyle w:val="Compact"/>
                    <w:jc w:val="center"/>
                    <w:jc w:val="center"/>
                  </w:pPr>
                  <m:oMath>
                    <m:r>
                      <m:t>0.39</m:t>
                    </m:r>
                  </m:oMath>
                </w:p>
              </w:tc>
              <w:tc>
                <w:tcPr/>
                <w:p>
                  <w:pPr>
                    <w:pStyle w:val="Compact"/>
                    <w:jc w:val="left"/>
                    <w:jc w:val="center"/>
                  </w:pPr>
                  <w:r>
                    <w:t xml:space="preserve">OR: 0.77</w:t>
                  </w:r>
                  <w:r>
                    <w:t xml:space="preserve"> </w:t>
                  </w:r>
                  <w:r>
                    <w:t xml:space="preserve">(0.54–1.11)</w:t>
                  </w:r>
                </w:p>
              </w:tc>
              <w:tc>
                <w:tcPr/>
                <w:p>
                  <w:pPr>
                    <w:pStyle w:val="Compact"/>
                    <w:jc w:val="center"/>
                    <w:jc w:val="center"/>
                  </w:pPr>
                  <m:oMath>
                    <m:r>
                      <m:t>0.17</m:t>
                    </m:r>
                  </m:oMath>
                </w:p>
              </w:tc>
              <w:tc>
                <w:tcPr/>
                <w:p>
                  <w:pPr>
                    <w:pStyle w:val="Compact"/>
                  </w:pPr>
                </w:p>
              </w:tc>
            </w:tr>
            <w:tr>
              <w:tc>
                <w:tcPr/>
                <w:p>
                  <w:pPr>
                    <w:pStyle w:val="Compact"/>
                    <w:jc w:val="left"/>
                    <w:jc w:val="center"/>
                  </w:pPr>
                  <w:r>
                    <w:t xml:space="preserve">    TAR</w:t>
                  </w:r>
                </w:p>
              </w:tc>
              <w:tc>
                <w:tcPr/>
                <w:p>
                  <w:pPr>
                    <w:pStyle w:val="Compact"/>
                    <w:jc w:val="left"/>
                    <w:jc w:val="center"/>
                  </w:pPr>
                  <w:r>
                    <w:t xml:space="preserve">OR: 1.04</w:t>
                  </w:r>
                  <w:r>
                    <w:t xml:space="preserve"> </w:t>
                  </w:r>
                  <w:r>
                    <w:t xml:space="preserve">(1.01–1.08)</w:t>
                  </w:r>
                </w:p>
              </w:tc>
              <w:tc>
                <w:tcPr/>
                <w:p>
                  <w:pPr>
                    <w:pStyle w:val="Compact"/>
                    <w:jc w:val="center"/>
                    <w:jc w:val="center"/>
                  </w:pPr>
                  <m:oMath>
                    <m:r>
                      <m:t>0.01</m:t>
                    </m:r>
                  </m:oMath>
                </w:p>
              </w:tc>
              <w:tc>
                <w:tcPr/>
                <w:p>
                  <w:pPr>
                    <w:pStyle w:val="Compact"/>
                    <w:jc w:val="left"/>
                    <w:jc w:val="center"/>
                  </w:pPr>
                  <w:r>
                    <w:t xml:space="preserve">OR: 1.04</w:t>
                  </w:r>
                  <w:r>
                    <w:t xml:space="preserve"> </w:t>
                  </w:r>
                  <w:r>
                    <w:t xml:space="preserve">(0.99–1.10)</w:t>
                  </w:r>
                </w:p>
              </w:tc>
              <w:tc>
                <w:tcPr/>
                <w:p>
                  <w:pPr>
                    <w:pStyle w:val="Compact"/>
                    <w:jc w:val="center"/>
                    <w:jc w:val="center"/>
                  </w:pPr>
                  <m:oMath>
                    <m:r>
                      <m:t>0.08</m:t>
                    </m:r>
                  </m:oMath>
                </w:p>
              </w:tc>
              <w:tc>
                <w:tcPr/>
                <w:p>
                  <w:pPr>
                    <w:pStyle w:val="Compact"/>
                  </w:pPr>
                </w:p>
              </w:tc>
            </w:tr>
            <w:tr>
              <w:tc>
                <w:tcPr/>
                <w:p>
                  <w:pPr>
                    <w:pStyle w:val="Compact"/>
                    <w:jc w:val="left"/>
                    <w:jc w:val="center"/>
                  </w:pPr>
                  <w:r>
                    <w:t xml:space="preserve">    Time above 250 mg/dL</w:t>
                  </w:r>
                </w:p>
              </w:tc>
              <w:tc>
                <w:tcPr/>
                <w:p>
                  <w:pPr>
                    <w:pStyle w:val="Compact"/>
                    <w:jc w:val="left"/>
                    <w:jc w:val="center"/>
                  </w:pPr>
                  <w:r>
                    <w:t xml:space="preserve">OR: 1.04</w:t>
                  </w:r>
                  <w:r>
                    <w:t xml:space="preserve"> </w:t>
                  </w:r>
                  <w:r>
                    <w:t xml:space="preserve">(1.00–1.08)</w:t>
                  </w:r>
                </w:p>
              </w:tc>
              <w:tc>
                <w:tcPr/>
                <w:p>
                  <w:pPr>
                    <w:pStyle w:val="Compact"/>
                    <w:jc w:val="center"/>
                    <w:jc w:val="center"/>
                  </w:pPr>
                  <m:oMath>
                    <m:r>
                      <m:t>0.03</m:t>
                    </m:r>
                  </m:oMath>
                </w:p>
              </w:tc>
              <w:tc>
                <w:tcPr/>
                <w:p>
                  <w:pPr>
                    <w:pStyle w:val="Compact"/>
                    <w:jc w:val="left"/>
                    <w:jc w:val="center"/>
                  </w:pPr>
                  <w:r>
                    <w:t xml:space="preserve">OR: 1.03</w:t>
                  </w:r>
                  <w:r>
                    <w:t xml:space="preserve"> </w:t>
                  </w:r>
                  <w:r>
                    <w:t xml:space="preserve">(0.97–1.09)</w:t>
                  </w:r>
                </w:p>
              </w:tc>
              <w:tc>
                <w:tcPr/>
                <w:p>
                  <w:pPr>
                    <w:pStyle w:val="Compact"/>
                    <w:jc w:val="center"/>
                    <w:jc w:val="center"/>
                  </w:pPr>
                  <m:oMath>
                    <m:r>
                      <m:t>0.29</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OR: 1.03</w:t>
                  </w:r>
                  <w:r>
                    <w:t xml:space="preserve"> </w:t>
                  </w:r>
                  <w:r>
                    <w:t xml:space="preserve">(0.95–1.11)</w:t>
                  </w:r>
                </w:p>
              </w:tc>
              <w:tc>
                <w:tcPr/>
                <w:p>
                  <w:pPr>
                    <w:pStyle w:val="Compact"/>
                    <w:jc w:val="center"/>
                    <w:jc w:val="center"/>
                  </w:pPr>
                  <m:oMath>
                    <m:r>
                      <m:t>0.52</m:t>
                    </m:r>
                  </m:oMath>
                </w:p>
              </w:tc>
              <w:tc>
                <w:tcPr/>
                <w:p>
                  <w:pPr>
                    <w:pStyle w:val="Compact"/>
                    <w:jc w:val="left"/>
                    <w:jc w:val="center"/>
                  </w:pPr>
                  <w:r>
                    <w:t xml:space="preserve">OR: 0.92</w:t>
                  </w:r>
                  <w:r>
                    <w:t xml:space="preserve"> </w:t>
                  </w:r>
                  <w:r>
                    <w:t xml:space="preserve">(0.81–1.06)</w:t>
                  </w:r>
                </w:p>
              </w:tc>
              <w:tc>
                <w:tcPr/>
                <w:p>
                  <w:pPr>
                    <w:pStyle w:val="Compact"/>
                    <w:jc w:val="center"/>
                    <w:jc w:val="center"/>
                  </w:pPr>
                  <m:oMath>
                    <m:r>
                      <m:t>0.25</m:t>
                    </m:r>
                  </m:oMath>
                </w:p>
              </w:tc>
              <w:tc>
                <w:tcPr/>
                <w:p>
                  <w:pPr>
                    <w:pStyle w:val="Compact"/>
                  </w:pPr>
                </w:p>
              </w:tc>
            </w:tr>
            <w:tr>
              <w:tc>
                <w:tcPr/>
                <w:p>
                  <w:pPr>
                    <w:pStyle w:val="Compact"/>
                    <w:jc w:val="left"/>
                    <w:jc w:val="center"/>
                  </w:pPr>
                  <w:r>
                    <w:t xml:space="preserve">    GMI</w:t>
                  </w:r>
                </w:p>
              </w:tc>
              <w:tc>
                <w:tcPr/>
                <w:p>
                  <w:pPr>
                    <w:pStyle w:val="Compact"/>
                    <w:jc w:val="left"/>
                    <w:jc w:val="center"/>
                  </w:pPr>
                  <w:r>
                    <w:t xml:space="preserve">OR: 2.17</w:t>
                  </w:r>
                  <w:r>
                    <w:t xml:space="preserve"> </w:t>
                  </w:r>
                  <w:r>
                    <w:t xml:space="preserve">(1.14–4.11)</w:t>
                  </w:r>
                </w:p>
              </w:tc>
              <w:tc>
                <w:tcPr/>
                <w:p>
                  <w:pPr>
                    <w:pStyle w:val="Compact"/>
                    <w:jc w:val="center"/>
                    <w:jc w:val="center"/>
                  </w:pPr>
                  <m:oMath>
                    <m:r>
                      <m:t>0.02</m:t>
                    </m:r>
                  </m:oMath>
                </w:p>
              </w:tc>
              <w:tc>
                <w:tcPr/>
                <w:p>
                  <w:pPr>
                    <w:pStyle w:val="Compact"/>
                    <w:jc w:val="left"/>
                    <w:jc w:val="center"/>
                  </w:pPr>
                  <w:r>
                    <w:t xml:space="preserve">OR: 2.03</w:t>
                  </w:r>
                  <w:r>
                    <w:t xml:space="preserve"> </w:t>
                  </w:r>
                  <w:r>
                    <w:t xml:space="preserve">(0.77–5.37)</w:t>
                  </w:r>
                </w:p>
              </w:tc>
              <w:tc>
                <w:tcPr/>
                <w:p>
                  <w:pPr>
                    <w:pStyle w:val="Compact"/>
                    <w:jc w:val="center"/>
                    <w:jc w:val="center"/>
                  </w:pPr>
                  <m:oMath>
                    <m:r>
                      <m:t>0.15</m:t>
                    </m:r>
                  </m:oMath>
                </w:p>
              </w:tc>
              <w:tc>
                <w:tcPr/>
                <w:p>
                  <w:pPr>
                    <w:pStyle w:val="Compact"/>
                  </w:pPr>
                </w:p>
              </w:tc>
            </w:tr>
            <w:tr>
              <w:tc>
                <w:tcPr/>
                <w:p>
                  <w:pPr>
                    <w:pStyle w:val="Compact"/>
                    <w:jc w:val="left"/>
                    <w:jc w:val="center"/>
                  </w:pPr>
                  <w:r>
                    <w:t xml:space="preserve">Deng et al</w:t>
                  </w:r>
                  <w:r>
                    <w:rPr>
                      <w:b/>
                      <w:bCs/>
                      <w:vertAlign w:val="superscript"/>
                    </w:rPr>
                    <w:t xml:space="preserve">Deng2023?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1 (Hp1; reference)</w:t>
                  </w:r>
                </w:p>
              </w:tc>
              <w:tc>
                <w:tcPr/>
                <w:p>
                  <w:pPr>
                    <w:pStyle w:val="Compact"/>
                    <w:jc w:val="left"/>
                    <w:jc w:val="center"/>
                  </w:pPr>
                  <w:r>
                    <w:t xml:space="preserve">OR: 1.000</w:t>
                  </w:r>
                </w:p>
              </w:tc>
              <w:tc>
                <w:tcPr/>
                <w:p>
                  <w:pPr>
                    <w:pStyle w:val="Compact"/>
                    <w:jc w:val="center"/>
                    <w:jc w:val="center"/>
                  </w:pPr>
                  <m:oMath>
                    <m:r>
                      <m:t>0.07</m:t>
                    </m:r>
                  </m:oMath>
                  <w:r>
                    <w:t xml:space="preserve"> </w:t>
                  </w:r>
                  <w:r>
                    <w:t xml:space="preserve">(interaction)</w:t>
                  </w:r>
                </w:p>
              </w:tc>
              <w:tc>
                <w:tcPr/>
                <w:p>
                  <w:pPr>
                    <w:pStyle w:val="Compact"/>
                    <w:jc w:val="left"/>
                    <w:jc w:val="center"/>
                  </w:pPr>
                  <w:r>
                    <w:t xml:space="preserve">OR: 1.000</w:t>
                  </w:r>
                </w:p>
              </w:tc>
              <w:tc>
                <w:tcPr/>
                <w:p>
                  <w:pPr>
                    <w:pStyle w:val="Compact"/>
                    <w:jc w:val="center"/>
                    <w:jc w:val="center"/>
                  </w:pPr>
                  <m:oMath>
                    <m:r>
                      <m:t>0.008</m:t>
                    </m:r>
                  </m:oMath>
                  <w:r>
                    <w:t xml:space="preserve"> </w:t>
                  </w:r>
                  <w:r>
                    <w:t xml:space="preserve">(interaction)</w:t>
                  </w: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1 (Hp2-2; reference)</w:t>
                  </w:r>
                </w:p>
              </w:tc>
              <w:tc>
                <w:tcPr/>
                <w:p>
                  <w:pPr>
                    <w:pStyle w:val="Compact"/>
                    <w:jc w:val="left"/>
                    <w:jc w:val="center"/>
                  </w:pPr>
                  <w:r>
                    <w:t xml:space="preserve">OR: 1.000</w:t>
                  </w:r>
                </w:p>
              </w:tc>
              <w:tc>
                <w:tcPr/>
                <w:p>
                  <w:pPr>
                    <w:pStyle w:val="Compact"/>
                    <w:jc w:val="center"/>
                    <w:jc w:val="center"/>
                  </w:pPr>
                  <m:oMath>
                    <m:r>
                      <m:t>0.07</m:t>
                    </m:r>
                  </m:oMath>
                  <w:r>
                    <w:t xml:space="preserve"> </w:t>
                  </w:r>
                  <w:r>
                    <w:t xml:space="preserve">(interaction)</w:t>
                  </w:r>
                </w:p>
              </w:tc>
              <w:tc>
                <w:tcPr/>
                <w:p>
                  <w:pPr>
                    <w:pStyle w:val="Compact"/>
                    <w:jc w:val="left"/>
                    <w:jc w:val="center"/>
                  </w:pPr>
                  <w:r>
                    <w:t xml:space="preserve">OR: 1.000</w:t>
                  </w:r>
                </w:p>
              </w:tc>
              <w:tc>
                <w:tcPr/>
                <w:p>
                  <w:pPr>
                    <w:pStyle w:val="Compact"/>
                    <w:jc w:val="center"/>
                    <w:jc w:val="center"/>
                  </w:pPr>
                  <m:oMath>
                    <m:r>
                      <m:t>0.008</m:t>
                    </m:r>
                  </m:oMath>
                  <w:r>
                    <w:t xml:space="preserve"> </w:t>
                  </w:r>
                  <w:r>
                    <w:t xml:space="preserve">(interaction)</w:t>
                  </w: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2 (Hp1)</w:t>
                  </w:r>
                </w:p>
              </w:tc>
              <w:tc>
                <w:tcPr/>
                <w:p>
                  <w:pPr>
                    <w:pStyle w:val="Compact"/>
                    <w:jc w:val="left"/>
                    <w:jc w:val="center"/>
                  </w:pPr>
                  <w:r>
                    <w:t xml:space="preserve">OR: 1.483</w:t>
                  </w:r>
                  <w:r>
                    <w:t xml:space="preserve"> </w:t>
                  </w:r>
                  <w:r>
                    <w:t xml:space="preserve">(0.907–2.423)</w:t>
                  </w:r>
                </w:p>
              </w:tc>
              <w:tc>
                <w:tcPr/>
                <w:p>
                  <w:pPr>
                    <w:pStyle w:val="Compact"/>
                    <w:jc w:val="center"/>
                    <w:jc w:val="center"/>
                  </w:pPr>
                  <m:oMath>
                    <m:r>
                      <m:t>0.12</m:t>
                    </m:r>
                  </m:oMath>
                </w:p>
              </w:tc>
              <w:tc>
                <w:tcPr/>
                <w:p>
                  <w:pPr>
                    <w:pStyle w:val="Compact"/>
                    <w:jc w:val="left"/>
                    <w:jc w:val="center"/>
                  </w:pPr>
                  <w:r>
                    <w:t xml:space="preserve">OR: 1.048</w:t>
                  </w:r>
                  <w:r>
                    <w:t xml:space="preserve"> </w:t>
                  </w:r>
                  <w:r>
                    <w:t xml:space="preserve">(0.528–2.078)</w:t>
                  </w:r>
                </w:p>
              </w:tc>
              <w:tc>
                <w:tcPr/>
                <w:p>
                  <w:pPr>
                    <w:pStyle w:val="Compact"/>
                    <w:jc w:val="center"/>
                    <w:jc w:val="center"/>
                  </w:pPr>
                  <m:oMath>
                    <m:r>
                      <m:t>0.89</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2 (Hp2-2)</w:t>
                  </w:r>
                </w:p>
              </w:tc>
              <w:tc>
                <w:tcPr/>
                <w:p>
                  <w:pPr>
                    <w:pStyle w:val="Compact"/>
                    <w:jc w:val="left"/>
                    <w:jc w:val="center"/>
                  </w:pPr>
                  <w:r>
                    <w:t xml:space="preserve">OR: 1.399</w:t>
                  </w:r>
                  <w:r>
                    <w:t xml:space="preserve"> </w:t>
                  </w:r>
                  <w:r>
                    <w:t xml:space="preserve">(0.829–2.358)</w:t>
                  </w:r>
                </w:p>
              </w:tc>
              <w:tc>
                <w:tcPr/>
                <w:p>
                  <w:pPr>
                    <w:pStyle w:val="Compact"/>
                    <w:jc w:val="center"/>
                    <w:jc w:val="center"/>
                  </w:pPr>
                  <m:oMath>
                    <m:r>
                      <m:t>0.21</m:t>
                    </m:r>
                  </m:oMath>
                </w:p>
              </w:tc>
              <w:tc>
                <w:tcPr/>
                <w:p>
                  <w:pPr>
                    <w:pStyle w:val="Compact"/>
                    <w:jc w:val="left"/>
                    <w:jc w:val="center"/>
                  </w:pPr>
                  <w:r>
                    <w:t xml:space="preserve">OR: 0.659</w:t>
                  </w:r>
                  <w:r>
                    <w:t xml:space="preserve"> </w:t>
                  </w:r>
                  <w:r>
                    <w:t xml:space="preserve">(0.296–1.466)</w:t>
                  </w:r>
                </w:p>
              </w:tc>
              <w:tc>
                <w:tcPr/>
                <w:p>
                  <w:pPr>
                    <w:pStyle w:val="Compact"/>
                    <w:jc w:val="center"/>
                    <w:jc w:val="center"/>
                  </w:pPr>
                  <m:oMath>
                    <m:r>
                      <m:t>0.31</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3 (Hp1)</w:t>
                  </w:r>
                </w:p>
              </w:tc>
              <w:tc>
                <w:tcPr/>
                <w:p>
                  <w:pPr>
                    <w:pStyle w:val="Compact"/>
                    <w:jc w:val="left"/>
                    <w:jc w:val="center"/>
                  </w:pPr>
                  <w:r>
                    <w:t xml:space="preserve">OR: 2.347</w:t>
                  </w:r>
                  <w:r>
                    <w:t xml:space="preserve"> </w:t>
                  </w:r>
                  <w:r>
                    <w:t xml:space="preserve">(1.393–3.957)</w:t>
                  </w:r>
                </w:p>
              </w:tc>
              <w:tc>
                <w:tcPr/>
                <w:p>
                  <w:pPr>
                    <w:pStyle w:val="Compact"/>
                    <w:jc w:val="center"/>
                    <w:jc w:val="center"/>
                  </w:pPr>
                  <m:oMath>
                    <m:r>
                      <m:t>0.001</m:t>
                    </m:r>
                  </m:oMath>
                </w:p>
              </w:tc>
              <w:tc>
                <w:tcPr/>
                <w:p>
                  <w:pPr>
                    <w:pStyle w:val="Compact"/>
                    <w:jc w:val="left"/>
                    <w:jc w:val="center"/>
                  </w:pPr>
                  <w:r>
                    <w:t xml:space="preserve">OR: 2.461</w:t>
                  </w:r>
                  <w:r>
                    <w:t xml:space="preserve"> </w:t>
                  </w:r>
                  <w:r>
                    <w:t xml:space="preserve">(1.183–5.121)</w:t>
                  </w:r>
                </w:p>
              </w:tc>
              <w:tc>
                <w:tcPr/>
                <w:p>
                  <w:pPr>
                    <w:pStyle w:val="Compact"/>
                    <w:jc w:val="center"/>
                    <w:jc w:val="center"/>
                  </w:pPr>
                  <m:oMath>
                    <m:r>
                      <m:t>0.02</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3 (Hp2-2)</w:t>
                  </w:r>
                </w:p>
              </w:tc>
              <w:tc>
                <w:tcPr/>
                <w:p>
                  <w:pPr>
                    <w:pStyle w:val="Compact"/>
                    <w:jc w:val="left"/>
                    <w:jc w:val="center"/>
                  </w:pPr>
                  <w:r>
                    <w:t xml:space="preserve">OR: 1.217</w:t>
                  </w:r>
                  <w:r>
                    <w:t xml:space="preserve"> </w:t>
                  </w:r>
                  <w:r>
                    <w:t xml:space="preserve">(0.731–2.027)</w:t>
                  </w:r>
                </w:p>
              </w:tc>
              <w:tc>
                <w:tcPr/>
                <w:p>
                  <w:pPr>
                    <w:pStyle w:val="Compact"/>
                    <w:jc w:val="center"/>
                    <w:jc w:val="center"/>
                  </w:pPr>
                  <m:oMath>
                    <m:r>
                      <m:t>0.45</m:t>
                    </m:r>
                  </m:oMath>
                </w:p>
              </w:tc>
              <w:tc>
                <w:tcPr/>
                <w:p>
                  <w:pPr>
                    <w:pStyle w:val="Compact"/>
                    <w:jc w:val="left"/>
                    <w:jc w:val="center"/>
                  </w:pPr>
                  <w:r>
                    <w:t xml:space="preserve">OR: 0.540</w:t>
                  </w:r>
                  <w:r>
                    <w:t xml:space="preserve"> </w:t>
                  </w:r>
                  <w:r>
                    <w:t xml:space="preserve">(0.245–1.191)</w:t>
                  </w:r>
                </w:p>
              </w:tc>
              <w:tc>
                <w:tcPr/>
                <w:p>
                  <w:pPr>
                    <w:pStyle w:val="Compact"/>
                    <w:jc w:val="center"/>
                    <w:jc w:val="center"/>
                  </w:pPr>
                  <m:oMath>
                    <m:r>
                      <m:t>0.13</m:t>
                    </m:r>
                  </m:oMath>
                </w:p>
              </w:tc>
              <w:tc>
                <w:tcPr/>
                <w:p>
                  <w:pPr>
                    <w:pStyle w:val="Compact"/>
                  </w:pPr>
                </w:p>
              </w:tc>
            </w:tr>
            <w:tr>
              <w:tc>
                <w:tcPr/>
                <w:p>
                  <w:pPr>
                    <w:pStyle w:val="Compact"/>
                    <w:jc w:val="left"/>
                    <w:jc w:val="center"/>
                  </w:pPr>
                  <w:r>
                    <w:t xml:space="preserve">El Malahi et al</w:t>
                  </w:r>
                  <w:r>
                    <w:rPr>
                      <w:b/>
                      <w:bCs/>
                      <w:vertAlign w:val="superscript"/>
                    </w:rPr>
                    <w:t xml:space="preserve">Malahi2022?</w:t>
                  </w:r>
                  <w:r>
                    <w:t xml:space="preserve">,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SD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Magri et al</w:t>
                  </w:r>
                  <w:r>
                    <w:rPr>
                      <w:vertAlign w:val="superscript"/>
                    </w:rPr>
                    <w:t xml:space="preserve">3</w:t>
                  </w:r>
                  <m:oMath>
                    <m:sSup>
                      <m:e>
                        <m:r>
                          <m:t>​</m:t>
                        </m:r>
                      </m:e>
                      <m:sup>
                        <m:r>
                          <m:rPr>
                            <m:sty m:val="p"/>
                          </m:rPr>
                          <m:t>†</m:t>
                        </m:r>
                      </m:sup>
                    </m:sSup>
                  </m:oMath>
                  <w:r>
                    <w:t xml:space="preserve">, 2018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TBR</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1.12</w:t>
                  </w:r>
                  <w:r>
                    <w:t xml:space="preserve"> </w:t>
                  </w:r>
                  <w:r>
                    <w:t xml:space="preserve">(1.014–1.228)</w:t>
                  </w:r>
                </w:p>
              </w:tc>
              <w:tc>
                <w:tcPr/>
                <w:p>
                  <w:pPr>
                    <w:pStyle w:val="Compact"/>
                    <w:jc w:val="center"/>
                    <w:jc w:val="center"/>
                  </w:pPr>
                  <m:oMath>
                    <m:r>
                      <m:t>0.02</m:t>
                    </m:r>
                  </m:oMath>
                </w:p>
              </w:tc>
              <w:tc>
                <w:tcPr/>
                <w:p>
                  <w:pPr>
                    <w:pStyle w:val="Compact"/>
                  </w:pPr>
                </w:p>
              </w:tc>
            </w:tr>
            <w:tr>
              <w:tc>
                <w:tcPr/>
                <w:p>
                  <w:pPr>
                    <w:pStyle w:val="Compact"/>
                    <w:jc w:val="left"/>
                    <w:jc w:val="center"/>
                  </w:pPr>
                  <w:r>
                    <w:t xml:space="preserve">    Lowest BG value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w:r>
                    <w:t xml:space="preserve">—</w:t>
                  </w:r>
                </w:p>
              </w:tc>
              <w:tc>
                <w:tcPr/>
                <w:p>
                  <w:pPr>
                    <w:pStyle w:val="Compact"/>
                  </w:pPr>
                </w:p>
              </w:tc>
            </w:tr>
            <w:tr>
              <w:tc>
                <w:tcPr/>
                <w:p>
                  <w:pPr>
                    <w:pStyle w:val="Compact"/>
                    <w:jc w:val="left"/>
                    <w:jc w:val="center"/>
                  </w:pPr>
                  <w:r>
                    <w:t xml:space="preserve">    Area under the TBR curve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w:r>
                    <w:t xml:space="preserve">—</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1.039</w:t>
                  </w:r>
                  <w:r>
                    <w:t xml:space="preserve"> </w:t>
                  </w:r>
                  <w:r>
                    <w:t xml:space="preserve">(0.812–1.330)</w:t>
                  </w:r>
                </w:p>
              </w:tc>
              <w:tc>
                <w:tcPr/>
                <w:p>
                  <w:pPr>
                    <w:pStyle w:val="Compact"/>
                    <w:jc w:val="center"/>
                    <w:jc w:val="center"/>
                  </w:pPr>
                  <m:oMath>
                    <m:r>
                      <m:rPr>
                        <m:sty m:val="p"/>
                      </m:rPr>
                      <m:t>&gt;</m:t>
                    </m:r>
                    <m:r>
                      <m:t>0.05</m:t>
                    </m:r>
                  </m:oMath>
                </w:p>
              </w:tc>
              <w:tc>
                <w:tcPr/>
                <w:p>
                  <w:pPr>
                    <w:pStyle w:val="Compact"/>
                    <w:jc w:val="left"/>
                    <w:jc w:val="center"/>
                  </w:pPr>
                  <w:r>
                    <w:t xml:space="preserve">OR: 1.255</w:t>
                  </w:r>
                  <w:r>
                    <w:t xml:space="preserve"> </w:t>
                  </w:r>
                  <w:r>
                    <w:t xml:space="preserve">(0.874–1.803)</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1.072</w:t>
                  </w:r>
                  <w:r>
                    <w:t xml:space="preserve"> </w:t>
                  </w:r>
                  <w:r>
                    <w:t xml:space="preserve">(0.866–1.328)</w:t>
                  </w:r>
                </w:p>
              </w:tc>
              <w:tc>
                <w:tcPr/>
                <w:p>
                  <w:pPr>
                    <w:pStyle w:val="Compact"/>
                    <w:jc w:val="center"/>
                    <w:jc w:val="center"/>
                  </w:pPr>
                  <m:oMath>
                    <m:r>
                      <m:rPr>
                        <m:sty m:val="p"/>
                      </m:rPr>
                      <m:t>&gt;</m:t>
                    </m:r>
                    <m:r>
                      <m:t>0.05</m:t>
                    </m:r>
                  </m:oMath>
                </w:p>
              </w:tc>
              <w:tc>
                <w:tcPr/>
                <w:p>
                  <w:pPr>
                    <w:pStyle w:val="Compact"/>
                    <w:jc w:val="left"/>
                    <w:jc w:val="center"/>
                  </w:pPr>
                  <w:r>
                    <w:t xml:space="preserve">OR: 1.164</w:t>
                  </w:r>
                  <w:r>
                    <w:t xml:space="preserve"> </w:t>
                  </w:r>
                  <w:r>
                    <w:t xml:space="preserve">(0.844–1.607)</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Sheng et al</w:t>
                  </w:r>
                  <w:r>
                    <w:rPr>
                      <w:b/>
                      <w:bCs/>
                      <w:vertAlign w:val="superscript"/>
                    </w:rPr>
                    <w:t xml:space="preserve">Sheng2023?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r>
                      <m:rPr>
                        <m:sty m:val="p"/>
                      </m:rPr>
                      <m:t>&lt;</m:t>
                    </m:r>
                    <m:r>
                      <m:t>20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2.143</w:t>
                  </w:r>
                  <w:r>
                    <w:t xml:space="preserve"> </w:t>
                  </w:r>
                  <w:r>
                    <w:t xml:space="preserve">(1.554–3.287)</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20</m:t>
                    </m:r>
                    <m:r>
                      <m:rPr>
                        <m:sty m:val="p"/>
                      </m:rPr>
                      <m:t>%</m:t>
                    </m:r>
                    <m:r>
                      <m:rPr>
                        <m:sty m:val="p"/>
                      </m:rPr>
                      <m:t>−</m:t>
                    </m:r>
                    <m:r>
                      <m:t>40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1.049</w:t>
                  </w:r>
                  <w:r>
                    <w:t xml:space="preserve"> </w:t>
                  </w:r>
                  <w:r>
                    <w:t xml:space="preserve">(0.945–2.022)</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40</m:t>
                    </m:r>
                    <m:r>
                      <m:rPr>
                        <m:sty m:val="p"/>
                      </m:rPr>
                      <m:t>%</m:t>
                    </m:r>
                    <m:r>
                      <m:rPr>
                        <m:sty m:val="p"/>
                      </m:rPr>
                      <m:t>−</m:t>
                    </m:r>
                    <m:r>
                      <m:t>60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0.854 (0.495–1.473)</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60</m:t>
                    </m:r>
                    <m:r>
                      <m:rPr>
                        <m:sty m:val="p"/>
                      </m:rPr>
                      <m:t>%</m:t>
                    </m:r>
                    <m:r>
                      <m:rPr>
                        <m:sty m:val="p"/>
                      </m:rPr>
                      <m:t>−</m:t>
                    </m:r>
                    <m:r>
                      <m:t>80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0.617</w:t>
                  </w:r>
                  <w:r>
                    <w:t xml:space="preserve"> </w:t>
                  </w:r>
                  <w:r>
                    <w:t xml:space="preserve">(0.423–1.312)</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rPr>
                        <m:sty m:val="p"/>
                      </m:rPr>
                      <m:t>&gt;</m:t>
                    </m:r>
                    <m:r>
                      <m:t>80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0.470</w:t>
                  </w:r>
                  <w:r>
                    <w:t xml:space="preserve"> </w:t>
                  </w:r>
                  <w:r>
                    <w:t xml:space="preserve">(0.143–1.545)</w:t>
                  </w:r>
                </w:p>
              </w:tc>
              <w:tc>
                <w:tcPr/>
                <w:p>
                  <w:pPr>
                    <w:pStyle w:val="Compact"/>
                    <w:jc w:val="center"/>
                    <w:jc w:val="center"/>
                  </w:pPr>
                  <w:r>
                    <w:t xml:space="preserve">—</w:t>
                  </w:r>
                </w:p>
              </w:tc>
              <w:tc>
                <w:tcPr/>
                <w:p>
                  <w:pPr>
                    <w:pStyle w:val="Compact"/>
                  </w:pPr>
                </w:p>
              </w:tc>
            </w:tr>
            <w:tr>
              <w:tc>
                <w:tcPr/>
                <w:p>
                  <w:pPr>
                    <w:pStyle w:val="Compact"/>
                    <w:jc w:val="left"/>
                    <w:jc w:val="center"/>
                  </w:pPr>
                  <w:r>
                    <w:t xml:space="preserve">Chen et al</w:t>
                  </w:r>
                  <w:r>
                    <w:rPr>
                      <w:b/>
                      <w:bCs/>
                      <w:vertAlign w:val="superscript"/>
                    </w:rPr>
                    <w:t xml:space="preserve">Chen2020?</w:t>
                  </w:r>
                  <m:oMath>
                    <m:sSup>
                      <m:e>
                        <m:r>
                          <m:t>​</m:t>
                        </m:r>
                      </m:e>
                      <m:sup>
                        <m:r>
                          <m:rPr>
                            <m:sty m:val="p"/>
                          </m:rPr>
                          <m:t>†</m:t>
                        </m:r>
                        <m:r>
                          <m:rPr>
                            <m:sty m:val="p"/>
                          </m:rPr>
                          <m:t>,</m:t>
                        </m:r>
                        <m:r>
                          <m:rPr>
                            <m:sty m:val="p"/>
                          </m:rPr>
                          <m:t>*</m:t>
                        </m:r>
                      </m:sup>
                    </m:sSup>
                  </m:oMath>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sSup>
                      <m:e>
                        <m:r>
                          <m:t>χ</m:t>
                        </m:r>
                      </m:e>
                      <m:sup>
                        <m:r>
                          <m:t>2</m:t>
                        </m:r>
                      </m:sup>
                    </m:sSup>
                    <m:r>
                      <m:rPr>
                        <m:sty m:val="p"/>
                      </m:rPr>
                      <m:t>=</m:t>
                    </m:r>
                    <m:r>
                      <m:t>5.797</m:t>
                    </m:r>
                  </m:oMath>
                </w:p>
              </w:tc>
              <w:tc>
                <w:tcPr/>
                <w:p>
                  <w:pPr>
                    <w:pStyle w:val="Compact"/>
                    <w:jc w:val="center"/>
                    <w:jc w:val="center"/>
                  </w:pPr>
                  <m:oMath>
                    <m:r>
                      <m:t>0.02</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versus high BG fluctuations (angina pectoris)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sSup>
                      <m:e>
                        <m:r>
                          <m:t>χ</m:t>
                        </m:r>
                      </m:e>
                      <m:sup>
                        <m:r>
                          <m:t>2</m:t>
                        </m:r>
                      </m:sup>
                    </m:sSup>
                    <m:r>
                      <m:rPr>
                        <m:sty m:val="p"/>
                      </m:rPr>
                      <m:t>=</m:t>
                    </m:r>
                    <m:r>
                      <m:t>7.490</m:t>
                    </m:r>
                  </m:oMath>
                </w:p>
              </w:tc>
              <w:tc>
                <w:tcPr/>
                <w:p>
                  <w:pPr>
                    <w:pStyle w:val="Compact"/>
                    <w:jc w:val="center"/>
                    <w:jc w:val="center"/>
                  </w:pPr>
                  <m:oMath>
                    <m:r>
                      <m:t>0.006</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versus high BG fluctuations (angina pectoris)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r>
                    <w:t xml:space="preserve"> </w:t>
                  </w:r>
                  <w:r>
                    <w:t xml:space="preserve">(myocardial Infarction)</w:t>
                  </w:r>
                </w:p>
              </w:tc>
              <w:tc>
                <w:tcPr/>
                <w:p>
                  <w:pPr>
                    <w:pStyle w:val="Compact"/>
                    <w:jc w:val="left"/>
                    <w:jc w:val="center"/>
                  </w:pPr>
                  <w:r>
                    <w:t xml:space="preserve">HR: 1.901</w:t>
                  </w:r>
                  <w:r>
                    <w:t xml:space="preserve"> </w:t>
                  </w:r>
                  <w:r>
                    <w:t xml:space="preserve">(1.067–3.389)</w:t>
                  </w:r>
                </w:p>
              </w:tc>
              <w:tc>
                <w:tcPr/>
                <w:p>
                  <w:pPr>
                    <w:pStyle w:val="Compact"/>
                    <w:jc w:val="center"/>
                    <w:jc w:val="center"/>
                  </w:pPr>
                  <w:r>
                    <w:t xml:space="preserve">—</w:t>
                  </w:r>
                </w:p>
              </w:tc>
              <w:tc>
                <w:tcPr/>
                <w:p>
                  <w:pPr>
                    <w:pStyle w:val="Compact"/>
                    <w:jc w:val="left"/>
                    <w:jc w:val="center"/>
                  </w:pPr>
                  <w:r>
                    <w:t xml:space="preserve">HR: 1.549</w:t>
                  </w:r>
                  <w:r>
                    <w:t xml:space="preserve"> </w:t>
                  </w:r>
                  <w:r>
                    <w:t xml:space="preserve">(0.768–3.124)</w:t>
                  </w:r>
                </w:p>
              </w:tc>
              <w:tc>
                <w:tcPr/>
                <w:p>
                  <w:pPr>
                    <w:pStyle w:val="Compact"/>
                    <w:jc w:val="center"/>
                    <w:jc w:val="center"/>
                  </w:pPr>
                  <m:oMath>
                    <m:r>
                      <m:t>0.03</m:t>
                    </m:r>
                  </m:oMath>
                </w:p>
              </w:tc>
              <w:tc>
                <w:tcPr/>
                <w:p>
                  <w:pPr>
                    <w:pStyle w:val="Compact"/>
                  </w:pPr>
                </w:p>
              </w:tc>
            </w:tr>
            <w:tr>
              <w:tc>
                <w:tcPr/>
                <w:p>
                  <w:pPr>
                    <w:pStyle w:val="Compact"/>
                    <w:jc w:val="left"/>
                    <w:jc w:val="center"/>
                  </w:pPr>
                  <w:r>
                    <w:t xml:space="preserve">    Hypoglycemic events</w:t>
                  </w:r>
                  <w:r>
                    <w:t xml:space="preserve"> </w:t>
                  </w:r>
                  <w:r>
                    <w:t xml:space="preserve">(unstable angina pectoris)</w:t>
                  </w:r>
                </w:p>
              </w:tc>
              <w:tc>
                <w:tcPr/>
                <w:p>
                  <w:pPr>
                    <w:pStyle w:val="Compact"/>
                    <w:jc w:val="left"/>
                    <w:jc w:val="center"/>
                  </w:pPr>
                  <w:r>
                    <w:t xml:space="preserve">HR: 1.226</w:t>
                  </w:r>
                  <w:r>
                    <w:t xml:space="preserve"> </w:t>
                  </w:r>
                  <w:r>
                    <w:t xml:space="preserve">(0.857–1.753)</w:t>
                  </w:r>
                </w:p>
              </w:tc>
              <w:tc>
                <w:tcPr/>
                <w:p>
                  <w:pPr>
                    <w:pStyle w:val="Compact"/>
                    <w:jc w:val="center"/>
                    <w:jc w:val="center"/>
                  </w:pPr>
                  <w:r>
                    <w:t xml:space="preserve">—</w:t>
                  </w:r>
                </w:p>
              </w:tc>
              <w:tc>
                <w:tcPr/>
                <w:p>
                  <w:pPr>
                    <w:pStyle w:val="Compact"/>
                    <w:jc w:val="left"/>
                    <w:jc w:val="center"/>
                  </w:pPr>
                  <w:r>
                    <w:t xml:space="preserve">HR: 1.218</w:t>
                  </w:r>
                  <w:r>
                    <w:t xml:space="preserve"> </w:t>
                  </w:r>
                  <w:r>
                    <w:t xml:space="preserve">(0.794–1.869)</w:t>
                  </w:r>
                </w:p>
              </w:tc>
              <w:tc>
                <w:tcPr/>
                <w:p>
                  <w:pPr>
                    <w:pStyle w:val="Compact"/>
                    <w:jc w:val="center"/>
                    <w:jc w:val="center"/>
                  </w:pPr>
                  <m:oMath>
                    <m:r>
                      <m:t>0.30</m:t>
                    </m:r>
                  </m:oMath>
                </w:p>
              </w:tc>
              <w:tc>
                <w:tcPr/>
                <w:p>
                  <w:pPr>
                    <w:pStyle w:val="Compact"/>
                  </w:pPr>
                </w:p>
              </w:tc>
            </w:tr>
            <w:tr>
              <w:tc>
                <w:tcPr/>
                <w:p>
                  <w:pPr>
                    <w:pStyle w:val="Compact"/>
                    <w:jc w:val="left"/>
                    <w:jc w:val="center"/>
                  </w:pPr>
                  <w:r>
                    <w:t xml:space="preserve">Shu-Hua et al</w:t>
                  </w:r>
                  <w:r>
                    <w:rPr>
                      <w:b/>
                      <w:bCs/>
                      <w:vertAlign w:val="superscript"/>
                    </w:rPr>
                    <w:t xml:space="preserve">Hua?</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 level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2.286</w:t>
                  </w:r>
                  <w:r>
                    <w:t xml:space="preserve"> </w:t>
                  </w:r>
                  <w:r>
                    <w:t xml:space="preserve">(1.176–4.446)</w:t>
                  </w:r>
                </w:p>
              </w:tc>
              <w:tc>
                <w:tcPr/>
                <w:p>
                  <w:pPr>
                    <w:pStyle w:val="Compact"/>
                    <w:jc w:val="center"/>
                    <w:jc w:val="center"/>
                  </w:pPr>
                  <m:oMath>
                    <m:r>
                      <m:t>0.02</m:t>
                    </m:r>
                  </m:oMath>
                </w:p>
              </w:tc>
              <w:tc>
                <w:tcPr/>
                <w:p>
                  <w:pPr>
                    <w:pStyle w:val="Compact"/>
                  </w:pPr>
                </w:p>
              </w:tc>
            </w:tr>
            <w:tr>
              <w:tc>
                <w:tcPr/>
                <w:p>
                  <w:pPr>
                    <w:pStyle w:val="Compact"/>
                    <w:jc w:val="left"/>
                    <w:jc w:val="center"/>
                  </w:pPr>
                  <w:r>
                    <w:t xml:space="preserve">Su et al</w:t>
                  </w:r>
                  <w:r>
                    <w:rPr>
                      <w:vertAlign w:val="superscript"/>
                    </w:rPr>
                    <w:t xml:space="preserve">1</w:t>
                  </w:r>
                  <m:oMath>
                    <m:sSup>
                      <m:e>
                        <m:r>
                          <m:t>​</m:t>
                        </m:r>
                      </m:e>
                      <m:sup>
                        <m:r>
                          <m:rPr>
                            <m:sty m:val="p"/>
                          </m:rPr>
                          <m:t>*</m:t>
                        </m:r>
                      </m:sup>
                    </m:sSup>
                  </m:oMath>
                  <w:r>
                    <w:t xml:space="preserve">,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2.612</w:t>
                  </w:r>
                  <w:r>
                    <w:t xml:space="preserve"> </w:t>
                  </w:r>
                  <w:r>
                    <w:t xml:space="preserve">(1.423–4.831)</w:t>
                  </w:r>
                </w:p>
              </w:tc>
              <w:tc>
                <w:tcPr/>
                <w:p>
                  <w:pPr>
                    <w:pStyle w:val="Compact"/>
                    <w:jc w:val="center"/>
                    <w:jc w:val="center"/>
                  </w:pPr>
                  <m:oMath>
                    <m:r>
                      <m:t>0.002</m:t>
                    </m:r>
                  </m:oMath>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AUC: 0.618</w:t>
                  </w:r>
                  <w:r>
                    <w:t xml:space="preserve"> </w:t>
                  </w:r>
                  <w:r>
                    <w:t xml:space="preserve">(0.555–0.680)</w:t>
                  </w:r>
                </w:p>
              </w:tc>
              <w:tc>
                <w:tcPr/>
                <w:p>
                  <w:pPr>
                    <w:pStyle w:val="Compact"/>
                    <w:jc w:val="center"/>
                    <w:jc w:val="center"/>
                  </w:pPr>
                  <m:oMath>
                    <m:r>
                      <m:t>0.001</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et al</w:t>
                  </w:r>
                  <w:r>
                    <w:rPr>
                      <w:b/>
                      <w:bCs/>
                      <w:vertAlign w:val="superscript"/>
                    </w:rPr>
                    <w:t xml:space="preserve">Chen2020?</w:t>
                  </w:r>
                  <m:oMath>
                    <m:sSup>
                      <m:e>
                        <m:r>
                          <m:t>​</m:t>
                        </m:r>
                      </m:e>
                      <m:sup>
                        <m:r>
                          <m:rPr>
                            <m:sty m:val="p"/>
                          </m:rPr>
                          <m:t>†</m:t>
                        </m:r>
                        <m:r>
                          <m:rPr>
                            <m:sty m:val="p"/>
                          </m:rPr>
                          <m:t>,</m:t>
                        </m:r>
                        <m:r>
                          <m:rPr>
                            <m:sty m:val="p"/>
                          </m:rPr>
                          <m:t>*</m:t>
                        </m:r>
                      </m:sup>
                    </m:sSup>
                  </m:oMath>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t</m:t>
                    </m:r>
                    <m:r>
                      <m:rPr>
                        <m:sty m:val="p"/>
                      </m:rPr>
                      <m:t>=</m:t>
                    </m:r>
                    <m:r>
                      <m:t>6.210</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w:t>
                  </w:r>
                  <w:r>
                    <w:rPr>
                      <w:b/>
                      <w:bCs/>
                      <w:vertAlign w:val="superscript"/>
                    </w:rPr>
                    <w:t xml:space="preserve">Watanabe2017?</w:t>
                  </w:r>
                  <m:oMath>
                    <m:sSup>
                      <m:e>
                        <m:r>
                          <m:t>​</m:t>
                        </m:r>
                      </m:e>
                      <m:sup>
                        <m:r>
                          <m:rPr>
                            <m:sty m:val="p"/>
                          </m:rPr>
                          <m:t>*</m:t>
                        </m:r>
                      </m:sup>
                    </m:sSup>
                  </m:oMath>
                  <w:r>
                    <w:t xml:space="preserv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0.742</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Shu-Hua et al</w:t>
                  </w:r>
                  <w:r>
                    <w:rPr>
                      <w:b/>
                      <w:bCs/>
                      <w:vertAlign w:val="superscript"/>
                    </w:rPr>
                    <w:t xml:space="preserve">Hua2012?</w:t>
                  </w:r>
                  <m:oMath>
                    <m:sSup>
                      <m:e>
                        <m:r>
                          <m:t>​</m:t>
                        </m:r>
                      </m:e>
                      <m:sup>
                        <m:r>
                          <m:rPr>
                            <m:sty m:val="p"/>
                          </m:rPr>
                          <m:t>*</m:t>
                        </m:r>
                      </m:sup>
                    </m:sSup>
                  </m:oMath>
                  <w:r>
                    <w:t xml:space="preserve">,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Unstandardized coefficient</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4.817</m:t>
                    </m:r>
                  </m:oMath>
                  <w:r>
                    <w:t xml:space="preserve">;</w:t>
                  </w: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SE = 1.164;</w:t>
                  </w:r>
                </w:p>
              </w:tc>
              <w:tc>
                <w:tcPr/>
                <w:p>
                  <w:pPr>
                    <w:pStyle w:val="Compact"/>
                    <w:jc w:val="center"/>
                    <w:jc w:val="center"/>
                  </w:pPr>
                  <m:oMath>
                    <m:r>
                      <m:t>0.003</m:t>
                    </m:r>
                  </m:oMath>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Standardized coefficient</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t</m:t>
                    </m:r>
                    <m:r>
                      <m:rPr>
                        <m:sty m:val="p"/>
                      </m:rPr>
                      <m:t>=</m:t>
                    </m:r>
                    <m:r>
                      <m:t>2.984</m:t>
                    </m:r>
                  </m:oMath>
                </w:p>
              </w:tc>
              <w:tc>
                <w:tcPr/>
                <w:p>
                  <w:pPr>
                    <w:pStyle w:val="Compact"/>
                  </w:pPr>
                </w:p>
              </w:tc>
              <w:tc>
                <w:tcPr/>
                <w:p>
                  <w:pPr>
                    <w:pStyle w:val="Compact"/>
                  </w:pPr>
                </w:p>
              </w:tc>
            </w:tr>
            <w:tr>
              <w:tc>
                <w:tcPr/>
                <w:p>
                  <w:pPr>
                    <w:pStyle w:val="Compact"/>
                    <w:jc w:val="left"/>
                    <w:jc w:val="center"/>
                  </w:pPr>
                  <w:r>
                    <w:t xml:space="preserve">Su et al</w:t>
                  </w:r>
                  <w:r>
                    <w:rPr>
                      <w:vertAlign w:val="superscript"/>
                    </w:rPr>
                    <w:t xml:space="preserve">1</w:t>
                  </w:r>
                  <m:oMath>
                    <m:sSup>
                      <m:e>
                        <m:r>
                          <m:t>​</m:t>
                        </m:r>
                      </m:e>
                      <m:sup>
                        <m:r>
                          <m:rPr>
                            <m:sty m:val="p"/>
                          </m:rPr>
                          <m:t>*</m:t>
                        </m:r>
                      </m:sup>
                    </m:sSup>
                  </m:oMath>
                  <w:r>
                    <w:t xml:space="preserve">,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Unstandardized</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7.010</m:t>
                    </m:r>
                  </m:oMath>
                  <w:r>
                    <w:t xml:space="preserve">;</w:t>
                  </w: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SE = 1.466;</w:t>
                  </w:r>
                </w:p>
              </w:tc>
              <w:tc>
                <w:tcPr/>
                <w:p>
                  <w:pPr>
                    <w:pStyle w:val="Compact"/>
                    <w:jc w:val="center"/>
                    <w:jc w:val="center"/>
                  </w:pPr>
                  <m:oMath>
                    <m:r>
                      <m:rPr>
                        <m:sty m:val="p"/>
                      </m:rPr>
                      <m:t>&lt;</m:t>
                    </m:r>
                    <m:r>
                      <m:t>0.001</m:t>
                    </m:r>
                  </m:oMath>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standardized</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0.237</m:t>
                    </m:r>
                  </m:oMath>
                  <w:r>
                    <w:t xml:space="preserve">;</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t</m:t>
                    </m:r>
                    <m:r>
                      <m:rPr>
                        <m:sty m:val="p"/>
                      </m:rPr>
                      <m:t>=</m:t>
                    </m:r>
                    <m:r>
                      <m:t>4.783</m:t>
                    </m:r>
                  </m:oMath>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w:t>
                  </w:r>
                  <w:r>
                    <w:rPr>
                      <w:b/>
                      <w:bCs/>
                      <w:vertAlign w:val="superscript"/>
                    </w:rPr>
                    <w:t xml:space="preserve">Watanabe2017?</w:t>
                  </w:r>
                  <m:oMath>
                    <m:sSup>
                      <m:e>
                        <m:r>
                          <m:t>​</m:t>
                        </m:r>
                      </m:e>
                      <m:sup>
                        <m:r>
                          <m:rPr>
                            <m:sty m:val="p"/>
                          </m:rPr>
                          <m:t>*</m:t>
                        </m:r>
                      </m:sup>
                    </m:sSup>
                  </m:oMath>
                  <w:r>
                    <w:t xml:space="preserv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0.776</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Zhang et al</w:t>
                  </w:r>
                  <w:r>
                    <w:rPr>
                      <w:vertAlign w:val="superscript"/>
                    </w:rPr>
                    <w:t xml:space="preserve">4</w:t>
                  </w:r>
                  <m:oMath>
                    <m:sSup>
                      <m:e>
                        <m:r>
                          <m:t>​</m:t>
                        </m:r>
                      </m:e>
                      <m:sup>
                        <m:r>
                          <m:rPr>
                            <m:sty m:val="p"/>
                          </m:rPr>
                          <m:t>*</m:t>
                        </m:r>
                      </m:sup>
                    </m:sSup>
                  </m:oMath>
                  <w:r>
                    <w:t xml:space="preserve">, 2013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0.518</m:t>
                    </m:r>
                  </m:oMath>
                </w:p>
              </w:tc>
              <w:tc>
                <w:tcPr/>
                <w:p>
                  <w:pPr>
                    <w:pStyle w:val="Compact"/>
                    <w:jc w:val="center"/>
                    <w:jc w:val="center"/>
                  </w:pPr>
                  <m:oMath>
                    <m:r>
                      <m:t>0.01</m:t>
                    </m:r>
                  </m:oMath>
                </w:p>
              </w:tc>
              <w:tc>
                <w:tcPr/>
                <w:p>
                  <w:pPr>
                    <w:pStyle w:val="Compact"/>
                  </w:pPr>
                </w:p>
              </w:tc>
            </w:tr>
            <w:tr>
              <w:tc>
                <w:tcPr/>
                <w:p>
                  <w:pPr>
                    <w:pStyle w:val="Compact"/>
                    <w:jc w:val="left"/>
                    <w:jc w:val="center"/>
                  </w:pPr>
                  <w:r>
                    <w:t xml:space="preserve">    BG fluctuations from 00:00 to 03:00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0.442</m:t>
                    </m:r>
                  </m:oMath>
                </w:p>
              </w:tc>
              <w:tc>
                <w:tcPr/>
                <w:p>
                  <w:pPr>
                    <w:pStyle w:val="Compact"/>
                    <w:jc w:val="center"/>
                    <w:jc w:val="center"/>
                  </w:pPr>
                  <m:oMath>
                    <m:r>
                      <m:t>0.04</m:t>
                    </m:r>
                  </m:oMath>
                </w:p>
              </w:tc>
              <w:tc>
                <w:tcPr/>
                <w:p>
                  <w:pPr>
                    <w:pStyle w:val="Compact"/>
                  </w:pPr>
                </w:p>
              </w:tc>
            </w:tr>
            <w:tr>
              <w:tc>
                <w:tcPr/>
                <w:p>
                  <w:pPr>
                    <w:pStyle w:val="Compact"/>
                    <w:jc w:val="left"/>
                    <w:jc w:val="center"/>
                  </w:pPr>
                  <w:r>
                    <w:t xml:space="preserve">    BG fluctuations from 03:00 to 06:00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0.208</m:t>
                    </m:r>
                  </m:oMath>
                </w:p>
              </w:tc>
              <w:tc>
                <w:tcPr/>
                <w:p>
                  <w:pPr>
                    <w:pStyle w:val="Compact"/>
                    <w:jc w:val="center"/>
                    <w:jc w:val="center"/>
                  </w:pPr>
                  <m:oMath>
                    <m:r>
                      <m:t>0.34</m:t>
                    </m:r>
                  </m:oMath>
                </w:p>
              </w:tc>
              <w:tc>
                <w:tcPr/>
                <w:p>
                  <w:pPr>
                    <w:pStyle w:val="Compact"/>
                  </w:pPr>
                </w:p>
              </w:tc>
            </w:tr>
            <w:tr>
              <w:tc>
                <w:tcPr/>
                <w:p>
                  <w:pPr>
                    <w:pStyle w:val="Compact"/>
                    <w:jc w:val="left"/>
                    <w:jc w:val="center"/>
                  </w:pPr>
                  <w:r>
                    <w:t xml:space="preserve">    BG fluctuations from 06:00 to 08:00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0.678</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BG fluctuations from 08:00 to 11:00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0.115</m:t>
                    </m:r>
                  </m:oMath>
                </w:p>
              </w:tc>
              <w:tc>
                <w:tcPr/>
                <w:p>
                  <w:pPr>
                    <w:pStyle w:val="Compact"/>
                    <w:jc w:val="center"/>
                    <w:jc w:val="center"/>
                  </w:pPr>
                  <m:oMath>
                    <m:r>
                      <m:t>0.60</m:t>
                    </m:r>
                  </m:oMath>
                </w:p>
              </w:tc>
              <w:tc>
                <w:tcPr/>
                <w:p>
                  <w:pPr>
                    <w:pStyle w:val="Compact"/>
                  </w:pPr>
                </w:p>
              </w:tc>
            </w:tr>
            <w:tr>
              <w:tc>
                <w:tcPr/>
                <w:p>
                  <w:pPr>
                    <w:pStyle w:val="Compact"/>
                    <w:jc w:val="left"/>
                    <w:jc w:val="center"/>
                  </w:pPr>
                  <w:r>
                    <w:t xml:space="preserve">    BG fluctuations from 11:00 to 13:00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0.523</m:t>
                    </m:r>
                  </m:oMath>
                </w:p>
              </w:tc>
              <w:tc>
                <w:tcPr/>
                <w:p>
                  <w:pPr>
                    <w:pStyle w:val="Compact"/>
                    <w:jc w:val="center"/>
                    <w:jc w:val="center"/>
                  </w:pPr>
                  <m:oMath>
                    <m:r>
                      <m:t>0.01</m:t>
                    </m:r>
                  </m:oMath>
                </w:p>
              </w:tc>
              <w:tc>
                <w:tcPr/>
                <w:p>
                  <w:pPr>
                    <w:pStyle w:val="Compact"/>
                  </w:pPr>
                </w:p>
              </w:tc>
            </w:tr>
            <w:tr>
              <w:tc>
                <w:tcPr/>
                <w:p>
                  <w:pPr>
                    <w:pStyle w:val="Compact"/>
                    <w:jc w:val="left"/>
                    <w:jc w:val="center"/>
                  </w:pPr>
                  <w:r>
                    <w:t xml:space="preserve">    BG fluctuations from 13:00 to 17:00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0.257</m:t>
                    </m:r>
                  </m:oMath>
                </w:p>
              </w:tc>
              <w:tc>
                <w:tcPr/>
                <w:p>
                  <w:pPr>
                    <w:pStyle w:val="Compact"/>
                    <w:jc w:val="center"/>
                    <w:jc w:val="center"/>
                  </w:pPr>
                  <m:oMath>
                    <m:r>
                      <m:t>0.24</m:t>
                    </m:r>
                  </m:oMath>
                </w:p>
              </w:tc>
              <w:tc>
                <w:tcPr/>
                <w:p>
                  <w:pPr>
                    <w:pStyle w:val="Compact"/>
                  </w:pPr>
                </w:p>
              </w:tc>
            </w:tr>
            <w:tr>
              <w:tc>
                <w:tcPr/>
                <w:p>
                  <w:pPr>
                    <w:pStyle w:val="Compact"/>
                    <w:jc w:val="left"/>
                    <w:jc w:val="center"/>
                  </w:pPr>
                  <w:r>
                    <w:t xml:space="preserve">    BG fluctuations from 17:00 to 19:00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0.358</m:t>
                    </m:r>
                  </m:oMath>
                </w:p>
              </w:tc>
              <w:tc>
                <w:tcPr/>
                <w:p>
                  <w:pPr>
                    <w:pStyle w:val="Compact"/>
                    <w:jc w:val="center"/>
                    <w:jc w:val="center"/>
                  </w:pPr>
                  <m:oMath>
                    <m:r>
                      <m:t>0.09</m:t>
                    </m:r>
                  </m:oMath>
                </w:p>
              </w:tc>
              <w:tc>
                <w:tcPr/>
                <w:p>
                  <w:pPr>
                    <w:pStyle w:val="Compact"/>
                  </w:pPr>
                </w:p>
              </w:tc>
            </w:tr>
            <w:tr>
              <w:tc>
                <w:tcPr/>
                <w:p>
                  <w:pPr>
                    <w:pStyle w:val="Compact"/>
                    <w:jc w:val="left"/>
                    <w:jc w:val="center"/>
                  </w:pPr>
                  <w:r>
                    <w:t xml:space="preserve">    BG fluctuations from 19:00 to 24:00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0.018</m:t>
                    </m:r>
                  </m:oMath>
                </w:p>
              </w:tc>
              <w:tc>
                <w:tcPr/>
                <w:p>
                  <w:pPr>
                    <w:pStyle w:val="Compact"/>
                    <w:jc w:val="center"/>
                    <w:jc w:val="center"/>
                  </w:pPr>
                  <m:oMath>
                    <m:r>
                      <m:t>0.93</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0.651 (0.470–0.902)</w:t>
                  </w:r>
                </w:p>
              </w:tc>
              <w:tc>
                <w:tcPr/>
                <w:p>
                  <w:pPr>
                    <w:pStyle w:val="Compact"/>
                    <w:jc w:val="center"/>
                    <w:jc w:val="center"/>
                  </w:pPr>
                  <m:oMath>
                    <m:r>
                      <m:rPr>
                        <m:sty m:val="p"/>
                      </m:rPr>
                      <m:t>&lt;</m:t>
                    </m:r>
                    <m:r>
                      <m:t>0.05</m:t>
                    </m:r>
                  </m:oMath>
                </w:p>
              </w:tc>
              <w:tc>
                <w:tcPr/>
                <w:p>
                  <w:pPr>
                    <w:pStyle w:val="Compact"/>
                    <w:jc w:val="left"/>
                    <w:jc w:val="center"/>
                  </w:pPr>
                  <w:r>
                    <w:t xml:space="preserve">OR 0.546 (0.347–0.858)</w:t>
                  </w:r>
                </w:p>
              </w:tc>
              <w:tc>
                <w:tcPr/>
                <w:p>
                  <w:pPr>
                    <w:pStyle w:val="Compact"/>
                    <w:jc w:val="center"/>
                    <w:jc w:val="center"/>
                  </w:pPr>
                  <m:oMath>
                    <m:r>
                      <m:rPr>
                        <m:sty m:val="p"/>
                      </m:rPr>
                      <m:t>&lt;</m:t>
                    </m:r>
                    <m:r>
                      <m:t>0.01</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0.749 (0.588–0.955)</w:t>
                  </w:r>
                </w:p>
              </w:tc>
              <w:tc>
                <w:tcPr/>
                <w:p>
                  <w:pPr>
                    <w:pStyle w:val="Compact"/>
                    <w:jc w:val="center"/>
                    <w:jc w:val="center"/>
                  </w:pPr>
                  <m:oMath>
                    <m:r>
                      <m:rPr>
                        <m:sty m:val="p"/>
                      </m:rPr>
                      <m:t>&lt;</m:t>
                    </m:r>
                    <m:r>
                      <m:t>0.05</m:t>
                    </m:r>
                  </m:oMath>
                </w:p>
              </w:tc>
              <w:tc>
                <w:tcPr/>
                <w:p>
                  <w:pPr>
                    <w:pStyle w:val="Compact"/>
                    <w:jc w:val="left"/>
                    <w:jc w:val="center"/>
                  </w:pPr>
                  <w:r>
                    <w:t xml:space="preserve">OR 0.617 (0.440–0.866)</w:t>
                  </w:r>
                </w:p>
              </w:tc>
              <w:tc>
                <w:tcPr/>
                <w:p>
                  <w:pPr>
                    <w:pStyle w:val="Compact"/>
                    <w:jc w:val="center"/>
                    <w:jc w:val="center"/>
                  </w:pPr>
                  <m:oMath>
                    <m:r>
                      <m:rPr>
                        <m:sty m:val="p"/>
                      </m:rPr>
                      <m:t>&lt;</m:t>
                    </m:r>
                    <m:r>
                      <m:t>0.01</m:t>
                    </m:r>
                  </m:oMath>
                </w:p>
              </w:tc>
              <w:tc>
                <w:tcPr/>
                <w:p>
                  <w:pPr>
                    <w:pStyle w:val="Compact"/>
                  </w:pPr>
                </w:p>
              </w:tc>
            </w:tr>
            <w:tr>
              <w:tc>
                <w:tcPr/>
                <w:p>
                  <w:pPr>
                    <w:pStyle w:val="Compact"/>
                    <w:jc w:val="left"/>
                    <w:jc w:val="center"/>
                  </w:pPr>
                  <w:r>
                    <w:t xml:space="preserve">Guo et al</w:t>
                  </w:r>
                  <w:r>
                    <w:rPr>
                      <w:b/>
                      <w:bCs/>
                      <w:vertAlign w:val="superscript"/>
                    </w:rPr>
                    <w:t xml:space="preserve">Guo2021?</w:t>
                  </w:r>
                  <m:oMath>
                    <m:sSup>
                      <m:e>
                        <m:r>
                          <m:t>​</m:t>
                        </m:r>
                      </m:e>
                      <m:sup>
                        <m:r>
                          <m:rPr>
                            <m:sty m:val="p"/>
                          </m:rPr>
                          <m:t>*</m:t>
                        </m:r>
                      </m:sup>
                    </m:sSup>
                  </m:oMath>
                  <w:r>
                    <w:t xml:space="preserve">, 2021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 Q1 (</w:t>
                  </w:r>
                  <m:oMath>
                    <m:r>
                      <m:rPr>
                        <m:sty m:val="p"/>
                      </m:rPr>
                      <m:t>≤</m:t>
                    </m:r>
                    <m:r>
                      <m:t>46</m:t>
                    </m:r>
                    <m:r>
                      <m:rPr>
                        <m:sty m:val="p"/>
                      </m:rPr>
                      <m:t>%</m:t>
                    </m:r>
                  </m:oMath>
                  <w:r>
                    <w:t xml:space="preserve">; reference)</w:t>
                  </w:r>
                </w:p>
              </w:tc>
              <w:tc>
                <w:tcPr/>
                <w:p>
                  <w:pPr>
                    <w:pStyle w:val="Compact"/>
                    <w:jc w:val="left"/>
                    <w:jc w:val="center"/>
                  </w:pPr>
                  <w:r>
                    <w:t xml:space="preserve">OR: 1.00</w:t>
                  </w:r>
                </w:p>
              </w:tc>
              <w:tc>
                <w:tcPr/>
                <w:p>
                  <w:pPr>
                    <w:pStyle w:val="Compact"/>
                    <w:jc w:val="center"/>
                    <w:jc w:val="center"/>
                  </w:pPr>
                  <m:oMath>
                    <m:r>
                      <m:rPr>
                        <m:sty m:val="p"/>
                      </m:rPr>
                      <m:t>&lt;</m:t>
                    </m:r>
                    <m:r>
                      <m:t>0.001</m:t>
                    </m:r>
                  </m:oMath>
                </w:p>
              </w:tc>
              <w:tc>
                <w:tcPr/>
                <w:p>
                  <w:pPr>
                    <w:pStyle w:val="Compact"/>
                    <w:jc w:val="left"/>
                    <w:jc w:val="center"/>
                  </w:pPr>
                  <w:r>
                    <w:t xml:space="preserve">OR: 1.00</w:t>
                  </w:r>
                  <w:r>
                    <w:t xml:space="preserve"> </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Q2 (</w:t>
                  </w:r>
                  <m:oMath>
                    <m:r>
                      <m:t>46</m:t>
                    </m:r>
                    <m:r>
                      <m:rPr>
                        <m:sty m:val="p"/>
                      </m:rPr>
                      <m:t>%</m:t>
                    </m:r>
                    <m:r>
                      <m:rPr>
                        <m:sty m:val="p"/>
                      </m:rPr>
                      <m:t>−</m:t>
                    </m:r>
                    <m:r>
                      <m:t>65</m:t>
                    </m:r>
                    <m:r>
                      <m:rPr>
                        <m:sty m:val="p"/>
                      </m:rPr>
                      <m:t>%</m:t>
                    </m:r>
                  </m:oMath>
                  <w:r>
                    <w:t xml:space="preserve">)</w:t>
                  </w:r>
                </w:p>
              </w:tc>
              <w:tc>
                <w:tcPr/>
                <w:p>
                  <w:pPr>
                    <w:pStyle w:val="Compact"/>
                    <w:jc w:val="left"/>
                    <w:jc w:val="center"/>
                  </w:pPr>
                  <w:r>
                    <w:t xml:space="preserve">OR: 0.86</w:t>
                  </w:r>
                  <w:r>
                    <w:t xml:space="preserve"> </w:t>
                  </w:r>
                  <w:r>
                    <w:t xml:space="preserve">(0.72–0.95)</w:t>
                  </w:r>
                </w:p>
              </w:tc>
              <w:tc>
                <w:tcPr/>
                <w:p>
                  <w:pPr>
                    <w:pStyle w:val="Compact"/>
                    <w:jc w:val="center"/>
                    <w:jc w:val="center"/>
                  </w:pPr>
                  <m:oMath>
                    <m:r>
                      <m:rPr>
                        <m:sty m:val="p"/>
                      </m:rPr>
                      <m:t>&lt;</m:t>
                    </m:r>
                    <m:r>
                      <m:t>0.001</m:t>
                    </m:r>
                  </m:oMath>
                </w:p>
              </w:tc>
              <w:tc>
                <w:tcPr/>
                <w:p>
                  <w:pPr>
                    <w:pStyle w:val="Compact"/>
                    <w:jc w:val="left"/>
                    <w:jc w:val="center"/>
                  </w:pPr>
                  <w:r>
                    <w:t xml:space="preserve">OR: 0.80</w:t>
                  </w:r>
                  <w:r>
                    <w:t xml:space="preserve"> </w:t>
                  </w:r>
                  <w:r>
                    <w:t xml:space="preserve">(0.68–0.92)</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Q3 (</w:t>
                  </w:r>
                  <m:oMath>
                    <m:r>
                      <m:t>65</m:t>
                    </m:r>
                    <m:r>
                      <m:rPr>
                        <m:sty m:val="p"/>
                      </m:rPr>
                      <m:t>%</m:t>
                    </m:r>
                    <m:r>
                      <m:rPr>
                        <m:sty m:val="p"/>
                      </m:rPr>
                      <m:t>−</m:t>
                    </m:r>
                    <m:r>
                      <m:t>81</m:t>
                    </m:r>
                    <m:r>
                      <m:rPr>
                        <m:sty m:val="p"/>
                      </m:rPr>
                      <m:t>%</m:t>
                    </m:r>
                  </m:oMath>
                  <w:r>
                    <w:t xml:space="preserve">)</w:t>
                  </w:r>
                </w:p>
              </w:tc>
              <w:tc>
                <w:tcPr/>
                <w:p>
                  <w:pPr>
                    <w:pStyle w:val="Compact"/>
                    <w:jc w:val="left"/>
                    <w:jc w:val="center"/>
                  </w:pPr>
                  <w:r>
                    <w:t xml:space="preserve">OR: 0.71</w:t>
                  </w:r>
                  <w:r>
                    <w:t xml:space="preserve"> </w:t>
                  </w:r>
                  <w:r>
                    <w:t xml:space="preserve">(0.61–0.81)</w:t>
                  </w:r>
                </w:p>
              </w:tc>
              <w:tc>
                <w:tcPr/>
                <w:p>
                  <w:pPr>
                    <w:pStyle w:val="Compact"/>
                    <w:jc w:val="center"/>
                    <w:jc w:val="center"/>
                  </w:pPr>
                  <m:oMath>
                    <m:r>
                      <m:rPr>
                        <m:sty m:val="p"/>
                      </m:rPr>
                      <m:t>&lt;</m:t>
                    </m:r>
                    <m:r>
                      <m:t>0.001</m:t>
                    </m:r>
                  </m:oMath>
                </w:p>
              </w:tc>
              <w:tc>
                <w:tcPr/>
                <w:p>
                  <w:pPr>
                    <w:pStyle w:val="Compact"/>
                    <w:jc w:val="left"/>
                    <w:jc w:val="center"/>
                  </w:pPr>
                  <w:r>
                    <w:t xml:space="preserve">OR: 0.64</w:t>
                  </w:r>
                  <w:r>
                    <w:t xml:space="preserve"> </w:t>
                  </w:r>
                  <w:r>
                    <w:t xml:space="preserve">(0.53–0.79)</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Q4 (</w:t>
                  </w:r>
                  <m:oMath>
                    <m:r>
                      <m:rPr>
                        <m:sty m:val="p"/>
                      </m:rPr>
                      <m:t>&gt;</m:t>
                    </m:r>
                    <m:r>
                      <m:t>81</m:t>
                    </m:r>
                    <m:r>
                      <m:rPr>
                        <m:sty m:val="p"/>
                      </m:rPr>
                      <m:t>%</m:t>
                    </m:r>
                  </m:oMath>
                  <w:r>
                    <w:t xml:space="preserve">)</w:t>
                  </w:r>
                </w:p>
              </w:tc>
              <w:tc>
                <w:tcPr/>
                <w:p>
                  <w:pPr>
                    <w:pStyle w:val="Compact"/>
                    <w:jc w:val="left"/>
                    <w:jc w:val="center"/>
                  </w:pPr>
                  <w:r>
                    <w:t xml:space="preserve">OR: 0.66</w:t>
                  </w:r>
                  <w:r>
                    <w:t xml:space="preserve"> </w:t>
                  </w:r>
                  <w:r>
                    <w:t xml:space="preserve">(0.58–0.80)</w:t>
                  </w:r>
                </w:p>
              </w:tc>
              <w:tc>
                <w:tcPr/>
                <w:p>
                  <w:pPr>
                    <w:pStyle w:val="Compact"/>
                    <w:jc w:val="center"/>
                    <w:jc w:val="center"/>
                  </w:pPr>
                  <m:oMath>
                    <m:r>
                      <m:rPr>
                        <m:sty m:val="p"/>
                      </m:rPr>
                      <m:t>&lt;</m:t>
                    </m:r>
                    <m:r>
                      <m:t>0.001</m:t>
                    </m:r>
                  </m:oMath>
                </w:p>
              </w:tc>
              <w:tc>
                <w:tcPr/>
                <w:p>
                  <w:pPr>
                    <w:pStyle w:val="Compact"/>
                    <w:jc w:val="left"/>
                    <w:jc w:val="center"/>
                  </w:pPr>
                  <w:r>
                    <w:t xml:space="preserve">OR: 0.59</w:t>
                  </w:r>
                  <w:r>
                    <w:t xml:space="preserve"> </w:t>
                  </w:r>
                  <w:r>
                    <w:t xml:space="preserve">(0.50–0.74)</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(per</w:t>
                  </w:r>
                  <w:r>
                    <w:t xml:space="preserve"> </w:t>
                  </w:r>
                  <m:oMath>
                    <m:r>
                      <m:t>10</m:t>
                    </m:r>
                    <m:r>
                      <m:rPr>
                        <m:sty m:val="p"/>
                      </m:rPr>
                      <m:t>%</m:t>
                    </m:r>
                  </m:oMath>
                  <w:r>
                    <w:t xml:space="preserve"> </w:t>
                  </w:r>
                  <w:r>
                    <w:t xml:space="preserve">increase)</w:t>
                  </w:r>
                </w:p>
              </w:tc>
              <w:tc>
                <w:tcPr/>
                <w:p>
                  <w:pPr>
                    <w:pStyle w:val="Compact"/>
                    <w:jc w:val="left"/>
                    <w:jc w:val="center"/>
                  </w:pPr>
                  <w:r>
                    <w:t xml:space="preserve">OR: 0.93</w:t>
                  </w:r>
                  <w:r>
                    <w:t xml:space="preserve"> </w:t>
                  </w:r>
                  <w:r>
                    <w:t xml:space="preserve">(0.85–0.98)</w:t>
                  </w:r>
                </w:p>
              </w:tc>
              <w:tc>
                <w:tcPr/>
                <w:p>
                  <w:pPr>
                    <w:pStyle w:val="Compact"/>
                    <w:jc w:val="center"/>
                    <w:jc w:val="center"/>
                  </w:pPr>
                  <m:oMath>
                    <m:r>
                      <m:t>0.008</m:t>
                    </m:r>
                  </m:oMath>
                </w:p>
              </w:tc>
              <w:tc>
                <w:tcPr/>
                <w:p>
                  <w:pPr>
                    <w:pStyle w:val="Compact"/>
                    <w:jc w:val="left"/>
                    <w:jc w:val="center"/>
                  </w:pPr>
                  <w:r>
                    <w:t xml:space="preserve">OR: 0.89</w:t>
                  </w:r>
                  <w:r>
                    <w:t xml:space="preserve"> </w:t>
                  </w:r>
                  <w:r>
                    <w:t xml:space="preserve">(0.82–0.95)</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1.691</w:t>
                  </w:r>
                  <w:r>
                    <w:t xml:space="preserve"> </w:t>
                  </w:r>
                  <w:r>
                    <w:t xml:space="preserve">(1.144–2.499)</w:t>
                  </w:r>
                </w:p>
              </w:tc>
              <w:tc>
                <w:tcPr/>
                <w:p>
                  <w:pPr>
                    <w:pStyle w:val="Compact"/>
                    <w:jc w:val="center"/>
                    <w:jc w:val="center"/>
                  </w:pPr>
                  <w:r>
                    <w:t xml:space="preserve">—</w:t>
                  </w:r>
                </w:p>
              </w:tc>
              <w:tc>
                <w:tcPr/>
                <w:p>
                  <w:pPr>
                    <w:pStyle w:val="Compact"/>
                    <w:jc w:val="left"/>
                    <w:jc w:val="center"/>
                  </w:pPr>
                  <w:r>
                    <w:t xml:space="preserve">HR: 1.813</w:t>
                  </w:r>
                  <w:r>
                    <w:t xml:space="preserve"> </w:t>
                  </w:r>
                  <w:r>
                    <w:t xml:space="preserve">(1.110–2.960)</w:t>
                  </w:r>
                </w:p>
              </w:tc>
              <w:tc>
                <w:tcPr/>
                <w:p>
                  <w:pPr>
                    <w:pStyle w:val="Compact"/>
                    <w:jc w:val="center"/>
                    <w:jc w:val="center"/>
                  </w:pPr>
                  <m:oMath>
                    <m:r>
                      <m:t>0.06</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0.680 (0.426–1.085)</w:t>
                  </w:r>
                </w:p>
              </w:tc>
              <w:tc>
                <w:tcPr/>
                <w:p>
                  <w:pPr>
                    <w:pStyle w:val="Compact"/>
                    <w:jc w:val="center"/>
                    <w:jc w:val="center"/>
                  </w:pPr>
                  <m:oMath>
                    <m:r>
                      <m:rPr>
                        <m:sty m:val="p"/>
                      </m:rPr>
                      <m:t>&gt;</m:t>
                    </m:r>
                    <m:r>
                      <m:t>0.05</m:t>
                    </m:r>
                  </m:oMath>
                </w:p>
              </w:tc>
              <w:tc>
                <w:tcPr/>
                <w:p>
                  <w:pPr>
                    <w:pStyle w:val="Compact"/>
                    <w:jc w:val="left"/>
                    <w:jc w:val="center"/>
                  </w:pPr>
                  <w:r>
                    <w:t xml:space="preserve">OR 0.807 (0.382–1.703)</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0.736 (0.520–1.042)</w:t>
                  </w:r>
                </w:p>
              </w:tc>
              <w:tc>
                <w:tcPr/>
                <w:p>
                  <w:pPr>
                    <w:pStyle w:val="Compact"/>
                    <w:jc w:val="center"/>
                    <w:jc w:val="center"/>
                  </w:pPr>
                  <m:oMath>
                    <m:r>
                      <m:rPr>
                        <m:sty m:val="p"/>
                      </m:rPr>
                      <m:t>&gt;</m:t>
                    </m:r>
                    <m:r>
                      <m:t>0.05</m:t>
                    </m:r>
                  </m:oMath>
                </w:p>
              </w:tc>
              <w:tc>
                <w:tcPr/>
                <w:p>
                  <w:pPr>
                    <w:pStyle w:val="Compact"/>
                    <w:jc w:val="left"/>
                    <w:jc w:val="center"/>
                  </w:pPr>
                  <w:r>
                    <w:t xml:space="preserve">OR 0.811 (0.470–1.398)</w:t>
                  </w:r>
                </w:p>
              </w:tc>
              <w:tc>
                <w:tcPr/>
                <w:p>
                  <w:pPr>
                    <w:pStyle w:val="Compact"/>
                    <w:jc w:val="center"/>
                    <w:jc w:val="center"/>
                  </w:pPr>
                  <m:oMath>
                    <m:r>
                      <m:rPr>
                        <m:sty m:val="p"/>
                      </m:rPr>
                      <m:t>&gt;</m:t>
                    </m:r>
                    <m:r>
                      <m:t>0.05</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et al</w:t>
                  </w:r>
                  <w:r>
                    <w:rPr>
                      <w:b/>
                      <w:bCs/>
                      <w:vertAlign w:val="superscript"/>
                    </w:rPr>
                    <w:t xml:space="preserve">Li2020?</w:t>
                  </w:r>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0.97</w:t>
                  </w:r>
                  <w:r>
                    <w:t xml:space="preserve">9 (0.968–0.991)</w:t>
                  </w:r>
                </w:p>
              </w:tc>
              <w:tc>
                <w:tcPr/>
                <w:p>
                  <w:pPr>
                    <w:pStyle w:val="Compact"/>
                    <w:jc w:val="center"/>
                    <w:jc w:val="center"/>
                  </w:pPr>
                  <m:oMath>
                    <m:r>
                      <m:rPr>
                        <m:sty m:val="p"/>
                      </m:rPr>
                      <m:t>&lt;</m:t>
                    </m:r>
                    <m:r>
                      <m:t>0.001</m:t>
                    </m:r>
                  </m:oMath>
                </w:p>
              </w:tc>
              <w:tc>
                <w:tcPr/>
                <w:p>
                  <w:pPr>
                    <w:pStyle w:val="Compact"/>
                    <w:jc w:val="left"/>
                    <w:jc w:val="center"/>
                  </w:pPr>
                  <w:r>
                    <w:t xml:space="preserve">OR: 0.97</w:t>
                  </w:r>
                  <w:r>
                    <w:t xml:space="preserve">9 (0.965–0.992)</w:t>
                  </w:r>
                </w:p>
              </w:tc>
              <w:tc>
                <w:tcPr/>
                <w:p>
                  <w:pPr>
                    <w:pStyle w:val="Compact"/>
                    <w:jc w:val="center"/>
                    <w:jc w:val="center"/>
                  </w:pPr>
                  <m:oMath>
                    <m:r>
                      <m:t>0.002</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OR: 1.04</w:t>
                  </w:r>
                  <w:r>
                    <w:t xml:space="preserve">0 (1.003–1.078)</w:t>
                  </w:r>
                </w:p>
              </w:tc>
              <w:tc>
                <w:tcPr/>
                <w:p>
                  <w:pPr>
                    <w:pStyle w:val="Compact"/>
                    <w:jc w:val="center"/>
                    <w:jc w:val="center"/>
                  </w:pPr>
                  <m:oMath>
                    <m:r>
                      <m:t>0.04</m:t>
                    </m:r>
                  </m:oMath>
                </w:p>
              </w:tc>
              <w:tc>
                <w:tcPr/>
                <w:p>
                  <w:pPr>
                    <w:pStyle w:val="Compact"/>
                    <w:jc w:val="left"/>
                    <w:jc w:val="center"/>
                  </w:pPr>
                  <w:r>
                    <w:t xml:space="preserve">OR: 1.03</w:t>
                  </w:r>
                  <w:r>
                    <w:t xml:space="preserve">8 (0.996–1.081)</w:t>
                  </w:r>
                </w:p>
              </w:tc>
              <w:tc>
                <w:tcPr/>
                <w:p>
                  <w:pPr>
                    <w:pStyle w:val="Compact"/>
                    <w:jc w:val="center"/>
                    <w:jc w:val="center"/>
                  </w:pPr>
                  <m:oMath>
                    <m:r>
                      <m:t>0.08</m:t>
                    </m:r>
                  </m:oMath>
                </w:p>
              </w:tc>
              <w:tc>
                <w:tcPr/>
                <w:p>
                  <w:pPr>
                    <w:pStyle w:val="Compact"/>
                  </w:pPr>
                </w:p>
              </w:tc>
            </w:tr>
            <w:tr>
              <w:tc>
                <w:tcPr/>
                <w:p>
                  <w:pPr>
                    <w:pStyle w:val="Compact"/>
                    <w:jc w:val="left"/>
                    <w:jc w:val="center"/>
                  </w:pPr>
                  <w:r>
                    <w:t xml:space="preserve">    SD</w:t>
                  </w:r>
                </w:p>
              </w:tc>
              <w:tc>
                <w:tcPr/>
                <w:p>
                  <w:pPr>
                    <w:pStyle w:val="Compact"/>
                    <w:jc w:val="left"/>
                    <w:jc w:val="center"/>
                  </w:pPr>
                  <w:r>
                    <w:t xml:space="preserve">OR: 1.32</w:t>
                  </w:r>
                  <w:r>
                    <w:t xml:space="preserve">5 (1.038–1.691)</w:t>
                  </w:r>
                </w:p>
              </w:tc>
              <w:tc>
                <w:tcPr/>
                <w:p>
                  <w:pPr>
                    <w:pStyle w:val="Compact"/>
                    <w:jc w:val="center"/>
                    <w:jc w:val="center"/>
                  </w:pPr>
                  <m:oMath>
                    <m:r>
                      <m:t>0.02</m:t>
                    </m:r>
                  </m:oMath>
                </w:p>
              </w:tc>
              <w:tc>
                <w:tcPr/>
                <w:p>
                  <w:pPr>
                    <w:pStyle w:val="Compact"/>
                    <w:jc w:val="left"/>
                    <w:jc w:val="center"/>
                  </w:pPr>
                  <w:r>
                    <w:t xml:space="preserve">OR: 1.15</w:t>
                  </w:r>
                  <w:r>
                    <w:t xml:space="preserve">8 (0.824–1.627)</w:t>
                  </w:r>
                </w:p>
              </w:tc>
              <w:tc>
                <w:tcPr/>
                <w:p>
                  <w:pPr>
                    <w:pStyle w:val="Compact"/>
                    <w:jc w:val="center"/>
                    <w:jc w:val="center"/>
                  </w:pPr>
                  <m:oMath>
                    <m:r>
                      <m:t>0.40</m:t>
                    </m:r>
                  </m:oMath>
                </w:p>
              </w:tc>
              <w:tc>
                <w:tcPr/>
                <w:p>
                  <w:pPr>
                    <w:pStyle w:val="Compact"/>
                  </w:pPr>
                </w:p>
              </w:tc>
            </w:tr>
            <w:tr>
              <w:tc>
                <w:tcPr/>
                <w:p>
                  <w:pPr>
                    <w:pStyle w:val="Compact"/>
                    <w:jc w:val="left"/>
                    <w:jc w:val="center"/>
                  </w:pPr>
                  <w:r>
                    <w:t xml:space="preserve">    TIR-without LEAD (1)</w:t>
                  </w:r>
                </w:p>
              </w:tc>
              <w:tc>
                <w:tcPr/>
                <w:p>
                  <w:pPr>
                    <w:pStyle w:val="Compact"/>
                    <w:jc w:val="left"/>
                    <w:jc w:val="center"/>
                  </w:pPr>
                  <w:r>
                    <w:t xml:space="preserve">OR: 1.00</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TIR-mild LEAD (1)</w:t>
                  </w:r>
                </w:p>
              </w:tc>
              <w:tc>
                <w:tcPr/>
                <w:p>
                  <w:pPr>
                    <w:pStyle w:val="Compact"/>
                    <w:jc w:val="left"/>
                    <w:jc w:val="center"/>
                  </w:pPr>
                  <w:r>
                    <w:t xml:space="preserve">OR: 0.98</w:t>
                  </w:r>
                  <w:r>
                    <w:t xml:space="preserve"> </w:t>
                  </w:r>
                  <w:r>
                    <w:t xml:space="preserve">(0.97–1.00)</w:t>
                  </w:r>
                </w:p>
              </w:tc>
              <w:tc>
                <w:tcPr/>
                <w:p>
                  <w:pPr>
                    <w:pStyle w:val="Compact"/>
                    <w:jc w:val="center"/>
                    <w:jc w:val="center"/>
                  </w:pPr>
                  <m:oMath>
                    <m:r>
                      <m:t>0.14</m:t>
                    </m:r>
                  </m:oMath>
                </w:p>
              </w:tc>
              <w:tc>
                <w:tcPr/>
                <w:p>
                  <w:pPr>
                    <w:pStyle w:val="Compact"/>
                    <w:jc w:val="left"/>
                    <w:jc w:val="center"/>
                  </w:pPr>
                  <w:r>
                    <w:t xml:space="preserve">OR: 0.99</w:t>
                  </w:r>
                  <w:r>
                    <w:t xml:space="preserve"> </w:t>
                  </w:r>
                  <w:r>
                    <w:t xml:space="preserve">(0.97–1.01)</w:t>
                  </w:r>
                </w:p>
              </w:tc>
              <w:tc>
                <w:tcPr/>
                <w:p>
                  <w:pPr>
                    <w:pStyle w:val="Compact"/>
                    <w:jc w:val="center"/>
                    <w:jc w:val="center"/>
                  </w:pPr>
                  <m:oMath>
                    <m:r>
                      <m:t>0.25</m:t>
                    </m:r>
                  </m:oMath>
                </w:p>
              </w:tc>
              <w:tc>
                <w:tcPr/>
                <w:p>
                  <w:pPr>
                    <w:pStyle w:val="Compact"/>
                  </w:pPr>
                </w:p>
              </w:tc>
            </w:tr>
            <w:tr>
              <w:tc>
                <w:tcPr/>
                <w:p>
                  <w:pPr>
                    <w:pStyle w:val="Compact"/>
                    <w:jc w:val="left"/>
                    <w:jc w:val="center"/>
                  </w:pPr>
                  <w:r>
                    <w:t xml:space="preserve">    TIR-moderate LEAD (1)</w:t>
                  </w:r>
                </w:p>
              </w:tc>
              <w:tc>
                <w:tcPr/>
                <w:p>
                  <w:pPr>
                    <w:pStyle w:val="Compact"/>
                    <w:jc w:val="left"/>
                    <w:jc w:val="center"/>
                  </w:pPr>
                  <w:r>
                    <w:t xml:space="preserve">OR: 0.97</w:t>
                  </w:r>
                  <w:r>
                    <w:t xml:space="preserve"> </w:t>
                  </w:r>
                  <w:r>
                    <w:t xml:space="preserve">(0.95–0.99)</w:t>
                  </w:r>
                </w:p>
              </w:tc>
              <w:tc>
                <w:tcPr/>
                <w:p>
                  <w:pPr>
                    <w:pStyle w:val="Compact"/>
                    <w:jc w:val="center"/>
                    <w:jc w:val="center"/>
                  </w:pPr>
                  <m:oMath>
                    <m:r>
                      <m:t>0.007</m:t>
                    </m:r>
                  </m:oMath>
                </w:p>
              </w:tc>
              <w:tc>
                <w:tcPr/>
                <w:p>
                  <w:pPr>
                    <w:pStyle w:val="Compact"/>
                    <w:jc w:val="left"/>
                    <w:jc w:val="center"/>
                  </w:pPr>
                  <w:r>
                    <w:t xml:space="preserve">OR: 0.97</w:t>
                  </w:r>
                  <w:r>
                    <w:t xml:space="preserve"> </w:t>
                  </w:r>
                  <w:r>
                    <w:t xml:space="preserve">(0.95–0.99)</w:t>
                  </w:r>
                </w:p>
              </w:tc>
              <w:tc>
                <w:tcPr/>
                <w:p>
                  <w:pPr>
                    <w:pStyle w:val="Compact"/>
                    <w:jc w:val="center"/>
                    <w:jc w:val="center"/>
                  </w:pPr>
                  <m:oMath>
                    <m:r>
                      <m:t>0.01</m:t>
                    </m:r>
                  </m:oMath>
                </w:p>
              </w:tc>
              <w:tc>
                <w:tcPr/>
                <w:p>
                  <w:pPr>
                    <w:pStyle w:val="Compact"/>
                  </w:pPr>
                </w:p>
              </w:tc>
            </w:tr>
            <w:tr>
              <w:tc>
                <w:tcPr/>
                <w:p>
                  <w:pPr>
                    <w:pStyle w:val="Compact"/>
                    <w:jc w:val="left"/>
                    <w:jc w:val="center"/>
                  </w:pPr>
                  <w:r>
                    <w:t xml:space="preserve">    TIR-without severe LEAD (1)</w:t>
                  </w:r>
                </w:p>
              </w:tc>
              <w:tc>
                <w:tcPr/>
                <w:p>
                  <w:pPr>
                    <w:pStyle w:val="Compact"/>
                    <w:jc w:val="left"/>
                    <w:jc w:val="center"/>
                  </w:pPr>
                  <w:r>
                    <w:t xml:space="preserve">OR: 0.96</w:t>
                  </w:r>
                  <w:r>
                    <w:t xml:space="preserve"> </w:t>
                  </w:r>
                  <w:r>
                    <w:t xml:space="preserve">(0.94–0.98)</w:t>
                  </w:r>
                </w:p>
              </w:tc>
              <w:tc>
                <w:tcPr/>
                <w:p>
                  <w:pPr>
                    <w:pStyle w:val="Compact"/>
                    <w:jc w:val="center"/>
                    <w:jc w:val="center"/>
                  </w:pPr>
                  <m:oMath>
                    <m:r>
                      <m:t>0.002</m:t>
                    </m:r>
                  </m:oMath>
                </w:p>
              </w:tc>
              <w:tc>
                <w:tcPr/>
                <w:p>
                  <w:pPr>
                    <w:pStyle w:val="Compact"/>
                    <w:jc w:val="left"/>
                    <w:jc w:val="center"/>
                  </w:pPr>
                  <w:r>
                    <w:t xml:space="preserve">OR: 0.96</w:t>
                  </w:r>
                  <w:r>
                    <w:t xml:space="preserve"> </w:t>
                  </w:r>
                  <w:r>
                    <w:t xml:space="preserve">(0.94–0.98)</w:t>
                  </w:r>
                </w:p>
              </w:tc>
              <w:tc>
                <w:tcPr/>
                <w:p>
                  <w:pPr>
                    <w:pStyle w:val="Compact"/>
                    <w:jc w:val="center"/>
                    <w:jc w:val="center"/>
                  </w:pPr>
                  <m:oMath>
                    <m:r>
                      <m:t>0.003</m:t>
                    </m:r>
                  </m:oMath>
                </w:p>
              </w:tc>
              <w:tc>
                <w:tcPr/>
                <w:p>
                  <w:pPr>
                    <w:pStyle w:val="Compact"/>
                  </w:pPr>
                </w:p>
              </w:tc>
            </w:tr>
            <w:tr>
              <w:tc>
                <w:tcPr/>
                <w:p>
                  <w:pPr>
                    <w:pStyle w:val="Compact"/>
                    <w:jc w:val="left"/>
                    <w:jc w:val="center"/>
                  </w:pPr>
                  <w:r>
                    <w:t xml:space="preserve">    CV-without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CV-mild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1.03</w:t>
                  </w:r>
                  <w:r>
                    <w:t xml:space="preserve"> </w:t>
                  </w:r>
                  <w:r>
                    <w:t xml:space="preserve">(0.98–1.07)</w:t>
                  </w:r>
                </w:p>
              </w:tc>
              <w:tc>
                <w:tcPr/>
                <w:p>
                  <w:pPr>
                    <w:pStyle w:val="Compact"/>
                    <w:jc w:val="center"/>
                    <w:jc w:val="center"/>
                  </w:pPr>
                  <m:oMath>
                    <m:r>
                      <m:t>0.28</m:t>
                    </m:r>
                  </m:oMath>
                </w:p>
              </w:tc>
              <w:tc>
                <w:tcPr/>
                <w:p>
                  <w:pPr>
                    <w:pStyle w:val="Compact"/>
                  </w:pPr>
                </w:p>
              </w:tc>
            </w:tr>
            <w:tr>
              <w:tc>
                <w:tcPr/>
                <w:p>
                  <w:pPr>
                    <w:pStyle w:val="Compact"/>
                    <w:jc w:val="left"/>
                    <w:jc w:val="center"/>
                  </w:pPr>
                  <w:r>
                    <w:t xml:space="preserve">    CV-moderate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1.02</w:t>
                  </w:r>
                  <w:r>
                    <w:t xml:space="preserve"> </w:t>
                  </w:r>
                  <w:r>
                    <w:t xml:space="preserve">(0.96–1.09)</w:t>
                  </w:r>
                </w:p>
              </w:tc>
              <w:tc>
                <w:tcPr/>
                <w:p>
                  <w:pPr>
                    <w:pStyle w:val="Compact"/>
                    <w:jc w:val="center"/>
                    <w:jc w:val="center"/>
                  </w:pPr>
                  <m:oMath>
                    <m:r>
                      <m:t>0.48</m:t>
                    </m:r>
                  </m:oMath>
                </w:p>
              </w:tc>
              <w:tc>
                <w:tcPr/>
                <w:p>
                  <w:pPr>
                    <w:pStyle w:val="Compact"/>
                  </w:pPr>
                </w:p>
              </w:tc>
            </w:tr>
            <w:tr>
              <w:tc>
                <w:tcPr/>
                <w:p>
                  <w:pPr>
                    <w:pStyle w:val="Compact"/>
                    <w:jc w:val="left"/>
                    <w:jc w:val="center"/>
                  </w:pPr>
                  <w:r>
                    <w:t xml:space="preserve">    CV-without severe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1.02</w:t>
                  </w:r>
                  <w:r>
                    <w:t xml:space="preserve"> </w:t>
                  </w:r>
                  <w:r>
                    <w:t xml:space="preserve">(0.95–1.09)</w:t>
                  </w:r>
                </w:p>
              </w:tc>
              <w:tc>
                <w:tcPr/>
                <w:p>
                  <w:pPr>
                    <w:pStyle w:val="Compact"/>
                    <w:jc w:val="center"/>
                    <w:jc w:val="center"/>
                  </w:pPr>
                  <m:oMath>
                    <m:r>
                      <m:t>0.60</m:t>
                    </m:r>
                  </m:oMath>
                </w:p>
              </w:tc>
              <w:tc>
                <w:tcPr/>
                <w:p>
                  <w:pPr>
                    <w:pStyle w:val="Compact"/>
                  </w:pPr>
                </w:p>
              </w:tc>
            </w:tr>
            <w:tr>
              <w:tc>
                <w:tcPr/>
                <w:p>
                  <w:pPr>
                    <w:pStyle w:val="Compact"/>
                    <w:jc w:val="left"/>
                    <w:jc w:val="center"/>
                  </w:pPr>
                  <w:r>
                    <w:t xml:space="preserve">    TIR-without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TIR-mild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0.97</w:t>
                  </w:r>
                  <w:r>
                    <w:t xml:space="preserve"> </w:t>
                  </w:r>
                  <w:r>
                    <w:t xml:space="preserve">(0.96–1.08)</w:t>
                  </w:r>
                </w:p>
              </w:tc>
              <w:tc>
                <w:tcPr/>
                <w:p>
                  <w:pPr>
                    <w:pStyle w:val="Compact"/>
                    <w:jc w:val="center"/>
                    <w:jc w:val="center"/>
                  </w:pPr>
                  <m:oMath>
                    <m:r>
                      <m:t>0.06</m:t>
                    </m:r>
                  </m:oMath>
                </w:p>
              </w:tc>
              <w:tc>
                <w:tcPr/>
                <w:p>
                  <w:pPr>
                    <w:pStyle w:val="Compact"/>
                  </w:pPr>
                </w:p>
              </w:tc>
            </w:tr>
            <w:tr>
              <w:tc>
                <w:tcPr/>
                <w:p>
                  <w:pPr>
                    <w:pStyle w:val="Compact"/>
                    <w:jc w:val="left"/>
                    <w:jc w:val="center"/>
                  </w:pPr>
                  <w:r>
                    <w:t xml:space="preserve">    TIR-moderate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0.98</w:t>
                  </w:r>
                  <w:r>
                    <w:t xml:space="preserve"> </w:t>
                  </w:r>
                  <w:r>
                    <w:t xml:space="preserve">(0.95–0.99)</w:t>
                  </w:r>
                </w:p>
              </w:tc>
              <w:tc>
                <w:tcPr/>
                <w:p>
                  <w:pPr>
                    <w:pStyle w:val="Compact"/>
                    <w:jc w:val="center"/>
                    <w:jc w:val="center"/>
                  </w:pPr>
                  <m:oMath>
                    <m:r>
                      <m:t>0.01</m:t>
                    </m:r>
                  </m:oMath>
                </w:p>
              </w:tc>
              <w:tc>
                <w:tcPr/>
                <w:p>
                  <w:pPr>
                    <w:pStyle w:val="Compact"/>
                  </w:pPr>
                </w:p>
              </w:tc>
            </w:tr>
            <w:tr>
              <w:tc>
                <w:tcPr/>
                <w:p>
                  <w:pPr>
                    <w:pStyle w:val="Compact"/>
                    <w:jc w:val="left"/>
                    <w:jc w:val="center"/>
                  </w:pPr>
                  <w:r>
                    <w:t xml:space="preserve">    TIR-without severe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0.97</w:t>
                  </w:r>
                  <w:r>
                    <w:t xml:space="preserve"> </w:t>
                  </w:r>
                  <w:r>
                    <w:t xml:space="preserve">(0.95–0.99)</w:t>
                  </w:r>
                </w:p>
              </w:tc>
              <w:tc>
                <w:tcPr/>
                <w:p>
                  <w:pPr>
                    <w:pStyle w:val="Compact"/>
                    <w:jc w:val="center"/>
                    <w:jc w:val="center"/>
                  </w:pPr>
                  <m:oMath>
                    <m:r>
                      <m:t>0.02</m:t>
                    </m:r>
                  </m:oMath>
                </w:p>
              </w:tc>
              <w:tc>
                <w:tcPr/>
                <w:p>
                  <w:pPr>
                    <w:pStyle w:val="Compact"/>
                  </w:pPr>
                </w:p>
              </w:tc>
            </w:tr>
            <w:tr>
              <w:tc>
                <w:tcPr/>
                <w:p>
                  <w:pPr>
                    <w:pStyle w:val="Compact"/>
                    <w:jc w:val="left"/>
                    <w:jc w:val="center"/>
                  </w:pPr>
                  <w:r>
                    <w:t xml:space="preserve">    SD-without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SD-mild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0.88</w:t>
                  </w:r>
                  <w:r>
                    <w:t xml:space="preserve"> </w:t>
                  </w:r>
                  <w:r>
                    <w:t xml:space="preserve">(0.47–1.64)</w:t>
                  </w:r>
                </w:p>
              </w:tc>
              <w:tc>
                <w:tcPr/>
                <w:p>
                  <w:pPr>
                    <w:pStyle w:val="Compact"/>
                    <w:jc w:val="center"/>
                    <w:jc w:val="center"/>
                  </w:pPr>
                  <m:oMath>
                    <m:r>
                      <m:t>0.69</m:t>
                    </m:r>
                  </m:oMath>
                </w:p>
              </w:tc>
              <w:tc>
                <w:tcPr/>
                <w:p>
                  <w:pPr>
                    <w:pStyle w:val="Compact"/>
                  </w:pPr>
                </w:p>
              </w:tc>
            </w:tr>
            <w:tr>
              <w:tc>
                <w:tcPr/>
                <w:p>
                  <w:pPr>
                    <w:pStyle w:val="Compact"/>
                    <w:jc w:val="left"/>
                    <w:jc w:val="center"/>
                  </w:pPr>
                  <w:r>
                    <w:t xml:space="preserve">    SD-moderate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1.28</w:t>
                  </w:r>
                  <w:r>
                    <w:t xml:space="preserve"> </w:t>
                  </w:r>
                  <w:r>
                    <w:t xml:space="preserve">(0.58–3.07)</w:t>
                  </w:r>
                </w:p>
              </w:tc>
              <w:tc>
                <w:tcPr/>
                <w:p>
                  <w:pPr>
                    <w:pStyle w:val="Compact"/>
                    <w:jc w:val="center"/>
                    <w:jc w:val="center"/>
                  </w:pPr>
                  <m:oMath>
                    <m:r>
                      <m:t>0.58</m:t>
                    </m:r>
                  </m:oMath>
                </w:p>
              </w:tc>
              <w:tc>
                <w:tcPr/>
                <w:p>
                  <w:pPr>
                    <w:pStyle w:val="Compact"/>
                  </w:pPr>
                </w:p>
              </w:tc>
            </w:tr>
            <w:tr>
              <w:tc>
                <w:tcPr/>
                <w:p>
                  <w:pPr>
                    <w:pStyle w:val="Compact"/>
                    <w:jc w:val="left"/>
                    <w:jc w:val="center"/>
                  </w:pPr>
                  <w:r>
                    <w:t xml:space="preserve">    SD-without severe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1.52</w:t>
                  </w:r>
                  <w:r>
                    <w:t xml:space="preserve"> </w:t>
                  </w:r>
                  <w:r>
                    <w:t xml:space="preserve">(0.92–2.41)</w:t>
                  </w:r>
                </w:p>
              </w:tc>
              <w:tc>
                <w:tcPr/>
                <w:p>
                  <w:pPr>
                    <w:pStyle w:val="Compact"/>
                    <w:jc w:val="center"/>
                    <w:jc w:val="center"/>
                  </w:pPr>
                  <m:oMath>
                    <m:r>
                      <m:t>0.10</m:t>
                    </m:r>
                  </m:oMath>
                </w:p>
              </w:tc>
              <w:tc>
                <w:tcPr/>
                <w:p>
                  <w:pPr>
                    <w:pStyle w:val="Compact"/>
                  </w:pPr>
                </w:p>
              </w:tc>
            </w:tr>
          </w:tbl>
          <w:bookmarkEnd w:id="42"/>
          <w:p/>
        </w:tc>
      </w:tr>
    </w:tbl>
    <w:p>
      <w:pPr>
        <w:sectPr>
          <w:pgSz w:h="11906" w:w="16838" w:orient="landscape"/>
        </w:sectPr>
      </w:pPr>
    </w:p>
    <w:bookmarkEnd w:id="43"/>
    <w:bookmarkEnd w:id="44"/>
    <w:bookmarkEnd w:id="45"/>
    <w:bookmarkStart w:id="52" w:name="sec-refs"/>
    <w:p>
      <w:pPr>
        <w:pStyle w:val="Heading1"/>
      </w:pPr>
      <w:r>
        <w:t xml:space="preserve">References</w:t>
      </w:r>
    </w:p>
    <w:bookmarkStart w:id="51" w:name="refs"/>
    <w:bookmarkStart w:id="46" w:name="ref-Su2011"/>
    <w:p>
      <w:pPr>
        <w:pStyle w:val="Bibliography"/>
      </w:pPr>
      <w:r>
        <w:t xml:space="preserve">1.</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46"/>
    <w:bookmarkStart w:id="47" w:name="ref-Lu2021"/>
    <w:p>
      <w:pPr>
        <w:pStyle w:val="Bibliography"/>
      </w:pPr>
      <w:r>
        <w:t xml:space="preserve">2.</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47"/>
    <w:bookmarkStart w:id="49" w:name="ref-Magri2018"/>
    <w:p>
      <w:pPr>
        <w:pStyle w:val="Bibliography"/>
      </w:pPr>
      <w:r>
        <w:t xml:space="preserve">3.</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48">
        <w:r>
          <w:rPr>
            <w:rStyle w:val="Hyperlink"/>
          </w:rPr>
          <w:t xml:space="preserve">https://onlinelibrary.wiley.com/doi/abs/10.1155/2018/7464320</w:t>
        </w:r>
      </w:hyperlink>
    </w:p>
    <w:bookmarkEnd w:id="49"/>
    <w:bookmarkStart w:id="50" w:name="ref-Zhang2013"/>
    <w:p>
      <w:pPr>
        <w:pStyle w:val="Bibliography"/>
      </w:pPr>
      <w:r>
        <w:t xml:space="preserve">4.</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50"/>
    <w:bookmarkEnd w:id="51"/>
    <w:bookmarkEnd w:id="52"/>
    <w:bookmarkStart w:id="55" w:name="sec-suppl-search-strings"/>
    <w:p>
      <w:pPr>
        <w:pStyle w:val="Heading1"/>
      </w:pPr>
      <w:r>
        <w:t xml:space="preserve">Appendix A — Study I: Search strings</w:t>
      </w:r>
    </w:p>
    <w:tbl>
      <w:tblPr>
        <w:tblStyle w:val="Table"/>
        <w:tblW w:type="pct" w:w="5000"/>
        <w:tblLayout w:type="fixed"/>
        <w:tblLook w:firstRow="0" w:lastRow="0" w:firstColumn="0" w:lastColumn="0" w:noHBand="0" w:noVBand="0" w:val="0000"/>
      </w:tblPr>
      <w:tblGrid>
        <w:gridCol w:w="7920"/>
      </w:tblGrid>
      <w:tr>
        <w:tc>
          <w:tcPr/>
          <w:bookmarkStart w:id="53" w:name="tbl-suppl-search-strings-medline"/>
          <w:p>
            <w:pPr>
              <w:jc w:val="center"/>
            </w:pPr>
            <w:pPr>
              <w:jc w:val="left"/>
              <w:spacing w:before="200"/>
              <w:pStyle w:val="ImageCaption"/>
            </w:pPr>
            <w:r>
              <w:t xml:space="preserve">Table A.1: Search in Ovid MEDLINE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bookmarkEnd w:id="53"/>
          <w:p/>
        </w:tc>
      </w:tr>
    </w:tbl>
    <w:p/>
    <w:tbl>
      <w:tblPr>
        <w:tblStyle w:val="Table"/>
        <w:tblW w:type="pct" w:w="5000"/>
        <w:tblLayout w:type="fixed"/>
        <w:tblLook w:firstRow="0" w:lastRow="0" w:firstColumn="0" w:lastColumn="0" w:noHBand="0" w:noVBand="0" w:val="0000"/>
      </w:tblPr>
      <w:tblGrid>
        <w:gridCol w:w="7920"/>
      </w:tblGrid>
      <w:tr>
        <w:tc>
          <w:tcPr/>
          <w:bookmarkStart w:id="54" w:name="tbl-suppl-search-strings-embase"/>
          <w:p>
            <w:pPr>
              <w:jc w:val="center"/>
            </w:pPr>
            <w:pPr>
              <w:jc w:val="left"/>
              <w:spacing w:before="200"/>
              <w:pStyle w:val="ImageCaption"/>
            </w:pPr>
            <w:r>
              <w:t xml:space="preserve">Table A.2: Search in Embase (Ovid)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bookmarkEnd w:id="54"/>
          <w:p/>
        </w:tc>
      </w:tr>
    </w:tbl>
    <w:bookmarkEnd w:id="55"/>
    <w:bookmarkStart w:id="56" w:name="sec-suppl-study1-reports"/>
    <w:p>
      <w:pPr>
        <w:pStyle w:val="Heading1"/>
      </w:pPr>
      <w:r>
        <w:t xml:space="preserve">Appendix A — Study I: Included and excluded reports</w:t>
      </w:r>
    </w:p>
    <w:bookmarkEnd w:id="56"/>
    <w:bookmarkStart w:id="57" w:name="sec-suppl-geo-map"/>
    <w:p>
      <w:pPr>
        <w:pStyle w:val="Heading1"/>
      </w:pPr>
      <w:r>
        <w:t xml:space="preserve">Appendix A — Study I: Geographical location</w:t>
      </w:r>
    </w:p>
    <w:p>
      <w:pPr>
        <w:pStyle w:val="FirstParagraph"/>
      </w:pPr>
      <w:r>
        <w:t xml:space="preserve">Asia (n=27)</w:t>
      </w:r>
      <w:r>
        <w:t xml:space="preserve"> </w:t>
      </w:r>
      <w:r>
        <w:t xml:space="preserve">• China (n=19)</w:t>
      </w:r>
      <w:r>
        <w:t xml:space="preserve"> </w:t>
      </w:r>
      <w:r>
        <w:t xml:space="preserve">• Japan (n=8)</w:t>
      </w:r>
      <w:r>
        <w:t xml:space="preserve"> </w:t>
      </w:r>
      <w:r>
        <w:t xml:space="preserve">Europe (n=22)</w:t>
      </w:r>
      <w:r>
        <w:t xml:space="preserve"> </w:t>
      </w:r>
      <w:r>
        <w:t xml:space="preserve">• Italy (n=7)</w:t>
      </w:r>
      <w:r>
        <w:t xml:space="preserve"> </w:t>
      </w:r>
      <w:r>
        <w:t xml:space="preserve">• 3 Belgium (n=3)</w:t>
      </w:r>
      <w:r>
        <w:t xml:space="preserve"> </w:t>
      </w:r>
      <w:r>
        <w:t xml:space="preserve">• 2 Ukraine (n=2)</w:t>
      </w:r>
      <w:r>
        <w:t xml:space="preserve"> </w:t>
      </w:r>
      <w:r>
        <w:t xml:space="preserve">• 2 Finland (n=2)</w:t>
      </w:r>
      <w:r>
        <w:t xml:space="preserve"> </w:t>
      </w:r>
      <w:r>
        <w:t xml:space="preserve">• 2 Spain (n=2)</w:t>
      </w:r>
      <w:r>
        <w:t xml:space="preserve"> </w:t>
      </w:r>
      <w:r>
        <w:t xml:space="preserve">• 1 Greece (n=1)</w:t>
      </w:r>
      <w:r>
        <w:t xml:space="preserve"> </w:t>
      </w:r>
      <w:r>
        <w:t xml:space="preserve">• 1 Malta (n=1)</w:t>
      </w:r>
      <w:r>
        <w:t xml:space="preserve"> </w:t>
      </w:r>
      <w:r>
        <w:t xml:space="preserve">• 1 Sweden (n=1)</w:t>
      </w:r>
      <w:r>
        <w:t xml:space="preserve"> </w:t>
      </w:r>
      <w:r>
        <w:t xml:space="preserve">• 1 The Netherlands (n=1)</w:t>
      </w:r>
      <w:r>
        <w:t xml:space="preserve"> </w:t>
      </w:r>
      <w:r>
        <w:t xml:space="preserve">• 1 Portugal (n=1)</w:t>
      </w:r>
      <w:r>
        <w:t xml:space="preserve"> </w:t>
      </w:r>
      <w:r>
        <w:t xml:space="preserve">• 1 Russia (n=1)</w:t>
      </w:r>
      <w:r>
        <w:t xml:space="preserve"> </w:t>
      </w:r>
      <w:r>
        <w:t xml:space="preserve">North America (n=2)</w:t>
      </w:r>
      <w:r>
        <w:t xml:space="preserve"> </w:t>
      </w:r>
      <w:r>
        <w:t xml:space="preserve">• 2 USA (n=2)</w:t>
      </w:r>
      <w:r>
        <w:t xml:space="preserve"> </w:t>
      </w:r>
      <w:r>
        <w:t xml:space="preserve">Australia / Oceania (n=1)</w:t>
      </w:r>
      <w:r>
        <w:t xml:space="preserve"> </w:t>
      </w:r>
      <w:r>
        <w:t xml:space="preserve">• 1 Australia (n=1)</w:t>
      </w:r>
    </w:p>
    <w:p>
      <w:pPr>
        <w:pStyle w:val="BodyText"/>
      </w:pPr>
      <w:r>
        <w:t xml:space="preserve">Borg 2011(ADAG study) had study centers in:</w:t>
      </w:r>
      <w:r>
        <w:t xml:space="preserve"> </w:t>
      </w:r>
      <w:r>
        <w:t xml:space="preserve">• Europe: Netherlands, Denmark, Italy</w:t>
      </w:r>
      <w:r>
        <w:t xml:space="preserve"> </w:t>
      </w:r>
      <w:r>
        <w:t xml:space="preserve">• Africa: 2011</w:t>
      </w:r>
      <w:r>
        <w:t xml:space="preserve"> </w:t>
      </w:r>
      <w:r>
        <w:t xml:space="preserve">• North America: USA</w:t>
      </w:r>
    </w:p>
    <w:p>
      <w:pPr>
        <w:pStyle w:val="BodyText"/>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bookmarkEnd w:id="57"/>
    <w:bookmarkStart w:id="58" w:name="sec-suppl-subclin-results"/>
    <w:p>
      <w:pPr>
        <w:pStyle w:val="Heading1"/>
      </w:pPr>
      <w:r>
        <w:t xml:space="preserve">Appendix A — Study I: Subclinical results</w:t>
      </w:r>
    </w:p>
    <w:p>
      <w:pPr>
        <w:pStyle w:val="Compact"/>
        <w:numPr>
          <w:ilvl w:val="0"/>
          <w:numId w:val="1030"/>
        </w:numPr>
      </w:pPr>
      <w:r>
        <w:t xml:space="preserve">Add table with subclinical study design overviews</w:t>
      </w:r>
    </w:p>
    <w:p>
      <w:pPr>
        <w:pStyle w:val="Compact"/>
        <w:numPr>
          <w:ilvl w:val="0"/>
          <w:numId w:val="1031"/>
        </w:numPr>
      </w:pPr>
      <w:r>
        <w:t xml:space="preserve">Add table overview of subclinical results</w:t>
      </w:r>
    </w:p>
    <w:bookmarkEnd w:id="58"/>
    <w:bookmarkStart w:id="64" w:name="sec-suppl-pred-stability"/>
    <w:p>
      <w:pPr>
        <w:pStyle w:val="Heading1"/>
      </w:pPr>
      <w:r>
        <w:t xml:space="preserve">Appendix A — Study II: Prediction stability</w:t>
      </w:r>
    </w:p>
    <w:p>
      <w:pPr>
        <w:pStyle w:val="FirstParagraph"/>
      </w:pPr>
      <w:r>
        <w:t xml:space="preserve">Prediction stability plots (</w:t>
      </w:r>
      <w:r>
        <w:rPr>
          <w:b/>
          <w:bCs/>
        </w:rPr>
        <w:t xml:space="preserve">?@fig-pred_stability</w:t>
      </w:r>
      <w:r>
        <w:t xml:space="preserve">)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63" w:name="fig-pred-stability"/>
          <w:p>
            <w:pPr>
              <w:pStyle w:val="Compact"/>
              <w:jc w:val="center"/>
            </w:pPr>
            <w:hyperlink r:id="rId62">
              <w:r>
                <w:drawing>
                  <wp:inline>
                    <wp:extent cx="5334000" cy="7638288"/>
                    <wp:effectExtent b="0" l="0" r="0" t="0"/>
                    <wp:docPr descr="" title="" id="60" name="Picture"/>
                    <a:graphic>
                      <a:graphicData uri="http://schemas.openxmlformats.org/drawingml/2006/picture">
                        <pic:pic>
                          <pic:nvPicPr>
                            <pic:cNvPr descr="figures/4_results_fig/study_2_prediction_stability.png" id="61" name="Picture"/>
                            <pic:cNvPicPr>
                              <a:picLocks noChangeArrowheads="1" noChangeAspect="1"/>
                            </pic:cNvPicPr>
                          </pic:nvPicPr>
                          <pic:blipFill>
                            <a:blip r:embed="rId59"/>
                            <a:stretch>
                              <a:fillRect/>
                            </a:stretch>
                          </pic:blipFill>
                          <pic:spPr bwMode="auto">
                            <a:xfrm>
                              <a:off x="0" y="0"/>
                              <a:ext cx="5334000" cy="76382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E.1: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63"/>
        </w:tc>
      </w:tr>
    </w:tbl>
    <w:bookmarkEnd w:id="64"/>
    <w:bookmarkStart w:id="67" w:name="sec-suppl-seg-results"/>
    <w:p>
      <w:pPr>
        <w:pStyle w:val="Heading1"/>
      </w:pPr>
      <w:r>
        <w:t xml:space="preserve">Appendix A — Study III: Surveillance Error Grid Results</w:t>
      </w:r>
    </w:p>
    <w:tbl>
      <w:tblPr>
        <w:tblStyle w:val="Table"/>
        <w:tblW w:type="pct" w:w="5000"/>
        <w:tblLayout w:type="fixed"/>
        <w:tblLook w:firstRow="0" w:lastRow="0" w:firstColumn="0" w:lastColumn="0" w:noHBand="0" w:noVBand="0" w:val="0000"/>
      </w:tblPr>
      <w:tblGrid>
        <w:gridCol w:w="7920"/>
      </w:tblGrid>
      <w:tr>
        <w:tc>
          <w:tcPr/>
          <w:bookmarkStart w:id="65" w:name="tbl-seg-white"/>
          <w:p>
            <w:pPr>
              <w:jc w:val="center"/>
            </w:pPr>
            <w:pPr>
              <w:jc w:val="left"/>
              <w:spacing w:before="200"/>
              <w:pStyle w:val="ImageCaption"/>
            </w:pPr>
            <w:r>
              <w:t xml:space="preserve">Table F.1: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White</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65"/>
          <w:p/>
        </w:tc>
      </w:tr>
    </w:tbl>
    <w:p>
      <w:pPr>
        <w:pStyle w:val="Compact"/>
        <w:numPr>
          <w:ilvl w:val="0"/>
          <w:numId w:val="1032"/>
        </w:numPr>
      </w:pPr>
      <w:r>
        <w:t xml:space="preserve">maybe add this one to appendix, since I think they show the same things</w:t>
      </w:r>
    </w:p>
    <w:tbl>
      <w:tblPr>
        <w:tblStyle w:val="Table"/>
        <w:tblW w:type="pct" w:w="5000"/>
        <w:tblLayout w:type="fixed"/>
        <w:tblLook w:firstRow="0" w:lastRow="0" w:firstColumn="0" w:lastColumn="0" w:noHBand="0" w:noVBand="0" w:val="0000"/>
      </w:tblPr>
      <w:tblGrid>
        <w:gridCol w:w="7920"/>
      </w:tblGrid>
      <w:tr>
        <w:tc>
          <w:tcPr/>
          <w:bookmarkStart w:id="66" w:name="tbl-seg-black"/>
          <w:p>
            <w:pPr>
              <w:jc w:val="center"/>
            </w:pPr>
            <w:pPr>
              <w:jc w:val="left"/>
              <w:spacing w:before="200"/>
              <w:pStyle w:val="ImageCaption"/>
            </w:pPr>
            <w:r>
              <w:t xml:space="preserve">Table F.2: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Black</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22%</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66"/>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hyperlink" Id="rId48" Target="https://onlinelibrary.wiley.com/doi/abs/10.1155/2018/7464320" TargetMode="External" /><Relationship Type="http://schemas.openxmlformats.org/officeDocument/2006/relationships/hyperlink" Id="rId25" Target="https://raw.githubusercontent.com/HeleneThomsen/dissertation/main/figures/4_results_fig/study_1_prisma.svg" TargetMode="External" /><Relationship Type="http://schemas.openxmlformats.org/officeDocument/2006/relationships/hyperlink" Id="rId31" Target="https://raw.githubusercontent.com/HeleneThomsen/dissertation/main/figures/4_results_fig/study_1_world_map.png" TargetMode="External" /><Relationship Type="http://schemas.openxmlformats.org/officeDocument/2006/relationships/hyperlink" Id="rId62" Target="https://raw.githubusercontent.com/HeleneThomsen/dissertation/main/figures/4_results_fig/study_2_prediction_stability.png" TargetMode="External" /><Relationship Type="http://schemas.openxmlformats.org/officeDocument/2006/relationships/hyperlink" Id="rId32" Target="https://www.mapchart.net" TargetMode="External" /></Relationships>
</file>

<file path=word/_rels/footnotes.xml.rels><?xml version="1.0" encoding="UTF-8"?><Relationships xmlns="http://schemas.openxmlformats.org/package/2006/relationships"><Relationship Type="http://schemas.openxmlformats.org/officeDocument/2006/relationships/hyperlink" Id="rId48" Target="https://onlinelibrary.wiley.com/doi/abs/10.1155/2018/7464320" TargetMode="External" /><Relationship Type="http://schemas.openxmlformats.org/officeDocument/2006/relationships/hyperlink" Id="rId25" Target="https://raw.githubusercontent.com/HeleneThomsen/dissertation/main/figures/4_results_fig/study_1_prisma.svg" TargetMode="External" /><Relationship Type="http://schemas.openxmlformats.org/officeDocument/2006/relationships/hyperlink" Id="rId31" Target="https://raw.githubusercontent.com/HeleneThomsen/dissertation/main/figures/4_results_fig/study_1_world_map.png" TargetMode="External" /><Relationship Type="http://schemas.openxmlformats.org/officeDocument/2006/relationships/hyperlink" Id="rId62" Target="https://raw.githubusercontent.com/HeleneThomsen/dissertation/main/figures/4_results_fig/study_2_prediction_stability.png" TargetMode="External" /><Relationship Type="http://schemas.openxmlformats.org/officeDocument/2006/relationships/hyperlink" Id="rId32" Target="https://www.mapchar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2026-07-07T23:11:29Z</dcterms:created>
  <dcterms:modified xsi:type="dcterms:W3CDTF">2026-07-07T23:11:29Z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citestyle.csl</vt:lpwstr>
  </property>
  <property fmtid="{D5CDD505-2E9C-101B-9397-08002B2CF9AE}" pid="9" name="date">
    <vt:lpwstr>2026</vt:lpwstr>
  </property>
  <property fmtid="{D5CDD505-2E9C-101B-9397-08002B2CF9AE}" pid="10" name="date-format">
    <vt:lpwstr>YYYY</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