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87A" w:rsidRPr="0009587A" w:rsidRDefault="0009587A">
      <w:pPr>
        <w:rPr>
          <w:b/>
          <w:u w:val="single"/>
        </w:rPr>
      </w:pPr>
      <w:r w:rsidRPr="0009587A">
        <w:rPr>
          <w:b/>
          <w:u w:val="single"/>
        </w:rPr>
        <w:t>Statistics Final Project</w:t>
      </w:r>
    </w:p>
    <w:p w:rsidR="0009587A" w:rsidRDefault="0009587A" w:rsidP="0009587A"/>
    <w:p w:rsidR="0009587A" w:rsidRDefault="0009587A" w:rsidP="0009587A">
      <w:pPr>
        <w:pStyle w:val="ListParagraph"/>
        <w:numPr>
          <w:ilvl w:val="0"/>
          <w:numId w:val="2"/>
        </w:numPr>
      </w:pPr>
      <w:r>
        <w:t xml:space="preserve">Data points chosen by uniformly sampling across the historical opening prices over the past 2 years. That is the probability of any data point chosen from the historical data </w:t>
      </w:r>
      <m:oMath>
        <m:r>
          <w:rPr>
            <w:rFonts w:ascii="Cambria Math" w:hAnsi="Cambria Math"/>
          </w:rPr>
          <m:t>n</m:t>
        </m:r>
      </m:oMath>
      <w:r>
        <w:t xml:space="preserve"> points defined as </w:t>
      </w:r>
      <m:oMath>
        <m:r>
          <w:rPr>
            <w:rFonts w:ascii="Cambria Math" w:hAnsi="Cambria Math"/>
          </w:rPr>
          <m:t>p</m:t>
        </m:r>
      </m:oMath>
      <w:r>
        <w:t>. Then we have:</w:t>
      </w:r>
    </w:p>
    <w:p w:rsidR="0009587A" w:rsidRDefault="0009587A" w:rsidP="0009587A">
      <w:pPr>
        <w:pStyle w:val="ListParagraph"/>
        <w:ind w:left="360"/>
      </w:pPr>
    </w:p>
    <w:p w:rsidR="0009587A" w:rsidRPr="0009587A" w:rsidRDefault="0009587A" w:rsidP="0009587A">
      <w:pPr>
        <w:pStyle w:val="ListParagraph"/>
        <w:ind w:left="360"/>
      </w:pPr>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n</m:t>
              </m:r>
            </m:den>
          </m:f>
        </m:oMath>
      </m:oMathPara>
    </w:p>
    <w:p w:rsidR="0009587A" w:rsidRDefault="0009587A" w:rsidP="0009587A">
      <w:pPr>
        <w:pStyle w:val="ListParagraph"/>
        <w:ind w:left="360"/>
      </w:pPr>
    </w:p>
    <w:p w:rsidR="0009587A" w:rsidRPr="0009587A" w:rsidRDefault="0009587A" w:rsidP="0009587A">
      <w:pPr>
        <w:pStyle w:val="ListParagraph"/>
        <w:ind w:left="360"/>
      </w:pPr>
      <w:r>
        <w:rPr>
          <w:noProof/>
        </w:rPr>
        <w:drawing>
          <wp:inline distT="0" distB="0" distL="0" distR="0">
            <wp:extent cx="4648439" cy="2533780"/>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2B44.tmp"/>
                    <pic:cNvPicPr/>
                  </pic:nvPicPr>
                  <pic:blipFill>
                    <a:blip r:embed="rId6">
                      <a:extLst>
                        <a:ext uri="{28A0092B-C50C-407E-A947-70E740481C1C}">
                          <a14:useLocalDpi xmlns:a14="http://schemas.microsoft.com/office/drawing/2010/main" val="0"/>
                        </a:ext>
                      </a:extLst>
                    </a:blip>
                    <a:stretch>
                      <a:fillRect/>
                    </a:stretch>
                  </pic:blipFill>
                  <pic:spPr>
                    <a:xfrm>
                      <a:off x="0" y="0"/>
                      <a:ext cx="4648439" cy="2533780"/>
                    </a:xfrm>
                    <a:prstGeom prst="rect">
                      <a:avLst/>
                    </a:prstGeom>
                  </pic:spPr>
                </pic:pic>
              </a:graphicData>
            </a:graphic>
          </wp:inline>
        </w:drawing>
      </w:r>
    </w:p>
    <w:p w:rsidR="0009587A" w:rsidRDefault="0009587A" w:rsidP="0009587A">
      <w:pPr>
        <w:pStyle w:val="ListParagraph"/>
        <w:ind w:left="360"/>
      </w:pPr>
    </w:p>
    <w:p w:rsidR="00381D90" w:rsidRDefault="008C6367" w:rsidP="0009587A">
      <w:pPr>
        <w:pStyle w:val="ListParagraph"/>
        <w:numPr>
          <w:ilvl w:val="0"/>
          <w:numId w:val="2"/>
        </w:numPr>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381D90">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381D90">
        <w:t xml:space="preserve"> be the mean of samples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81D90">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81D90">
        <w:t xml:space="preserve"> respectively.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81D90">
        <w:t xml:space="preserve"> is the daily percentage change in opening prices of stock </w:t>
      </w:r>
      <m:oMath>
        <m:r>
          <w:rPr>
            <w:rFonts w:ascii="Cambria Math" w:hAnsi="Cambria Math"/>
          </w:rPr>
          <m:t>i</m:t>
        </m:r>
      </m:oMath>
      <w:r w:rsidR="00381D90">
        <w:t xml:space="preserve"> </w:t>
      </w:r>
      <w:proofErr w:type="gramStart"/>
      <w:r w:rsidR="00381D90">
        <w:t>where:</w:t>
      </w:r>
      <w:proofErr w:type="gramEnd"/>
    </w:p>
    <w:p w:rsidR="00381D90" w:rsidRDefault="00381D90" w:rsidP="00381D90">
      <w:pPr>
        <w:pStyle w:val="ListParagraph"/>
        <w:ind w:left="360"/>
      </w:pPr>
    </w:p>
    <w:p w:rsidR="00381D90" w:rsidRPr="00381D90" w:rsidRDefault="00381D90" w:rsidP="00381D90">
      <w:pPr>
        <w:pStyle w:val="ListParagraph"/>
        <w:ind w:left="36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i,t</m:t>
                  </m:r>
                </m:sub>
              </m:sSub>
            </m:num>
            <m:den>
              <m:sSub>
                <m:sSubPr>
                  <m:ctrlPr>
                    <w:rPr>
                      <w:rFonts w:ascii="Cambria Math" w:hAnsi="Cambria Math"/>
                      <w:i/>
                    </w:rPr>
                  </m:ctrlPr>
                </m:sSubPr>
                <m:e>
                  <m:r>
                    <w:rPr>
                      <w:rFonts w:ascii="Cambria Math" w:hAnsi="Cambria Math"/>
                    </w:rPr>
                    <m:t>S</m:t>
                  </m:r>
                </m:e>
                <m:sub>
                  <m:r>
                    <w:rPr>
                      <w:rFonts w:ascii="Cambria Math" w:hAnsi="Cambria Math"/>
                    </w:rPr>
                    <m:t>i,t-1</m:t>
                  </m:r>
                </m:sub>
              </m:sSub>
            </m:den>
          </m:f>
          <m:r>
            <w:rPr>
              <w:rFonts w:ascii="Cambria Math" w:hAnsi="Cambria Math"/>
            </w:rPr>
            <m:t>-1</m:t>
          </m:r>
        </m:oMath>
      </m:oMathPara>
    </w:p>
    <w:p w:rsidR="00381D90" w:rsidRDefault="00381D90" w:rsidP="00381D90">
      <w:pPr>
        <w:pStyle w:val="ListParagraph"/>
        <w:ind w:left="360"/>
      </w:pPr>
    </w:p>
    <w:p w:rsidR="00381D90" w:rsidRDefault="00381D90" w:rsidP="00381D90">
      <w:pPr>
        <w:pStyle w:val="ListParagraph"/>
        <w:ind w:left="360"/>
      </w:pPr>
      <w:r>
        <w:t xml:space="preserve">Our claim is that there is no difference between sample means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p>
    <w:p w:rsidR="00960AF9" w:rsidRDefault="00960AF9" w:rsidP="00381D90">
      <w:pPr>
        <w:pStyle w:val="ListParagraph"/>
        <w:ind w:left="360"/>
      </w:pPr>
    </w:p>
    <w:p w:rsidR="00960AF9" w:rsidRPr="002612EF" w:rsidRDefault="00960AF9" w:rsidP="00381D90">
      <w:pPr>
        <w:pStyle w:val="ListParagraph"/>
        <w:ind w:left="36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rsidR="002612EF" w:rsidRDefault="002612EF" w:rsidP="00381D90">
      <w:pPr>
        <w:pStyle w:val="ListParagraph"/>
        <w:ind w:left="360"/>
      </w:pPr>
    </w:p>
    <w:p w:rsidR="002612EF" w:rsidRPr="002612EF" w:rsidRDefault="002612EF" w:rsidP="002612EF">
      <w:pPr>
        <w:pStyle w:val="ListParagraph"/>
        <w:ind w:left="36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0</m:t>
          </m:r>
        </m:oMath>
      </m:oMathPara>
    </w:p>
    <w:p w:rsidR="002612EF" w:rsidRDefault="002612EF"/>
    <w:p w:rsidR="0009587A" w:rsidRDefault="002612EF" w:rsidP="0009587A">
      <w:pPr>
        <w:pStyle w:val="ListParagraph"/>
        <w:numPr>
          <w:ilvl w:val="0"/>
          <w:numId w:val="2"/>
        </w:numPr>
      </w:pPr>
      <w:r>
        <w:t xml:space="preserve">We plot the histogram of each </w:t>
      </w:r>
      <m:oMath>
        <m:r>
          <w:rPr>
            <w:rFonts w:ascii="Cambria Math" w:hAnsi="Cambria Math"/>
          </w:rPr>
          <m:t>X</m:t>
        </m:r>
      </m:oMath>
      <w:r>
        <w:t xml:space="preserve"> (default to 10 bins for each histogram)</w:t>
      </w:r>
    </w:p>
    <w:p w:rsidR="002612EF" w:rsidRDefault="002612EF" w:rsidP="002612EF">
      <w:pPr>
        <w:pStyle w:val="ListParagraph"/>
        <w:ind w:left="360"/>
      </w:pPr>
    </w:p>
    <w:p w:rsidR="002612EF" w:rsidRDefault="002612EF" w:rsidP="002612EF">
      <w:pPr>
        <w:pStyle w:val="ListParagraph"/>
        <w:ind w:left="360"/>
      </w:pPr>
      <w:r>
        <w:rPr>
          <w:noProof/>
        </w:rPr>
        <mc:AlternateContent>
          <mc:Choice Requires="wps">
            <w:drawing>
              <wp:anchor distT="0" distB="0" distL="114300" distR="114300" simplePos="0" relativeHeight="251661312" behindDoc="0" locked="0" layoutInCell="1" allowOverlap="1" wp14:anchorId="20E31C90" wp14:editId="43CB773C">
                <wp:simplePos x="0" y="0"/>
                <wp:positionH relativeFrom="column">
                  <wp:posOffset>5128454</wp:posOffset>
                </wp:positionH>
                <wp:positionV relativeFrom="paragraph">
                  <wp:posOffset>234124</wp:posOffset>
                </wp:positionV>
                <wp:extent cx="0" cy="1097280"/>
                <wp:effectExtent l="0" t="0" r="38100" b="26670"/>
                <wp:wrapNone/>
                <wp:docPr id="6" name="Straight Connector 6"/>
                <wp:cNvGraphicFramePr/>
                <a:graphic xmlns:a="http://schemas.openxmlformats.org/drawingml/2006/main">
                  <a:graphicData uri="http://schemas.microsoft.com/office/word/2010/wordprocessingShape">
                    <wps:wsp>
                      <wps:cNvCnPr/>
                      <wps:spPr>
                        <a:xfrm flipH="1">
                          <a:off x="0" y="0"/>
                          <a:ext cx="0" cy="109728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D5F15" id="Straight Connector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8.45pt" to="403.8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" strokecolor="red" strokeweight="2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1957705</wp:posOffset>
                </wp:positionH>
                <wp:positionV relativeFrom="paragraph">
                  <wp:posOffset>245521</wp:posOffset>
                </wp:positionV>
                <wp:extent cx="0" cy="1097280"/>
                <wp:effectExtent l="0" t="0" r="38100" b="26670"/>
                <wp:wrapNone/>
                <wp:docPr id="5" name="Straight Connector 5"/>
                <wp:cNvGraphicFramePr/>
                <a:graphic xmlns:a="http://schemas.openxmlformats.org/drawingml/2006/main">
                  <a:graphicData uri="http://schemas.microsoft.com/office/word/2010/wordprocessingShape">
                    <wps:wsp>
                      <wps:cNvCnPr/>
                      <wps:spPr>
                        <a:xfrm flipH="1">
                          <a:off x="0" y="0"/>
                          <a:ext cx="0" cy="109728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3DB21"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15pt,19.35pt" to="154.1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" strokecolor="red" strokeweight="2pt">
                <v:stroke joinstyle="miter"/>
              </v:line>
            </w:pict>
          </mc:Fallback>
        </mc:AlternateContent>
      </w:r>
      <w:r w:rsidRPr="002612EF">
        <w:drawing>
          <wp:inline distT="0" distB="0" distL="0" distR="0" wp14:anchorId="72A4059D" wp14:editId="181AE93C">
            <wp:extent cx="32004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800225"/>
                    </a:xfrm>
                    <a:prstGeom prst="rect">
                      <a:avLst/>
                    </a:prstGeom>
                  </pic:spPr>
                </pic:pic>
              </a:graphicData>
            </a:graphic>
          </wp:inline>
        </w:drawing>
      </w:r>
      <w:r>
        <w:tab/>
      </w:r>
      <w:r w:rsidRPr="002612EF">
        <w:drawing>
          <wp:inline distT="0" distB="0" distL="0" distR="0" wp14:anchorId="672026DF" wp14:editId="6DC2142A">
            <wp:extent cx="320040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800225"/>
                    </a:xfrm>
                    <a:prstGeom prst="rect">
                      <a:avLst/>
                    </a:prstGeom>
                  </pic:spPr>
                </pic:pic>
              </a:graphicData>
            </a:graphic>
          </wp:inline>
        </w:drawing>
      </w:r>
    </w:p>
    <w:p w:rsidR="002612EF" w:rsidRDefault="002612EF" w:rsidP="002612EF">
      <w:pPr>
        <w:pStyle w:val="ListParagraph"/>
        <w:ind w:left="360"/>
      </w:pPr>
    </w:p>
    <w:p w:rsidR="003D0516" w:rsidRDefault="003D0516" w:rsidP="002612EF">
      <w:pPr>
        <w:pStyle w:val="ListParagraph"/>
        <w:ind w:left="360"/>
      </w:pPr>
      <w:r>
        <w:lastRenderedPageBreak/>
        <w:t>We can also compare the histogram against a t-distribution PDF as following:</w:t>
      </w:r>
    </w:p>
    <w:p w:rsidR="003D0516" w:rsidRDefault="003D0516" w:rsidP="002612EF">
      <w:pPr>
        <w:pStyle w:val="ListParagraph"/>
        <w:ind w:left="360"/>
      </w:pPr>
    </w:p>
    <w:p w:rsidR="003D0516" w:rsidRDefault="003D0516" w:rsidP="002612EF">
      <w:pPr>
        <w:pStyle w:val="ListParagraph"/>
        <w:ind w:left="360"/>
      </w:pPr>
      <w:r w:rsidRPr="003D0516">
        <w:drawing>
          <wp:inline distT="0" distB="0" distL="0" distR="0" wp14:anchorId="3B0D697D" wp14:editId="096C7B2F">
            <wp:extent cx="3200400" cy="25057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505795"/>
                    </a:xfrm>
                    <a:prstGeom prst="rect">
                      <a:avLst/>
                    </a:prstGeom>
                  </pic:spPr>
                </pic:pic>
              </a:graphicData>
            </a:graphic>
          </wp:inline>
        </w:drawing>
      </w:r>
      <w:r>
        <w:tab/>
      </w:r>
      <w:r w:rsidRPr="003D0516">
        <w:drawing>
          <wp:inline distT="0" distB="0" distL="0" distR="0" wp14:anchorId="4069624D" wp14:editId="293C6076">
            <wp:extent cx="3200400" cy="2564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564765"/>
                    </a:xfrm>
                    <a:prstGeom prst="rect">
                      <a:avLst/>
                    </a:prstGeom>
                  </pic:spPr>
                </pic:pic>
              </a:graphicData>
            </a:graphic>
          </wp:inline>
        </w:drawing>
      </w:r>
    </w:p>
    <w:p w:rsidR="002612EF" w:rsidRDefault="002612EF" w:rsidP="002612EF">
      <w:pPr>
        <w:pStyle w:val="ListParagraph"/>
        <w:ind w:left="360"/>
      </w:pPr>
      <w:r>
        <w:t>We can see that both distribution do not follow typical normal or t-distributions and therefore median/IQR present a more descriptive measure of them. Nevertheless, we present all of the standard descriptive statistics as follows:</w:t>
      </w:r>
    </w:p>
    <w:p w:rsidR="002612EF" w:rsidRDefault="002612EF" w:rsidP="002612EF">
      <w:pPr>
        <w:pStyle w:val="ListParagraph"/>
        <w:ind w:left="360"/>
      </w:pPr>
    </w:p>
    <w:p w:rsidR="002612EF" w:rsidRDefault="009A0C54" w:rsidP="002612EF">
      <w:pPr>
        <w:pStyle w:val="ListParagraph"/>
        <w:ind w:left="360"/>
      </w:pPr>
      <w:r w:rsidRPr="009A0C54">
        <w:drawing>
          <wp:inline distT="0" distB="0" distL="0" distR="0" wp14:anchorId="5165C233" wp14:editId="75D6AB4C">
            <wp:extent cx="2743200" cy="315753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3157538"/>
                    </a:xfrm>
                    <a:prstGeom prst="rect">
                      <a:avLst/>
                    </a:prstGeom>
                  </pic:spPr>
                </pic:pic>
              </a:graphicData>
            </a:graphic>
          </wp:inline>
        </w:drawing>
      </w:r>
    </w:p>
    <w:p w:rsidR="002612EF" w:rsidRDefault="002612EF" w:rsidP="002612EF">
      <w:pPr>
        <w:pStyle w:val="ListParagraph"/>
        <w:ind w:left="360"/>
      </w:pPr>
    </w:p>
    <w:p w:rsidR="009A0C54" w:rsidRDefault="002612EF" w:rsidP="003D0516">
      <w:pPr>
        <w:pStyle w:val="ListParagraph"/>
        <w:ind w:left="360"/>
      </w:pPr>
      <w:r>
        <w:t xml:space="preserve">We define outliers as data points that </w:t>
      </w:r>
      <w:r w:rsidR="009A0C54">
        <w:t xml:space="preserve">fall below </w:t>
      </w:r>
      <m:oMath>
        <m:d>
          <m:dPr>
            <m:ctrlPr>
              <w:rPr>
                <w:rFonts w:ascii="Cambria Math" w:hAnsi="Cambria Math"/>
                <w:i/>
              </w:rPr>
            </m:ctrlPr>
          </m:dPr>
          <m:e>
            <m:r>
              <w:rPr>
                <w:rFonts w:ascii="Cambria Math" w:hAnsi="Cambria Math"/>
              </w:rPr>
              <m:t>Q1-1.5×IQR</m:t>
            </m:r>
          </m:e>
        </m:d>
      </m:oMath>
      <w:r w:rsidR="009A0C54">
        <w:t xml:space="preserve"> or above </w:t>
      </w:r>
      <m:oMath>
        <m:d>
          <m:dPr>
            <m:ctrlPr>
              <w:rPr>
                <w:rFonts w:ascii="Cambria Math" w:hAnsi="Cambria Math"/>
                <w:i/>
              </w:rPr>
            </m:ctrlPr>
          </m:dPr>
          <m:e>
            <m:r>
              <w:rPr>
                <w:rFonts w:ascii="Cambria Math" w:hAnsi="Cambria Math"/>
              </w:rPr>
              <m:t>Q</m:t>
            </m:r>
            <m:r>
              <w:rPr>
                <w:rFonts w:ascii="Cambria Math" w:hAnsi="Cambria Math"/>
              </w:rPr>
              <m:t>3+</m:t>
            </m:r>
            <m:r>
              <w:rPr>
                <w:rFonts w:ascii="Cambria Math" w:hAnsi="Cambria Math"/>
              </w:rPr>
              <m:t>1.5×IQR</m:t>
            </m:r>
          </m:e>
        </m:d>
      </m:oMath>
      <w:r w:rsidR="009A0C54">
        <w:t>. From the descriptive statistics above, we see that there are no data points from the sample that are considered outliers.</w:t>
      </w:r>
    </w:p>
    <w:p w:rsidR="002612EF" w:rsidRDefault="002612EF" w:rsidP="002612EF">
      <w:pPr>
        <w:pStyle w:val="ListParagraph"/>
        <w:ind w:left="360"/>
      </w:pPr>
    </w:p>
    <w:p w:rsidR="000E2B7B" w:rsidRDefault="000E2B7B">
      <w:r>
        <w:br w:type="page"/>
      </w:r>
    </w:p>
    <w:p w:rsidR="002612EF" w:rsidRDefault="003D0516" w:rsidP="003D0516">
      <w:pPr>
        <w:pStyle w:val="ListParagraph"/>
        <w:numPr>
          <w:ilvl w:val="0"/>
          <w:numId w:val="2"/>
        </w:numPr>
      </w:pPr>
      <w:r>
        <w:lastRenderedPageBreak/>
        <w:t xml:space="preserve">We next run hypothesis test for 2 population means. Since the samples are obtained using simple random sampling, the sample sizes are large </w:t>
      </w:r>
      <m:oMath>
        <m:d>
          <m:dPr>
            <m:ctrlPr>
              <w:rPr>
                <w:rFonts w:ascii="Cambria Math" w:hAnsi="Cambria Math"/>
                <w:i/>
              </w:rPr>
            </m:ctrlPr>
          </m:dPr>
          <m:e>
            <m:r>
              <w:rPr>
                <w:rFonts w:ascii="Cambria Math" w:hAnsi="Cambria Math"/>
              </w:rPr>
              <m:t>≥30</m:t>
            </m:r>
          </m:e>
        </m:d>
      </m:oMath>
      <w:r>
        <w:t xml:space="preserve"> and sample size is </w:t>
      </w:r>
      <m:oMath>
        <m:r>
          <w:rPr>
            <w:rFonts w:ascii="Cambria Math" w:hAnsi="Cambria Math"/>
          </w:rPr>
          <m:t>&lt;5%</m:t>
        </m:r>
      </m:oMath>
      <w:r>
        <w:t xml:space="preserve"> of population size </w:t>
      </w:r>
      <w:r>
        <w:rPr>
          <w:rFonts w:cstheme="minorHAnsi"/>
        </w:rPr>
        <w:t>→</w:t>
      </w:r>
      <w:r>
        <w:t xml:space="preserve"> we conclude that the samples can be considered as independent</w:t>
      </w:r>
    </w:p>
    <w:p w:rsidR="003D0516" w:rsidRDefault="003D0516" w:rsidP="003D0516">
      <w:pPr>
        <w:pStyle w:val="ListParagraph"/>
        <w:ind w:left="360"/>
      </w:pPr>
    </w:p>
    <w:p w:rsidR="003D0516" w:rsidRDefault="000E2B7B" w:rsidP="003D0516">
      <w:pPr>
        <w:pStyle w:val="ListParagraph"/>
        <w:ind w:left="360"/>
      </w:pPr>
      <w:r>
        <w:t xml:space="preserve">Since variances of the sample are significantly different, we use Excel’s </w:t>
      </w:r>
      <w:r w:rsidRPr="000E2B7B">
        <w:rPr>
          <w:b/>
          <w:u w:val="single"/>
        </w:rPr>
        <w:t>2-Sample Assuming Unequal Variance T-Test data analysis tool</w:t>
      </w:r>
      <w:r>
        <w:t xml:space="preserve"> and the results are as follows:</w:t>
      </w:r>
    </w:p>
    <w:p w:rsidR="000E2B7B" w:rsidRDefault="000E2B7B" w:rsidP="003D0516">
      <w:pPr>
        <w:pStyle w:val="ListParagraph"/>
        <w:ind w:left="360"/>
      </w:pPr>
    </w:p>
    <w:p w:rsidR="000E2B7B" w:rsidRDefault="000E2B7B" w:rsidP="003D0516">
      <w:pPr>
        <w:pStyle w:val="ListParagraph"/>
        <w:ind w:left="360"/>
      </w:pPr>
      <w:r w:rsidRPr="000E2B7B">
        <w:drawing>
          <wp:inline distT="0" distB="0" distL="0" distR="0" wp14:anchorId="0ECDCD39" wp14:editId="73F8C498">
            <wp:extent cx="3657600" cy="184276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842761"/>
                    </a:xfrm>
                    <a:prstGeom prst="rect">
                      <a:avLst/>
                    </a:prstGeom>
                  </pic:spPr>
                </pic:pic>
              </a:graphicData>
            </a:graphic>
          </wp:inline>
        </w:drawing>
      </w:r>
    </w:p>
    <w:p w:rsidR="000E2B7B" w:rsidRDefault="000E2B7B" w:rsidP="003D0516">
      <w:pPr>
        <w:pStyle w:val="ListParagraph"/>
        <w:ind w:left="360"/>
      </w:pPr>
    </w:p>
    <w:p w:rsidR="000E2B7B" w:rsidRDefault="000E2B7B" w:rsidP="003D0516">
      <w:pPr>
        <w:pStyle w:val="ListParagraph"/>
        <w:ind w:left="360"/>
      </w:pPr>
      <w:r>
        <w:t>Since the 2-tail p-value = 0.93 &gt; 0.025, we cannot reject the null hypothesis and conclude that the sample means are not s</w:t>
      </w:r>
      <w:r w:rsidR="00FA7C2A">
        <w:t>ignificantly different.</w:t>
      </w:r>
    </w:p>
    <w:p w:rsidR="003D0516" w:rsidRDefault="003D0516" w:rsidP="003D0516">
      <w:pPr>
        <w:pStyle w:val="ListParagraph"/>
        <w:ind w:left="360"/>
      </w:pPr>
    </w:p>
    <w:p w:rsidR="003D0516" w:rsidRDefault="00FA7C2A" w:rsidP="00FA7C2A">
      <w:pPr>
        <w:pStyle w:val="ListParagraph"/>
        <w:numPr>
          <w:ilvl w:val="0"/>
          <w:numId w:val="3"/>
        </w:numPr>
      </w:pPr>
      <w:r>
        <w:t>One possible reason for the null hypothesis could be passive investing of ETFs that buy most names in the NASDAQ composite index. Before the opening bell, outside of idiosyncratic effects of individual stocks, the big NASDAQ (we chose TSLA and MSFT, both big stocks) stocks all gap up/down with the overall index by the same amount</w:t>
      </w:r>
    </w:p>
    <w:p w:rsidR="00FA7C2A" w:rsidRDefault="00FA7C2A" w:rsidP="00FA7C2A">
      <w:pPr>
        <w:pStyle w:val="ListParagraph"/>
        <w:numPr>
          <w:ilvl w:val="0"/>
          <w:numId w:val="3"/>
        </w:numPr>
      </w:pPr>
      <w:r>
        <w:t>TSLA and MSFT can be seen as high beta names in the NASDAQ composite index as both stocks outperformed greatly over the past 2 years</w:t>
      </w:r>
    </w:p>
    <w:p w:rsidR="00FA7C2A" w:rsidRDefault="00FA7C2A" w:rsidP="00FA7C2A"/>
    <w:p w:rsidR="00FA7C2A" w:rsidRDefault="00FA7C2A" w:rsidP="00FA7C2A">
      <w:pPr>
        <w:ind w:left="720"/>
      </w:pPr>
      <w:r w:rsidRPr="00FA7C2A">
        <w:drawing>
          <wp:inline distT="0" distB="0" distL="0" distR="0" wp14:anchorId="4C617417" wp14:editId="5E69FC0D">
            <wp:extent cx="5485714" cy="313333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714" cy="3133333"/>
                    </a:xfrm>
                    <a:prstGeom prst="rect">
                      <a:avLst/>
                    </a:prstGeom>
                  </pic:spPr>
                </pic:pic>
              </a:graphicData>
            </a:graphic>
          </wp:inline>
        </w:drawing>
      </w:r>
      <w:bookmarkStart w:id="0" w:name="_GoBack"/>
      <w:bookmarkEnd w:id="0"/>
    </w:p>
    <w:p w:rsidR="00FA7C2A" w:rsidRDefault="00FA7C2A" w:rsidP="00FA7C2A"/>
    <w:p w:rsidR="00FA7C2A" w:rsidRDefault="00FA7C2A" w:rsidP="00FA7C2A">
      <w:pPr>
        <w:ind w:left="360"/>
      </w:pPr>
    </w:p>
    <w:sectPr w:rsidR="00FA7C2A" w:rsidSect="000958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7F4D"/>
    <w:multiLevelType w:val="hybridMultilevel"/>
    <w:tmpl w:val="DE38C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1700BA"/>
    <w:multiLevelType w:val="hybridMultilevel"/>
    <w:tmpl w:val="04D6F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BF5A58"/>
    <w:multiLevelType w:val="hybridMultilevel"/>
    <w:tmpl w:val="4166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7A"/>
    <w:rsid w:val="0009587A"/>
    <w:rsid w:val="000E2B7B"/>
    <w:rsid w:val="002612EF"/>
    <w:rsid w:val="00381D90"/>
    <w:rsid w:val="003D0516"/>
    <w:rsid w:val="008C6367"/>
    <w:rsid w:val="00960AF9"/>
    <w:rsid w:val="009A0C54"/>
    <w:rsid w:val="00CC3B48"/>
    <w:rsid w:val="00FA7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F83B"/>
  <w15:chartTrackingRefBased/>
  <w15:docId w15:val="{AF4CDAF6-7DEE-4D76-8798-725306EB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7A"/>
    <w:pPr>
      <w:ind w:left="720"/>
      <w:contextualSpacing/>
    </w:pPr>
  </w:style>
  <w:style w:type="character" w:styleId="PlaceholderText">
    <w:name w:val="Placeholder Text"/>
    <w:basedOn w:val="DefaultParagraphFont"/>
    <w:uiPriority w:val="99"/>
    <w:semiHidden/>
    <w:rsid w:val="000958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37751-90D1-4D76-9C26-D61A42696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Hwee Neo</dc:creator>
  <cp:keywords/>
  <dc:description/>
  <cp:lastModifiedBy>Meng Hwee Neo</cp:lastModifiedBy>
  <cp:revision>2</cp:revision>
  <dcterms:created xsi:type="dcterms:W3CDTF">2017-10-22T01:11:00Z</dcterms:created>
  <dcterms:modified xsi:type="dcterms:W3CDTF">2017-10-22T07:40:00Z</dcterms:modified>
</cp:coreProperties>
</file>