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b w:val="false"/>
          <w:bCs w:val="false"/>
          <w:i w:val="false"/>
          <w:iCs w:val="false"/>
          <w:sz w:val="24"/>
          <w:szCs w:val="24"/>
        </w:rPr>
        <w:t xml:space="preserve">Processo n.º </w:t>
      </w:r>
      <w:r>
        <w:rPr>
          <w:rFonts w:ascii="Times New Roman" w:cs="Times New Roman" w:eastAsia="Times New Roman" w:hAnsi="Times New Roman"/>
          <w:b w:val="false"/>
          <w:bCs w:val="false"/>
          <w:i w:val="false"/>
          <w:iCs w:val="false"/>
          <w:sz w:val="24"/>
          <w:szCs w:val="24"/>
          <w:highlight w:val="yellow"/>
        </w:rPr>
        <w:t xml:space="preserve">[número do processo]</w:t>
      </w:r>
    </w:p>
    <w:p>
      <w:pPr>
        <w:spacing w:after="360" w:before="120"/>
        <w:jc w:val="center"/>
      </w:pPr>
      <w:r>
        <w:rPr>
          <w:rFonts w:ascii="Times New Roman" w:cs="Times New Roman" w:eastAsia="Times New Roman" w:hAnsi="Times New Roman"/>
          <w:b/>
          <w:bCs/>
          <w:i w:val="false"/>
          <w:iCs w:val="false"/>
          <w:sz w:val="24"/>
          <w:szCs w:val="24"/>
        </w:rPr>
        <w:t xml:space="preserve">Decisão</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Trata-se de </w:t>
      </w:r>
      <w:r>
        <w:rPr>
          <w:rFonts w:ascii="Times New Roman" w:cs="Times New Roman" w:eastAsia="Times New Roman" w:hAnsi="Times New Roman"/>
          <w:b w:val="false"/>
          <w:bCs w:val="false"/>
          <w:i w:val="false"/>
          <w:iCs w:val="false"/>
          <w:sz w:val="24"/>
          <w:szCs w:val="24"/>
          <w:highlight w:val="yellow"/>
        </w:rPr>
        <w:t xml:space="preserve">[ação declaratória de inexistência de relação jurídica cumulada com pedidos de repetição de indébito e de indenização por danos morais]</w:t>
      </w:r>
      <w:r>
        <w:rPr>
          <w:rFonts w:ascii="Times New Roman" w:cs="Times New Roman" w:eastAsia="Times New Roman" w:hAnsi="Times New Roman"/>
          <w:b w:val="false"/>
          <w:bCs w:val="false"/>
          <w:i w:val="false"/>
          <w:iCs w:val="false"/>
          <w:sz w:val="24"/>
          <w:szCs w:val="24"/>
        </w:rPr>
        <w:t xml:space="preserve"> ajuizada por </w:t>
      </w:r>
      <w:r>
        <w:rPr>
          <w:rFonts w:ascii="Times New Roman" w:cs="Times New Roman" w:eastAsia="Times New Roman" w:hAnsi="Times New Roman"/>
          <w:b/>
          <w:bCs/>
          <w:i w:val="false"/>
          <w:iCs w:val="false"/>
          <w:sz w:val="24"/>
          <w:szCs w:val="24"/>
          <w:highlight w:val="yellow"/>
        </w:rPr>
        <w:t xml:space="preserve">[Nome da Autora]</w:t>
      </w:r>
      <w:r>
        <w:rPr>
          <w:rFonts w:ascii="Times New Roman" w:cs="Times New Roman" w:eastAsia="Times New Roman" w:hAnsi="Times New Roman"/>
          <w:b w:val="false"/>
          <w:bCs w:val="false"/>
          <w:i w:val="false"/>
          <w:iCs w:val="false"/>
          <w:sz w:val="24"/>
          <w:szCs w:val="24"/>
        </w:rPr>
        <w:t xml:space="preserve"> em face de </w:t>
      </w:r>
      <w:r>
        <w:rPr>
          <w:rFonts w:ascii="Times New Roman" w:cs="Times New Roman" w:eastAsia="Times New Roman" w:hAnsi="Times New Roman"/>
          <w:b/>
          <w:bCs/>
          <w:i w:val="false"/>
          <w:iCs w:val="false"/>
          <w:sz w:val="24"/>
          <w:szCs w:val="24"/>
          <w:highlight w:val="yellow"/>
        </w:rPr>
        <w:t xml:space="preserve">[Nome da Instituição Financeira Ré]</w:t>
      </w:r>
      <w:r>
        <w:rPr>
          <w:rFonts w:ascii="Times New Roman" w:cs="Times New Roman" w:eastAsia="Times New Roman" w:hAnsi="Times New Roman"/>
          <w:b w:val="false"/>
          <w:bCs w:val="false"/>
          <w:i w:val="false"/>
          <w:iCs w:val="false"/>
          <w:sz w:val="24"/>
          <w:szCs w:val="24"/>
        </w:rPr>
        <w:t xml:space="preserve">, partes devidamente qualificadas nos autos, na qual a autora afirma, em síntese, não ter celebrado o contrato de empréstimo </w:t>
      </w:r>
      <w:r>
        <w:rPr>
          <w:rFonts w:ascii="Times New Roman" w:cs="Times New Roman" w:eastAsia="Times New Roman" w:hAnsi="Times New Roman"/>
          <w:b w:val="false"/>
          <w:bCs w:val="false"/>
          <w:i w:val="false"/>
          <w:iCs w:val="false"/>
          <w:sz w:val="24"/>
          <w:szCs w:val="24"/>
          <w:highlight w:val="yellow"/>
        </w:rPr>
        <w:t xml:space="preserve">[consignado]</w:t>
      </w:r>
      <w:r>
        <w:rPr>
          <w:rFonts w:ascii="Times New Roman" w:cs="Times New Roman" w:eastAsia="Times New Roman" w:hAnsi="Times New Roman"/>
          <w:b w:val="false"/>
          <w:bCs w:val="false"/>
          <w:i w:val="false"/>
          <w:iCs w:val="false"/>
          <w:sz w:val="24"/>
          <w:szCs w:val="24"/>
        </w:rPr>
        <w:t xml:space="preserve"> n.º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no valor de R$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cujas parcelas passaram a ser descontadas de seu benefício previdenciário, razão pela qual postula a declaração de inexistência do débito, a restituição em dobro dos valores descontados e a reparação dos danos morais que alega ter sofrido (fls.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A petição inicial veio instruída com os documentos de fls.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Pela decisão de fls.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deferiu-se à autora a gratuidade da justiça e determinou-se a citação da ré.</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Citada, a ré ofereceu contestação às fls.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na qual suscitou a prejudicial de prescrição, sob o argumento de que incidiria o prazo trienal do art. 206, § 3º, do Código Civil, </w:t>
      </w:r>
      <w:r>
        <w:rPr>
          <w:rFonts w:ascii="Times New Roman" w:cs="Times New Roman" w:eastAsia="Times New Roman" w:hAnsi="Times New Roman"/>
          <w:b w:val="false"/>
          <w:bCs w:val="false"/>
          <w:i w:val="false"/>
          <w:iCs w:val="false"/>
          <w:sz w:val="24"/>
          <w:szCs w:val="24"/>
          <w:highlight w:val="yellow"/>
        </w:rPr>
        <w:t xml:space="preserve">[arguiu as preliminares de ausência de interesse de agir e de inépcia da petição inicial e impugnou a gratuidade da justiça concedida à autora]</w:t>
      </w:r>
      <w:r>
        <w:rPr>
          <w:rFonts w:ascii="Times New Roman" w:cs="Times New Roman" w:eastAsia="Times New Roman" w:hAnsi="Times New Roman"/>
          <w:b w:val="false"/>
          <w:bCs w:val="false"/>
          <w:i w:val="false"/>
          <w:iCs w:val="false"/>
          <w:sz w:val="24"/>
          <w:szCs w:val="24"/>
        </w:rPr>
        <w:t xml:space="preserve">. No mérito, sustentou a regularidade da contratação, formalizada por intermédio da correspondente bancária Maria da Penha Vieira de Farias, e afirmou ter disponibilizado o valor do empréstimo em conta de titularidade da autora, pugnando, ao final, pela improcedência dos pedidos. Instruiu a defesa com o instrumento contratual e os documentos de fls.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Houve réplica às fls.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na qual a autora impugnou a autenticidade da assinatura aposta no instrumento contratual e reiterou os termos da petição inicial.</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Instadas a especificar as provas que pretendiam produzir (fls.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a autora requereu a realização de perícia grafotécnica (fls.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ao passo que a ré </w:t>
      </w:r>
      <w:r>
        <w:rPr>
          <w:rFonts w:ascii="Times New Roman" w:cs="Times New Roman" w:eastAsia="Times New Roman" w:hAnsi="Times New Roman"/>
          <w:b w:val="false"/>
          <w:bCs w:val="false"/>
          <w:i w:val="false"/>
          <w:iCs w:val="false"/>
          <w:sz w:val="24"/>
          <w:szCs w:val="24"/>
          <w:highlight w:val="yellow"/>
        </w:rPr>
        <w:t xml:space="preserve">[requereu o depoimento pessoal da autora]</w:t>
      </w:r>
      <w:r>
        <w:rPr>
          <w:rFonts w:ascii="Times New Roman" w:cs="Times New Roman" w:eastAsia="Times New Roman" w:hAnsi="Times New Roman"/>
          <w:b w:val="false"/>
          <w:bCs w:val="false"/>
          <w:i w:val="false"/>
          <w:iCs w:val="false"/>
          <w:sz w:val="24"/>
          <w:szCs w:val="24"/>
        </w:rPr>
        <w:t xml:space="preserve"> (fls.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É o relatório. Fundamento e decido.</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Não se verificando hipótese de extinção do processo nem de julgamento antecipado, total ou parcial, do mérito, nos termos dos arts. 354 a 356 do Código de Processo Civil (CPC), impõe-se o saneamento e a organização do processo, na forma do art. 357 do mesmo diploma. Nessa fase, incumbe ao juiz resolver as questões processuais pendentes, delimitar as questões de fato sobre as quais recairá a atividade probatória, especificando os meios de prova admitidos, definir a distribuição do ônus da prova, observado o art. 373, delimitar as questões de direito relevantes para a decisão do mérito e, se necessário, designar audiência de instrução e julgamento (art. 357, I a V, do CPC).</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Longe de constituir ato de mero expediente, a decisão de saneamento marca o momento em que o processo, depurado de vícios, é organizado para a instrução, em observância aos princípios da cooperação (art. 6º do CPC) e da vedação à decisão surpresa (art. 10 do CPC), de modo a conferir às partes previsibilidade quanto ao objeto da prova e ao encargo de produzi-la. Por essa razão, o legislador assegurou-lhes o direito de pedir esclarecimentos ou solicitar ajustes no prazo comum de cinco dias, findo o qual a decisão se torna estável (art. 357, § 1º, do CPC).</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Assentadas essas premissas, passo ao exame das questões suscitadas na contestação.</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No que concerne à preliminar de ausência de interesse de agir, não assiste razão à ré. O interesse processual revela-se pelo binômio necessidade-adequação, e a necessidade da tutela jurisdicional, no caso, evidencia-se pela própria resistência oferecida pela ré, que, ao contestar o mérito, defendeu a higidez da contratação e a legitimidade dos descontos. Ademais, a garantia da inafastabilidade da jurisdição (art. 5º, XXXV, da Constituição da República) não se compatibiliza com a exigência de prévio exaurimento da via administrativa como condição para o ajuizamento de demandas desta natureza. É certo que o Superior Tribunal de Justiça, no julgamento do Tema 1198, admitiu que o juiz exija a demonstração do interesse de agir quando constatados indícios de litigância abusiva; todavia, instaurado o contraditório e manifestada a pretensão resistida, eventuais indícios dessa natureza devem ser apurados na instrução, como adiante se determinará, e não autorizam, por si sós, a extinção do processo sem resolução do mérito.</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A alegada inépcia da petição inicial, de igual modo, não se configura. A peça expõe com clareza os fatos e os fundamentos jurídicos do pedido, formula pedidos certos e determinados, que decorrem logicamente da narração dos fatos, e permitiu à ré o pleno exercício do direito de defesa, tanto que esta impugnou especificamente a pretensão deduzida, não se verificando nenhuma das hipóteses do art. 330, § 1º, do CPC. A eventual insuficiência dos documentos destinados à prova dos fatos constitutivos do direito da autora não se confunde com a ausência de documento indispensável à propositura da ação (art. 320 do CPC) e será suprida, se for o caso, no curso da atividade instrutória a seguir delimitada.</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Quanto à impugnação à gratuidade da justiça, a alegação de insuficiência deduzida por pessoa natural goza de presunção relativa de veracidade (art. 99, § 3º, do CPC), cabendo ao impugnante demonstrar a capacidade econômica do beneficiário. A ré, contudo, limitou-se a alegações genéricas, sem trazer elementos concretos aptos a infirmar essa presunção, razão pela qual o benefício deve ser mantido.</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A prejudicial de prescrição, que integra o mérito (art. 487, II, do CPC), também não comporta acolhimento. A relação jurídica controvertida submete-se ao Código de Defesa do Consumidor (CDC), porquanto a ré se qualifica como fornecedora de serviços de natureza bancária (art. 3º, § 2º, do CDC) e a autora, ainda que negue a contratação, equipara-se a consumidora, na condição de vítima do evento danoso (art. 17 do CDC). Incide, ademais, o enunciado da Súmula n.º 297 do Superior Tribunal de Justiça (STJ): “O Código de Defesa do Consumidor é aplicável às instituições financeiras”.</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Ao atribuir à ré descontos efetuados com base em contrato que afirma não ter celebrado, a autora imputa-lhe defeito na prestação do serviço (art. 14 do CDC), o que atrai a incidência do art. 27 do mesmo diploma, assim redigido: “Prescreve em cinco anos a pretensão à reparação pelos danos causados por fato do produto ou do serviço prevista na Seção II deste Capítulo, iniciando-se a contagem do prazo a partir do conhecimento do dano e de sua autoria”. O prazo trienal do art. 206, § 3º, do Código Civil, invocado pela ré, cede diante da regra especial do microssistema consumerista, cujas normas são de ordem pública e de interesse social (art. 1º do CDC). Esse é, aliás, o entendimento consolidado do STJ, que, nas demandas fundadas em descontos indevidos em benefício previdenciário decorrentes de empréstimo não contratado, aplica o prazo quinquenal do art. 27 do CDC, cujo termo inicial, por se tratar de relação de trato sucessivo, é a data do último desconto (AgInt no AREsp n.º 1.720.909/MS, rel. Min. Raul Araújo, Quarta Turma).</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Na espécie, a contratação impugnada remonta a </w:t>
      </w:r>
      <w:r>
        <w:rPr>
          <w:rFonts w:ascii="Times New Roman" w:cs="Times New Roman" w:eastAsia="Times New Roman" w:hAnsi="Times New Roman"/>
          <w:b w:val="false"/>
          <w:bCs w:val="false"/>
          <w:i w:val="false"/>
          <w:iCs w:val="false"/>
          <w:sz w:val="24"/>
          <w:szCs w:val="24"/>
          <w:highlight w:val="yellow"/>
        </w:rPr>
        <w:t xml:space="preserve">[janeiro de 2023]</w:t>
      </w:r>
      <w:r>
        <w:rPr>
          <w:rFonts w:ascii="Times New Roman" w:cs="Times New Roman" w:eastAsia="Times New Roman" w:hAnsi="Times New Roman"/>
          <w:b w:val="false"/>
          <w:bCs w:val="false"/>
          <w:i w:val="false"/>
          <w:iCs w:val="false"/>
          <w:sz w:val="24"/>
          <w:szCs w:val="24"/>
        </w:rPr>
        <w:t xml:space="preserve"> e a ação foi proposta em </w:t>
      </w:r>
      <w:r>
        <w:rPr>
          <w:rFonts w:ascii="Times New Roman" w:cs="Times New Roman" w:eastAsia="Times New Roman" w:hAnsi="Times New Roman"/>
          <w:b w:val="false"/>
          <w:bCs w:val="false"/>
          <w:i w:val="false"/>
          <w:iCs w:val="false"/>
          <w:sz w:val="24"/>
          <w:szCs w:val="24"/>
          <w:highlight w:val="yellow"/>
        </w:rPr>
        <w:t xml:space="preserve">[data do ajuizamento]</w:t>
      </w:r>
      <w:r>
        <w:rPr>
          <w:rFonts w:ascii="Times New Roman" w:cs="Times New Roman" w:eastAsia="Times New Roman" w:hAnsi="Times New Roman"/>
          <w:b w:val="false"/>
          <w:bCs w:val="false"/>
          <w:i w:val="false"/>
          <w:iCs w:val="false"/>
          <w:sz w:val="24"/>
          <w:szCs w:val="24"/>
        </w:rPr>
        <w:t xml:space="preserve">, de sorte que o quinquênio legal não se consumou, qualquer que seja o termo inicial considerado. Rejeito, pois, a prejudicial de prescrição.</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Superadas as questões processuais e a prejudicial de mérito, e presentes os pressupostos processuais, a legitimidade das partes e o interesse processual, o processo encontra-se em condições de ser declarado saneado, cumprindo, doravante, delimitar as questões de fato e de direito e organizar a atividade probatória.</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Do cotejo entre a petição inicial e a contestação, fixo como pontos controvertidos (art. 357, II, do CPC) a efetiva celebração do contrato n.º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pela autora e a autenticidade da assinatura nele aposta; as circunstâncias em que se deu a contratação, notadamente a atuação da correspondente bancária Maria da Penha Vieira de Farias na coleta da manifestação de vontade e dos documentos pessoais da contratante; a efetiva disponibilização do valor contratado em conta de titularidade da autora e sua eventual utilização em proveito desta; a extensão dos descontos realizados em seu benefício previdenciário; e a ocorrência de dano moral e sua extensão.</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As questões de direito relevantes para a decisão do mérito (art. 357, IV, do CPC), por sua vez, concernem à existência, à validade e à eficácia do negócio jurídico impugnado, à responsabilidade objetiva da instituição financeira por fato do serviço, inclusive por fortuito interno relativo a fraudes praticadas por terceiros (art. 14 do CDC e Súmula n.º 479 do STJ), ao cabimento da repetição do indébito, na forma simples ou em dobro (art. 42, parágrafo único, do CDC), e à configuração do dano moral indenizável.</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No que se refere à distribuição do ônus da prova (art. 357, III, do CPC), a impugnação da autenticidade da assinatura constante do contrato apresentado pela ré atrai a regra do art. 429, II, do CPC, segundo a qual, em se tratando de impugnação de autenticidade, o encargo probatório incumbe à parte que produziu o documento. Em idêntico sentido, o STJ, no julgamento do Tema 1061 dos recursos repetitivos, firmou a seguinte tese: “Na hipótese em que o consumidor/autor impugnar a autenticidade da assinatura constante em contrato bancário juntado ao processo pela instituição financeira, caberá a esta última o ônus de provar a sua autenticidade (CPC, arts. 6º, 369 e 429, II)” (REsp n.º 1.846.649/MA, rel. Min. Marco Aurélio Bellizze, Segunda Seção, julgado em 24 de novembro de 2021). Esse regime harmoniza-se, ademais, com a facilitação da defesa do consumidor em juízo, prevista no art. 6º, VIII, do CDC.</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Isso não significa, contudo, que a autora esteja dispensada de colaborar com o descobrimento da verdade (arts. 6º, 378 e 379 do CPC) ou de trazer aos autos os documentos que se encontram em sua exclusiva esfera de disponibilidade. O art. 373, § 1º, do CPC autoriza a atribuição do ônus da prova de modo diverso quando houver maior facilidade de obtenção da prova do fato contrário, e o próprio STJ, ao julgar o Tema 1198, ressalvou o respeito às regras de distribuição do ônus da prova sem deixar de reconhecer a legitimidade da exigência de documentos capazes de lastrear minimamente a pretensão, entre os quais os extratos bancários, expressamente mencionados na delimitação da controvérsia submetida a julgamento.</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Assim, à ré, que afirma ter creditado o valor do empréstimo em favor da autora, compete comprovar a transferência do numerário, fato por ela alegado e cuja prova lhe incumbe (art. 373, II, do CPC), mediante a juntada do respectivo comprovante, documento gerado pela própria instituição financeira e que se encontra em seu poder. À autora, por sua vez, compete apresentar o extrato de movimentação de sua conta bancária, documento a que tem acesso direto e imediato e que se revela apto a demonstrar se o valor foi, ou não, creditado e de que modo foi utilizado.</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Delimitadas as questões controvertidas e o ônus de prová-las, impende organizar a atividade probatória. Nos termos do art. 370 do CPC, cabe ao juiz, de ofício ou a requerimento da parte, determinar as provas necessárias ao julgamento do mérito, indeferindo, em decisão fundamentada, as diligências inúteis ou meramente protelatórias. Em harmonia com esse comando, o art. 464, § 1º, II, do mesmo diploma prescreve que o juiz indeferirá a perícia quando esta for desnecessária em vista de outras provas produzidas.</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Na hipótese, a perícia grafotécnica requerida, conquanto possa revelar-se útil, não constitui o único nem necessariamente o mais eficiente meio de esclarecimento dos fatos. Trata-se de prova de custo elevado e de produção demorada, cuja pertinência depende, em larga medida, do que vier a ser apurado pelos demais meios de prova. Com efeito, a demonstração de que o valor do empréstimo foi creditado em conta da autora e por ela utilizado, aliada às declarações da agente responsável pela formalização do contrato e ao depoimento pessoal da própria autora, pode elucidar suficientemente a controvérsia, tornando dispensável a perícia, ou, ao contrário, evidenciar sua imprescindibilidade e delimitar com precisão o seu objeto. A deliberação sobre o requerimento de prova pericial deve, portanto, suceder à colheita dessas provas, em atenção ao princípio da eficiência (art. 8º do CPC) e à garantia da razoável duração do processo (art. 5º, LXXVIII, da Constituição da República e art. 4º do CPC).</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O depoimento pessoal da autora encontra amparo no art. 385 do CPC, que, ao disciplinar esse meio de prova, ressalva expressamente o poder do juiz de ordená-lo de ofício. A providência revela inequívoca utilidade, porquanto somente a autora pode esclarecer, em contato direto com o juízo, se manteve tratativas com a correspondente bancária, se lhe forneceu seus documentos pessoais, se recebeu o valor do empréstimo e que destinação lhe conferiu, bem como se tinha ciência da propositura da presente demanda e de seu teor. Para que incida a pena de confissão em caso de ausência injustificada ou de recusa a depor, a autora deverá ser intimada pessoalmente, com a advertência prevista no art. 385, § 1º, do CPC.</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Igualmente imprescindível é a oitiva de Maria da Penha Vieira de Farias, apontada como agente responsável pela formalização do contrato, pois se trata da pessoa que, segundo a versão da defesa, manteve contato direto com a contratante, colheu sua assinatura e seus documentos e intermediou a operação. A diligência encontra fundamento no art. 370 do CPC e, especificamente, no art. 461, I, do mesmo diploma, que autoriza o juiz a ordenar, de ofício, a inquirição de testemunhas referidas nas declarações da parte. Considerando que a declarante pode ter interesse no desfecho da lide, em razão da atividade que desempenhou na contratação, caberá ao juízo aferir, em audiência, a existência de causa de suspeição (art. 447, § 3º, II, do CPC), hipótese em que suas declarações serão colhidas independentemente de compromisso e a elas se atribuirá o valor que possam merecer (art. 447, §§ 4º e 5º, do CPC). Por se tratar de diligência determinada de ofício, sua intimação far-se-á por mandado judicial, sujeitando-se a declarante, em caso de ausência injustificada, à condução coercitiva, na forma do art. 455, § 5º, do CPC.</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A prova oral, todavia, deve ser precedida da juntada dos documentos que permitirão confrontar as versões apresentadas. Com fundamento nos arts. 370, 373 e 396 do CPC, e em observância ao dever de cooperação e de colaboração com o Poder Judiciário para o descobrimento da verdade (arts. 6º, 378 e 379 do CPC), impõe-se que a ré junte aos autos o comprovante de transferência do valor indicado no contrato, com a identificação da conta de destino, e que a autora apresente o extrato de movimentação de sua conta bancária referente aos meses de janeiro e fevereiro de 2023, período contemporâneo à contratação e à alegada disponibilização do crédito. O cotejo desses documentos permitirá aferir, de forma objetiva, se houve o efetivo ingresso do numerário no patrimônio da autora e qual destino lhe foi dado, circunstância de manifesta relevância para o deslinde da causa. O prazo de quarenta e cinco dias mostra-se razoável para a obtenção dos documentos, e a omissão injustificada de qualquer das partes será valorada por ocasião da sentença, à luz das regras de distribuição do ônus da prova ora fixadas, sem prejuízo da aplicação, no que couber, do art. 400 do CPC.</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Resta definir o formato da audiência. Embora o CPC admita a prática de atos processuais por videoconferência ou outro recurso tecnológico de transmissão de sons e imagens em tempo real (arts. 236, § 3º, 385, § 3º, e 453, § 1º), trata-se de faculdade, e não de direito subjetivo das partes, competindo ao juiz, na direção do processo (art. 139 do CPC), avaliar o formato que melhor atende à finalidade do ato. Nessa linha, a Resolução CNJ n.º 354/2020, com a redação conferida pela Resolução CNJ n.º 481/2022, estabelece em seu art. 3º que as audiências “só poderão ser realizadas na forma telepresencial a pedido da parte”, cabendo ao juiz “decidir pela conveniência de sua realização no modo presencial”.</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A essa disciplina soma-se o poder geral de cautela do juiz. Herdeiro do art. 798 do Código de Processo Civil de 1973, esse poder encontra no art. 297 do diploma vigente sua matriz normativa e, conjugado com os poderes de direção do processo enunciados no art. 139, notadamente o de prevenir ou reprimir qualquer ato contrário à dignidade da justiça (inciso III), autoriza o magistrado a adotar, inclusive de ofício, as medidas adequadas à preservação da utilidade do processo e da integridade da prova. Não se cuida de prerrogativa arbitrária, mas de poder-dever vinculado à efetividade da prestação jurisdicional, cujo exercício reclama fundamentação idônea e proporcionalidade em face das circunstâncias do caso concreto (arts. 8º e 11 do CPC).</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Em consonância com esse poder, a Recomendação CNJ n.º 159/2024, que dispõe sobre a identificação, o tratamento e a prevenção da litigância abusiva, entendida como “o desvio ou manifesto excesso dos limites impostos pela finalidade social, jurídica, política e/ou econômica do direito de acesso ao Poder Judiciário, inclusive no polo passivo, comprometendo a capacidade de prestação jurisdicional e o acesso à Justiça”, orienta que os magistrados, ao identificarem indícios de desvio de finalidade na atuação dos litigantes, poderão, “no exercício do poder geral de cautela e de forma fundamentada, determinar diligências” destinadas a evidenciar a legitimidade do acesso ao Poder Judiciário, e arrola, entre as medidas judiciais exemplificativas constantes de seu Anexo B, a seguinte:</w:t>
      </w:r>
    </w:p>
    <w:p>
      <w:pPr>
        <w:spacing w:after="240" w:before="120" w:line="240" w:lineRule="auto"/>
        <w:ind w:left="2268"/>
        <w:jc w:val="both"/>
      </w:pPr>
      <w:r>
        <w:rPr>
          <w:rFonts w:ascii="Times New Roman" w:cs="Times New Roman" w:eastAsia="Times New Roman" w:hAnsi="Times New Roman"/>
          <w:b w:val="false"/>
          <w:bCs w:val="false"/>
          <w:i w:val="false"/>
          <w:iCs w:val="false"/>
          <w:sz w:val="20"/>
          <w:szCs w:val="20"/>
        </w:rPr>
        <w:t xml:space="preserve">realização de audiências preliminares ou outras diligências, inclusive de ordem probatória, para averiguar a iniciativa, o interesse processual, a autenticidade da postulação, o padrão de comportamento em conformidade com a boa-fé objetiva e a legitimidade ativa e passiva nas ações judiciais, com a possibilidade inclusive de escuta e coleta de informações para verificação da ciência dos(as) demandantes sobre a existência e o teor dos processos e sobre sua iniciativa de litigar. (Recomendação CNJ n.º 159/2024, Anexo B)</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Em sentido convergente, a Corte Especial do STJ, ao julgar o Tema 1198 dos recursos repetitivos, firmou a seguinte tese: “Constatados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 (REsp n.º 2.021.665/MS, rel. Min. Moura Ribeiro, Corte Especial, julgado em 13 de março de 2025). Se ao juiz é dado exigir, já no limiar do processo, a demonstração da autenticidade da postulação, </w:t>
      </w:r>
      <w:r>
        <w:rPr>
          <w:rFonts w:ascii="Times New Roman" w:cs="Times New Roman" w:eastAsia="Times New Roman" w:hAnsi="Times New Roman"/>
          <w:b w:val="false"/>
          <w:bCs w:val="false"/>
          <w:i/>
          <w:iCs/>
          <w:sz w:val="24"/>
          <w:szCs w:val="24"/>
        </w:rPr>
        <w:t xml:space="preserve">a fortiori</w:t>
      </w:r>
      <w:r>
        <w:rPr>
          <w:rFonts w:ascii="Times New Roman" w:cs="Times New Roman" w:eastAsia="Times New Roman" w:hAnsi="Times New Roman"/>
          <w:b w:val="false"/>
          <w:bCs w:val="false"/>
          <w:i w:val="false"/>
          <w:iCs w:val="false"/>
          <w:sz w:val="24"/>
          <w:szCs w:val="24"/>
        </w:rPr>
        <w:t xml:space="preserve"> lhe é lícito, na fase instrutória, adotar as providências necessárias para que essa autenticidade seja aferida com segurança, inclusive mediante a oitiva pessoal e direta da parte e da agente que intermediou a contratação.</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No caso em exame, a controvérsia reside, essencialmente, em saber se a autora manifestou a vontade de contratar, se manteve contato com a correspondente bancária e se recebeu e utilizou o valor do empréstimo, questões cuja elucidação depende, em grande medida, da percepção direta e imediata do julgador sobre os depoentes. A presença física destes na sala de audiências assegura a verificação segura de sua identidade, a espontaneidade das respostas e a ausência de interferências externas, de difícil controle no ambiente virtual, além de viabilizar a exibição dos documentos que instruíram a contratação, a acareação entre a autora e a declarante, se divergentes as suas versões (art. 461, II, do CPC), e a eventual colheita de padrões gráficos da autora para fins de comparação, providência que poderá revelar-se útil caso subsista a necessidade da perícia (art. 478, § 3º, do CPC).</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A cautela revela-se ainda mais pertinente diante da notória multiplicação, em larga escala, de demandas desta natureza, circunstância que reclama do julgador redobrada atenção à autenticidade de cada postulação, sem que isso importe, por ora, qualquer juízo de valor sobre a conduta das partes ou de seus procuradores. Do mesmo modo, a presencialidade permitirá aferir com rigor a regularidade da atuação da correspondente bancária, em atenção ao dever de boa-fé que vincula todos os sujeitos do processo (art. 5º do CPC), sendo certo que a própria Recomendação reconhece que a litigância abusiva pode manifestar-se também no polo passivo. A medida, ademais, não restringe o acesso à justiça nem obsta o exame do mérito; antes, qualifica a instrução e confere maior segurança ao julgamento. Nem mesmo a eventual residência dos depoentes em localidade diversa infirma essa conclusão, porquanto os arts. 385, § 3º, e 453, § 1º, do CPC encerram mera faculdade, cuja utilização se subordina à adequação do meio à finalidade do ato. Impõe-se, por conseguinte, a realização da audiência em formato exclusivamente presencial, vedada a participação por videoconferência.</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Ante o exposto, (1) </w:t>
      </w:r>
      <w:r>
        <w:rPr>
          <w:rFonts w:ascii="Times New Roman" w:cs="Times New Roman" w:eastAsia="Times New Roman" w:hAnsi="Times New Roman"/>
          <w:b/>
          <w:bCs/>
          <w:i w:val="false"/>
          <w:iCs w:val="false"/>
          <w:sz w:val="24"/>
          <w:szCs w:val="24"/>
        </w:rPr>
        <w:t xml:space="preserve">rejeito a prejudicial de prescrição</w:t>
      </w:r>
      <w:r>
        <w:rPr>
          <w:rFonts w:ascii="Times New Roman" w:cs="Times New Roman" w:eastAsia="Times New Roman" w:hAnsi="Times New Roman"/>
          <w:b w:val="false"/>
          <w:bCs w:val="false"/>
          <w:i w:val="false"/>
          <w:iCs w:val="false"/>
          <w:sz w:val="24"/>
          <w:szCs w:val="24"/>
        </w:rPr>
        <w:t xml:space="preserve">, por incidir na espécie o prazo quinquenal previsto no art. 27 do CDC,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bCs/>
          <w:i w:val="false"/>
          <w:iCs w:val="false"/>
          <w:sz w:val="24"/>
          <w:szCs w:val="24"/>
          <w:highlight w:val="yellow"/>
        </w:rPr>
        <w:t xml:space="preserve">rejeito as preliminares de ausência de interesse de agir e de inépcia da petição inicial</w:t>
      </w:r>
      <w:r>
        <w:rPr>
          <w:rFonts w:ascii="Times New Roman" w:cs="Times New Roman" w:eastAsia="Times New Roman" w:hAnsi="Times New Roman"/>
          <w:b w:val="false"/>
          <w:bCs w:val="false"/>
          <w:i w:val="false"/>
          <w:iCs w:val="false"/>
          <w:sz w:val="24"/>
          <w:szCs w:val="24"/>
          <w:highlight w:val="yellow"/>
        </w:rPr>
        <w:t xml:space="preserve"> e </w:t>
      </w:r>
      <w:r>
        <w:rPr>
          <w:rFonts w:ascii="Times New Roman" w:cs="Times New Roman" w:eastAsia="Times New Roman" w:hAnsi="Times New Roman"/>
          <w:b/>
          <w:bCs/>
          <w:i w:val="false"/>
          <w:iCs w:val="false"/>
          <w:sz w:val="24"/>
          <w:szCs w:val="24"/>
          <w:highlight w:val="yellow"/>
        </w:rPr>
        <w:t xml:space="preserve">mantenho a gratuidade da justiça deferida à autora</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(2) </w:t>
      </w:r>
      <w:r>
        <w:rPr>
          <w:rFonts w:ascii="Times New Roman" w:cs="Times New Roman" w:eastAsia="Times New Roman" w:hAnsi="Times New Roman"/>
          <w:b/>
          <w:bCs/>
          <w:i w:val="false"/>
          <w:iCs w:val="false"/>
          <w:sz w:val="24"/>
          <w:szCs w:val="24"/>
        </w:rPr>
        <w:t xml:space="preserve">declaro saneado o processo</w:t>
      </w:r>
      <w:r>
        <w:rPr>
          <w:rFonts w:ascii="Times New Roman" w:cs="Times New Roman" w:eastAsia="Times New Roman" w:hAnsi="Times New Roman"/>
          <w:b w:val="false"/>
          <w:bCs w:val="false"/>
          <w:i w:val="false"/>
          <w:iCs w:val="false"/>
          <w:sz w:val="24"/>
          <w:szCs w:val="24"/>
        </w:rPr>
        <w:t xml:space="preserve">, com a fixação dos pontos controvertidos, das questões de direito relevantes e da distribuição do ônus da prova nos termos da fundamentação; (3) </w:t>
      </w:r>
      <w:r>
        <w:rPr>
          <w:rFonts w:ascii="Times New Roman" w:cs="Times New Roman" w:eastAsia="Times New Roman" w:hAnsi="Times New Roman"/>
          <w:b/>
          <w:bCs/>
          <w:i w:val="false"/>
          <w:iCs w:val="false"/>
          <w:sz w:val="24"/>
          <w:szCs w:val="24"/>
        </w:rPr>
        <w:t xml:space="preserve">postergo a deliberação sobre o requerimento de prova pericial</w:t>
      </w:r>
      <w:r>
        <w:rPr>
          <w:rFonts w:ascii="Times New Roman" w:cs="Times New Roman" w:eastAsia="Times New Roman" w:hAnsi="Times New Roman"/>
          <w:b w:val="false"/>
          <w:bCs w:val="false"/>
          <w:i w:val="false"/>
          <w:iCs w:val="false"/>
          <w:sz w:val="24"/>
          <w:szCs w:val="24"/>
        </w:rPr>
        <w:t xml:space="preserve"> para depois da produção das provas oral e documental ora determinadas; (4) </w:t>
      </w:r>
      <w:r>
        <w:rPr>
          <w:rFonts w:ascii="Times New Roman" w:cs="Times New Roman" w:eastAsia="Times New Roman" w:hAnsi="Times New Roman"/>
          <w:b/>
          <w:bCs/>
          <w:i w:val="false"/>
          <w:iCs w:val="false"/>
          <w:sz w:val="24"/>
          <w:szCs w:val="24"/>
        </w:rPr>
        <w:t xml:space="preserve">determino que a secretaria da vara designe audiência de instrução em formato exclusivamente presencial, vedada a participação por videoconferência</w:t>
      </w:r>
      <w:r>
        <w:rPr>
          <w:rFonts w:ascii="Times New Roman" w:cs="Times New Roman" w:eastAsia="Times New Roman" w:hAnsi="Times New Roman"/>
          <w:b w:val="false"/>
          <w:bCs w:val="false"/>
          <w:i w:val="false"/>
          <w:iCs w:val="false"/>
          <w:sz w:val="24"/>
          <w:szCs w:val="24"/>
        </w:rPr>
        <w:t xml:space="preserve">, preferencialmente em data posterior ao término do prazo assinalado no item (6); (5) designada a audiência, </w:t>
      </w:r>
      <w:r>
        <w:rPr>
          <w:rFonts w:ascii="Times New Roman" w:cs="Times New Roman" w:eastAsia="Times New Roman" w:hAnsi="Times New Roman"/>
          <w:b/>
          <w:bCs/>
          <w:i w:val="false"/>
          <w:iCs w:val="false"/>
          <w:sz w:val="24"/>
          <w:szCs w:val="24"/>
        </w:rPr>
        <w:t xml:space="preserve">intimem-se, por mandado judicial, as partes e Maria da Penha Vieira de Farias</w:t>
      </w:r>
      <w:r>
        <w:rPr>
          <w:rFonts w:ascii="Times New Roman" w:cs="Times New Roman" w:eastAsia="Times New Roman" w:hAnsi="Times New Roman"/>
          <w:b w:val="false"/>
          <w:bCs w:val="false"/>
          <w:i w:val="false"/>
          <w:iCs w:val="false"/>
          <w:sz w:val="24"/>
          <w:szCs w:val="24"/>
        </w:rPr>
        <w:t xml:space="preserve">, inscrita no CPF sob o n.º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residente </w:t>
      </w:r>
      <w:r>
        <w:rPr>
          <w:rFonts w:ascii="Times New Roman" w:cs="Times New Roman" w:eastAsia="Times New Roman" w:hAnsi="Times New Roman"/>
          <w:b w:val="false"/>
          <w:bCs w:val="false"/>
          <w:i w:val="false"/>
          <w:iCs w:val="false"/>
          <w:sz w:val="24"/>
          <w:szCs w:val="24"/>
          <w:highlight w:val="yellow"/>
        </w:rPr>
        <w:t xml:space="preserve">[endereço completo da declarante]</w:t>
      </w:r>
      <w:r>
        <w:rPr>
          <w:rFonts w:ascii="Times New Roman" w:cs="Times New Roman" w:eastAsia="Times New Roman" w:hAnsi="Times New Roman"/>
          <w:b w:val="false"/>
          <w:bCs w:val="false"/>
          <w:i w:val="false"/>
          <w:iCs w:val="false"/>
          <w:sz w:val="24"/>
          <w:szCs w:val="24"/>
        </w:rPr>
        <w:t xml:space="preserve">, devendo constar do mandado destinado à autora a advertência prevista no art. 385, § 1º, do CPC e, do mandado destinado à declarante, a advertência de que sua ausência injustificada importará em condução coercitiva, na forma do art. 455, § 5º, do CPC, sem prejuízo da intimação dos advogados constituídos; (6) </w:t>
      </w:r>
      <w:r>
        <w:rPr>
          <w:rFonts w:ascii="Times New Roman" w:cs="Times New Roman" w:eastAsia="Times New Roman" w:hAnsi="Times New Roman"/>
          <w:b/>
          <w:bCs/>
          <w:i w:val="false"/>
          <w:iCs w:val="false"/>
          <w:sz w:val="24"/>
          <w:szCs w:val="24"/>
        </w:rPr>
        <w:t xml:space="preserve">intimem-se as partes para que, no prazo de 45 (quarenta e cinco) dias, a autora junte aos autos o extrato de movimentação de sua conta bancária referente aos meses de janeiro e fevereiro de 2023 e a ré junte o comprovante de transferência do valor indicado no contrato</w:t>
      </w:r>
      <w:r>
        <w:rPr>
          <w:rFonts w:ascii="Times New Roman" w:cs="Times New Roman" w:eastAsia="Times New Roman" w:hAnsi="Times New Roman"/>
          <w:b w:val="false"/>
          <w:bCs w:val="false"/>
          <w:i w:val="false"/>
          <w:iCs w:val="false"/>
          <w:sz w:val="24"/>
          <w:szCs w:val="24"/>
        </w:rPr>
        <w:t xml:space="preserve">, com a identificação da conta de destino; (7) ficam as partes cientes de que poderão pedir esclarecimentos ou solicitar ajustes no prazo comum de 5 (cinco) dias, findo o qual esta decisão se tornará estável (art. 357, § 1º, do CPC).</w:t>
      </w:r>
    </w:p>
    <w:p>
      <w:pPr>
        <w:spacing w:after="120" w:line="360" w:lineRule="auto"/>
        <w:ind w:firstLine="1134"/>
        <w:jc w:val="both"/>
      </w:pPr>
      <w:r>
        <w:rPr>
          <w:rFonts w:ascii="Times New Roman" w:cs="Times New Roman" w:eastAsia="Times New Roman" w:hAnsi="Times New Roman"/>
          <w:b w:val="false"/>
          <w:bCs w:val="false"/>
          <w:i w:val="false"/>
          <w:iCs w:val="false"/>
          <w:sz w:val="24"/>
          <w:szCs w:val="24"/>
        </w:rPr>
        <w:t xml:space="preserve">Intimem-se. Cumpra-se.</w:t>
      </w:r>
    </w:p>
    <w:p>
      <w:pPr>
        <w:spacing w:after="480" w:before="360"/>
        <w:jc w:val="center"/>
      </w:pPr>
      <w:r>
        <w:rPr>
          <w:rFonts w:ascii="Times New Roman" w:cs="Times New Roman" w:eastAsia="Times New Roman" w:hAnsi="Times New Roman"/>
          <w:b w:val="false"/>
          <w:bCs w:val="false"/>
          <w:i w:val="false"/>
          <w:iCs w:val="false"/>
          <w:sz w:val="24"/>
          <w:szCs w:val="24"/>
          <w:highlight w:val="yellow"/>
        </w:rPr>
        <w:t xml:space="preserve">[Comarca]</w:t>
      </w:r>
      <w:r>
        <w:rPr>
          <w:rFonts w:ascii="Times New Roman" w:cs="Times New Roman" w:eastAsia="Times New Roman" w:hAnsi="Times New Roman"/>
          <w:b w:val="false"/>
          <w:bCs w:val="false"/>
          <w:i w:val="false"/>
          <w:iCs w:val="false"/>
          <w:sz w:val="24"/>
          <w:szCs w:val="24"/>
        </w:rPr>
        <w:t xml:space="preserve">/AL, data da assinatura eletrônica.</w:t>
      </w:r>
    </w:p>
    <w:p>
      <w:pPr>
        <w:jc w:val="center"/>
      </w:pPr>
      <w:r>
        <w:rPr>
          <w:rFonts w:ascii="Times New Roman" w:cs="Times New Roman" w:eastAsia="Times New Roman" w:hAnsi="Times New Roman"/>
          <w:b w:val="false"/>
          <w:bCs w:val="false"/>
          <w:i w:val="false"/>
          <w:iCs w:val="false"/>
          <w:sz w:val="24"/>
          <w:szCs w:val="24"/>
          <w:highlight w:val="yellow"/>
        </w:rPr>
        <w:t xml:space="preserve">[nome e assinatura]</w:t>
      </w:r>
    </w:p>
    <w:p>
      <w:pPr>
        <w:jc w:val="center"/>
      </w:pPr>
      <w:r>
        <w:rPr>
          <w:rFonts w:ascii="Times New Roman" w:cs="Times New Roman" w:eastAsia="Times New Roman" w:hAnsi="Times New Roman"/>
          <w:b w:val="false"/>
          <w:bCs w:val="false"/>
          <w:i w:val="false"/>
          <w:iCs w:val="false"/>
          <w:sz w:val="24"/>
          <w:szCs w:val="24"/>
        </w:rPr>
        <w:t xml:space="preserve">Juiz de Direito</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Decisão de saneamento e organização do processo</dc:title>
  <dc:creator>Minuta</dc:creator>
  <cp:lastModifiedBy>Un-named</cp:lastModifiedBy>
  <cp:revision>1</cp:revision>
  <dcterms:created xsi:type="dcterms:W3CDTF">2026-10-02T17:59:29.683Z</dcterms:created>
  <dcterms:modified xsi:type="dcterms:W3CDTF">2026-10-02T17:59:29.683Z</dcterms:modified>
</cp:coreProperties>
</file>

<file path=docProps/custom.xml><?xml version="1.0" encoding="utf-8"?>
<Properties xmlns="http://schemas.openxmlformats.org/officeDocument/2006/custom-properties" xmlns:vt="http://schemas.openxmlformats.org/officeDocument/2006/docPropsVTypes"/>
</file>